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6332" w14:textId="7C5FA06F" w:rsidR="000F1EBC" w:rsidRDefault="00000000">
      <w:pPr>
        <w:pStyle w:val="Ttulo1"/>
      </w:pPr>
      <w:r>
        <w:t xml:space="preserve">Barreras para el Aprendizaje y la Participación </w:t>
      </w:r>
      <w:r w:rsidR="00F06806">
        <w:t>(CASO VALERIA)</w:t>
      </w:r>
    </w:p>
    <w:tbl>
      <w:tblPr>
        <w:tblStyle w:val="Tablaconcuadrcula"/>
        <w:tblW w:w="13462" w:type="dxa"/>
        <w:tblLook w:val="04A0" w:firstRow="1" w:lastRow="0" w:firstColumn="1" w:lastColumn="0" w:noHBand="0" w:noVBand="1"/>
      </w:tblPr>
      <w:tblGrid>
        <w:gridCol w:w="2972"/>
        <w:gridCol w:w="2977"/>
        <w:gridCol w:w="1417"/>
        <w:gridCol w:w="2127"/>
        <w:gridCol w:w="3969"/>
      </w:tblGrid>
      <w:tr w:rsidR="000F1EBC" w:rsidRPr="00F06806" w14:paraId="0B55F696" w14:textId="77777777" w:rsidTr="00F06806">
        <w:trPr>
          <w:trHeight w:val="671"/>
        </w:trPr>
        <w:tc>
          <w:tcPr>
            <w:tcW w:w="2972" w:type="dxa"/>
          </w:tcPr>
          <w:p w14:paraId="23B47538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b/>
                <w:sz w:val="20"/>
                <w:szCs w:val="20"/>
              </w:rPr>
              <w:t>DIMENSIÓN DE LA BAP</w:t>
            </w:r>
          </w:p>
        </w:tc>
        <w:tc>
          <w:tcPr>
            <w:tcW w:w="2977" w:type="dxa"/>
          </w:tcPr>
          <w:p w14:paraId="5D01A927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b/>
                <w:sz w:val="20"/>
                <w:szCs w:val="20"/>
              </w:rPr>
              <w:t>EVIDENCIA OBSERVABLE EN EL ENTORNO</w:t>
            </w:r>
          </w:p>
        </w:tc>
        <w:tc>
          <w:tcPr>
            <w:tcW w:w="1417" w:type="dxa"/>
          </w:tcPr>
          <w:p w14:paraId="23C325C5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b/>
                <w:sz w:val="20"/>
                <w:szCs w:val="20"/>
              </w:rPr>
              <w:t>NIVEL DE IMPACTO</w:t>
            </w:r>
          </w:p>
        </w:tc>
        <w:tc>
          <w:tcPr>
            <w:tcW w:w="2127" w:type="dxa"/>
          </w:tcPr>
          <w:p w14:paraId="108CBFED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b/>
                <w:sz w:val="20"/>
                <w:szCs w:val="20"/>
              </w:rPr>
              <w:t>ACTOR RESPONSABLE</w:t>
            </w:r>
          </w:p>
        </w:tc>
        <w:tc>
          <w:tcPr>
            <w:tcW w:w="3969" w:type="dxa"/>
          </w:tcPr>
          <w:p w14:paraId="02AB93E9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b/>
                <w:sz w:val="20"/>
                <w:szCs w:val="20"/>
              </w:rPr>
              <w:t>ACCIÓN DE RESPUESTA INCLUSIVA (ENFOQUE DUA)</w:t>
            </w:r>
          </w:p>
        </w:tc>
      </w:tr>
      <w:tr w:rsidR="000F1EBC" w:rsidRPr="00F06806" w14:paraId="6A3407BD" w14:textId="77777777" w:rsidTr="00F06806">
        <w:trPr>
          <w:trHeight w:val="2112"/>
        </w:trPr>
        <w:tc>
          <w:tcPr>
            <w:tcW w:w="2972" w:type="dxa"/>
          </w:tcPr>
          <w:p w14:paraId="7BE1A106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POLÍTICA (Gestión y Organización)</w:t>
            </w:r>
          </w:p>
        </w:tc>
        <w:tc>
          <w:tcPr>
            <w:tcW w:w="2977" w:type="dxa"/>
          </w:tcPr>
          <w:p w14:paraId="19EB4D6C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No se observan adaptaciones curriculares ni ajustes en la programación para responder a las necesidades de la estudiante con discalculia. Las evaluaciones mantienen las mismas condiciones para todo el grupo.</w:t>
            </w:r>
          </w:p>
        </w:tc>
        <w:tc>
          <w:tcPr>
            <w:tcW w:w="1417" w:type="dxa"/>
          </w:tcPr>
          <w:p w14:paraId="7305E24D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  <w:tc>
          <w:tcPr>
            <w:tcW w:w="2127" w:type="dxa"/>
          </w:tcPr>
          <w:p w14:paraId="43C79B69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Equipo directivo, docente de Matemática y área psicopedagógica.</w:t>
            </w:r>
          </w:p>
        </w:tc>
        <w:tc>
          <w:tcPr>
            <w:tcW w:w="3969" w:type="dxa"/>
          </w:tcPr>
          <w:p w14:paraId="5BA1D34D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Diseñar e implementar ajustes razonables en la planificación y evaluación, incorporando mayor flexibilidad en tiempos, instrumentos y criterios de valoración, además de un seguimiento permanente.</w:t>
            </w:r>
          </w:p>
        </w:tc>
      </w:tr>
      <w:tr w:rsidR="000F1EBC" w:rsidRPr="00F06806" w14:paraId="7B6E504C" w14:textId="77777777" w:rsidTr="00F06806">
        <w:trPr>
          <w:trHeight w:val="1405"/>
        </w:trPr>
        <w:tc>
          <w:tcPr>
            <w:tcW w:w="2972" w:type="dxa"/>
          </w:tcPr>
          <w:p w14:paraId="6919C489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 xml:space="preserve">CULTURAL (Actitudes y </w:t>
            </w:r>
            <w:proofErr w:type="spellStart"/>
            <w:r w:rsidRPr="00F06806">
              <w:rPr>
                <w:rFonts w:ascii="Arial" w:hAnsi="Arial" w:cs="Arial"/>
                <w:sz w:val="20"/>
                <w:szCs w:val="20"/>
              </w:rPr>
              <w:t>Creencias</w:t>
            </w:r>
            <w:proofErr w:type="spellEnd"/>
            <w:r w:rsidRPr="00F068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14:paraId="1C95A4AC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Persisten ideas que relacionan las dificultades matemáticas con la falta de dedicación, afectando la confianza y la participación de la estudiante.</w:t>
            </w:r>
          </w:p>
        </w:tc>
        <w:tc>
          <w:tcPr>
            <w:tcW w:w="1417" w:type="dxa"/>
          </w:tcPr>
          <w:p w14:paraId="33DB195A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Medio-Alto</w:t>
            </w:r>
          </w:p>
        </w:tc>
        <w:tc>
          <w:tcPr>
            <w:tcW w:w="2127" w:type="dxa"/>
          </w:tcPr>
          <w:p w14:paraId="77685461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Docentes, estudiantes y familia.</w:t>
            </w:r>
          </w:p>
        </w:tc>
        <w:tc>
          <w:tcPr>
            <w:tcW w:w="3969" w:type="dxa"/>
          </w:tcPr>
          <w:p w14:paraId="787A0066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Fortalecer una cultura inclusiva mediante acciones de sensibilización, reconocimiento de las diferencias individuales, trabajo colaborativo y valoración de los avances alcanzados.</w:t>
            </w:r>
          </w:p>
        </w:tc>
      </w:tr>
      <w:tr w:rsidR="000F1EBC" w:rsidRPr="00F06806" w14:paraId="7D0D787B" w14:textId="77777777" w:rsidTr="00F06806">
        <w:tc>
          <w:tcPr>
            <w:tcW w:w="2972" w:type="dxa"/>
          </w:tcPr>
          <w:p w14:paraId="520B6E91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PRÁCTICA (</w:t>
            </w:r>
            <w:proofErr w:type="spellStart"/>
            <w:r w:rsidRPr="00F06806">
              <w:rPr>
                <w:rFonts w:ascii="Arial" w:hAnsi="Arial" w:cs="Arial"/>
                <w:sz w:val="20"/>
                <w:szCs w:val="20"/>
              </w:rPr>
              <w:t>Metodológica</w:t>
            </w:r>
            <w:proofErr w:type="spellEnd"/>
            <w:r w:rsidRPr="00F068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14:paraId="1B9D8D5D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La enseñanza se centra principalmente en procedimientos abstractos y ejercicios escritos, con escaso empleo de recursos concretos y visuales.</w:t>
            </w:r>
          </w:p>
        </w:tc>
        <w:tc>
          <w:tcPr>
            <w:tcW w:w="1417" w:type="dxa"/>
          </w:tcPr>
          <w:p w14:paraId="0644F6B7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  <w:tc>
          <w:tcPr>
            <w:tcW w:w="2127" w:type="dxa"/>
          </w:tcPr>
          <w:p w14:paraId="1EB97A5D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Docente de Matemática.</w:t>
            </w:r>
          </w:p>
        </w:tc>
        <w:tc>
          <w:tcPr>
            <w:tcW w:w="3969" w:type="dxa"/>
          </w:tcPr>
          <w:p w14:paraId="4C97F7E2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Aplicar el DUA ofreciendo diversas formas de presentar la información, permitir diferentes maneras de resolver y demostrar los aprendizajes, y utilizar actividades significativas, materiales manipulativos y retroalimentación continua.</w:t>
            </w:r>
          </w:p>
        </w:tc>
      </w:tr>
      <w:tr w:rsidR="000F1EBC" w:rsidRPr="00F06806" w14:paraId="26BB9D36" w14:textId="77777777" w:rsidTr="00F06806">
        <w:trPr>
          <w:trHeight w:val="1628"/>
        </w:trPr>
        <w:tc>
          <w:tcPr>
            <w:tcW w:w="2972" w:type="dxa"/>
          </w:tcPr>
          <w:p w14:paraId="08D40FA8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PRÁCTICA (</w:t>
            </w:r>
            <w:proofErr w:type="spellStart"/>
            <w:r w:rsidRPr="00F06806">
              <w:rPr>
                <w:rFonts w:ascii="Arial" w:hAnsi="Arial" w:cs="Arial"/>
                <w:sz w:val="20"/>
                <w:szCs w:val="20"/>
              </w:rPr>
              <w:t>Comunicacional</w:t>
            </w:r>
            <w:proofErr w:type="spellEnd"/>
            <w:r w:rsidRPr="00F068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14:paraId="4A695501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Las consignas suelen ser extensas y con terminología matemática compleja, verificándose poco la comprensión antes de iniciar las tareas.</w:t>
            </w:r>
          </w:p>
        </w:tc>
        <w:tc>
          <w:tcPr>
            <w:tcW w:w="1417" w:type="dxa"/>
          </w:tcPr>
          <w:p w14:paraId="45EEF150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Medio</w:t>
            </w:r>
          </w:p>
        </w:tc>
        <w:tc>
          <w:tcPr>
            <w:tcW w:w="2127" w:type="dxa"/>
          </w:tcPr>
          <w:p w14:paraId="7AAC5DC1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Docente de Matemática.</w:t>
            </w:r>
          </w:p>
        </w:tc>
        <w:tc>
          <w:tcPr>
            <w:tcW w:w="3969" w:type="dxa"/>
          </w:tcPr>
          <w:p w14:paraId="4195B132" w14:textId="77777777" w:rsidR="000F1EBC" w:rsidRPr="00F06806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06806">
              <w:rPr>
                <w:rFonts w:ascii="Arial" w:hAnsi="Arial" w:cs="Arial"/>
                <w:sz w:val="20"/>
                <w:szCs w:val="20"/>
              </w:rPr>
              <w:t>Presentar instrucciones simples y secuenciales, apoyarlas con ejemplos, imágenes y organizadores gráficos, comprobando la comprensión antes del trabajo independiente.</w:t>
            </w:r>
          </w:p>
        </w:tc>
      </w:tr>
    </w:tbl>
    <w:p w14:paraId="068AF67D" w14:textId="77777777" w:rsidR="00311FB9" w:rsidRDefault="00311FB9"/>
    <w:sectPr w:rsidR="00311FB9" w:rsidSect="00F06806">
      <w:pgSz w:w="15840" w:h="12240" w:orient="landscape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646738">
    <w:abstractNumId w:val="8"/>
  </w:num>
  <w:num w:numId="2" w16cid:durableId="1172452358">
    <w:abstractNumId w:val="6"/>
  </w:num>
  <w:num w:numId="3" w16cid:durableId="1929382059">
    <w:abstractNumId w:val="5"/>
  </w:num>
  <w:num w:numId="4" w16cid:durableId="523633723">
    <w:abstractNumId w:val="4"/>
  </w:num>
  <w:num w:numId="5" w16cid:durableId="2121407676">
    <w:abstractNumId w:val="7"/>
  </w:num>
  <w:num w:numId="6" w16cid:durableId="233709830">
    <w:abstractNumId w:val="3"/>
  </w:num>
  <w:num w:numId="7" w16cid:durableId="2107967926">
    <w:abstractNumId w:val="2"/>
  </w:num>
  <w:num w:numId="8" w16cid:durableId="188379154">
    <w:abstractNumId w:val="1"/>
  </w:num>
  <w:num w:numId="9" w16cid:durableId="212600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EBC"/>
    <w:rsid w:val="0015074B"/>
    <w:rsid w:val="0029639D"/>
    <w:rsid w:val="00311FB9"/>
    <w:rsid w:val="00326F90"/>
    <w:rsid w:val="005C7F9C"/>
    <w:rsid w:val="00666383"/>
    <w:rsid w:val="006B7B4D"/>
    <w:rsid w:val="00AA1D8D"/>
    <w:rsid w:val="00B47730"/>
    <w:rsid w:val="00CB0664"/>
    <w:rsid w:val="00F06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631ED23"/>
  <w14:defaultImageDpi w14:val="300"/>
  <w15:docId w15:val="{340011E9-EF08-4E00-991E-662696B6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2026-06-29T11:57:00Z</dcterms:created>
  <dcterms:modified xsi:type="dcterms:W3CDTF">2026-06-29T12:03:00Z</dcterms:modified>
  <cp:category/>
</cp:coreProperties>
</file>