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7D" w:rsidRPr="0015303E" w:rsidRDefault="00BD7B7D" w:rsidP="00BD7B7D">
      <w:pPr>
        <w:rPr>
          <w:rFonts w:ascii="Arial" w:hAnsi="Arial" w:cs="Arial"/>
          <w:b/>
          <w:lang w:val="es-MX"/>
        </w:rPr>
      </w:pPr>
      <w:r w:rsidRPr="0015303E">
        <w:rPr>
          <w:rFonts w:ascii="Arial" w:hAnsi="Arial" w:cs="Arial"/>
          <w:b/>
          <w:lang w:val="es-MX"/>
        </w:rPr>
        <w:t>Glosario de cuentas fiscales</w:t>
      </w:r>
    </w:p>
    <w:p w:rsidR="00C509F3" w:rsidRPr="0015303E" w:rsidRDefault="00C509F3" w:rsidP="00C509F3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8984" w:type="dxa"/>
        <w:tblInd w:w="733" w:type="dxa"/>
        <w:tblLook w:val="04A0" w:firstRow="1" w:lastRow="0" w:firstColumn="1" w:lastColumn="0" w:noHBand="0" w:noVBand="1"/>
      </w:tblPr>
      <w:tblGrid>
        <w:gridCol w:w="4673"/>
        <w:gridCol w:w="4311"/>
      </w:tblGrid>
      <w:tr w:rsidR="00BD7B7D" w:rsidRPr="0015303E" w:rsidTr="00C509F3">
        <w:trPr>
          <w:trHeight w:val="289"/>
        </w:trPr>
        <w:tc>
          <w:tcPr>
            <w:tcW w:w="4673" w:type="dxa"/>
            <w:shd w:val="clear" w:color="auto" w:fill="000000" w:themeFill="text1"/>
            <w:noWrap/>
          </w:tcPr>
          <w:p w:rsidR="00BD7B7D" w:rsidRPr="0015303E" w:rsidRDefault="00BD7B7D" w:rsidP="0015303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PE"/>
              </w:rPr>
            </w:pPr>
            <w:r w:rsidRPr="0015303E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PE"/>
              </w:rPr>
              <w:t>Nombre</w:t>
            </w:r>
          </w:p>
        </w:tc>
        <w:tc>
          <w:tcPr>
            <w:tcW w:w="4311" w:type="dxa"/>
            <w:shd w:val="clear" w:color="auto" w:fill="000000" w:themeFill="text1"/>
          </w:tcPr>
          <w:p w:rsidR="00BD7B7D" w:rsidRPr="0015303E" w:rsidRDefault="00BD7B7D" w:rsidP="0015303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PE"/>
              </w:rPr>
            </w:pPr>
            <w:r w:rsidRPr="0015303E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PE"/>
              </w:rPr>
              <w:t>Definición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Ingresos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PE"/>
              </w:rPr>
            </w:pPr>
            <w:r w:rsidRPr="0015303E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Tributarios + No tributarios + Donaciones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Tributarios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ind w:firstLineChars="100" w:firstLine="22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Impuestos directos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Impuestos al ingreso (Ingreso a la renta)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ind w:firstLineChars="100" w:firstLine="22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Impuestos indirectos (impuestos al gasto)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 xml:space="preserve">IGV + ISC + Impuestos a las importaciones 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ind w:firstLineChars="200" w:firstLine="44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IGV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ind w:firstLineChars="200" w:firstLine="440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ind w:firstLineChars="200" w:firstLine="44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ISC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ind w:firstLineChars="200" w:firstLine="440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ind w:firstLineChars="100" w:firstLine="22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Otros ingresos tributarios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 xml:space="preserve">Otros ingresos tributarios + Documentos Valorados 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No tributarios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 xml:space="preserve">Contribuciones a </w:t>
            </w:r>
            <w:proofErr w:type="spellStart"/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Essalud</w:t>
            </w:r>
            <w:proofErr w:type="spellEnd"/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 xml:space="preserve"> y ONP + Regalías petroleras, gasíferas y mineras + Canon Petrolero + Otros ingresos no tributarios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Donaciones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Normalmente no hay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Gastos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Sueldos y salarios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Bienes y servicios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Intereses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Subsidios y otras transferencias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Adquisición neta de activos no fin.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-(Ingresos de capital – Gastos de capital)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325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PE"/>
              </w:rPr>
            </w:pPr>
            <w:r w:rsidRPr="0015303E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PE"/>
              </w:rPr>
              <w:t>Resultado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Ingresos – Gastos – Adquisición de activos no financieros</w:t>
            </w:r>
          </w:p>
        </w:tc>
      </w:tr>
      <w:tr w:rsidR="00BD7B7D" w:rsidRPr="0015303E" w:rsidTr="00C509F3">
        <w:trPr>
          <w:trHeight w:val="325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PE"/>
              </w:rPr>
            </w:pPr>
            <w:r w:rsidRPr="0015303E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PE"/>
              </w:rPr>
              <w:t>Transacciones de activos y pasivos fin.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Adquisición neta de activos financieros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ind w:firstLineChars="100" w:firstLine="22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Depósitos (variación)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ind w:firstLineChars="100" w:firstLine="22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Prestamos netos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Adquisición neta de pasivos financieros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Desembolsos netos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ind w:firstLineChars="100" w:firstLine="22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Desembolsos netos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Financiamiento neto externo + Financiamiento neto interno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Ingresos por privatización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PE"/>
              </w:rPr>
            </w:pPr>
            <w:r w:rsidRPr="0015303E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PE"/>
              </w:rPr>
              <w:t>Memorándum: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Resultado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Ingresos – Gastos – Adquisición de activos no financieros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i/>
                <w:i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Resultado primario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i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iCs/>
                <w:color w:val="000000"/>
                <w:lang w:eastAsia="es-PE"/>
              </w:rPr>
              <w:t>Resultado + Intereses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i/>
                <w:i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Ahorro del GG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i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iCs/>
                <w:color w:val="000000"/>
                <w:lang w:eastAsia="es-PE"/>
              </w:rPr>
              <w:t xml:space="preserve">Ingresos – Gastos </w:t>
            </w:r>
          </w:p>
        </w:tc>
      </w:tr>
      <w:tr w:rsidR="00BD7B7D" w:rsidRPr="0015303E" w:rsidTr="00C509F3">
        <w:trPr>
          <w:trHeight w:val="289"/>
        </w:trPr>
        <w:tc>
          <w:tcPr>
            <w:tcW w:w="4673" w:type="dxa"/>
            <w:noWrap/>
            <w:hideMark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i/>
                <w:i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color w:val="000000"/>
                <w:lang w:eastAsia="es-PE"/>
              </w:rPr>
              <w:t>Inversión del GG</w:t>
            </w:r>
          </w:p>
        </w:tc>
        <w:tc>
          <w:tcPr>
            <w:tcW w:w="4311" w:type="dxa"/>
          </w:tcPr>
          <w:p w:rsidR="00BD7B7D" w:rsidRPr="0015303E" w:rsidRDefault="00BD7B7D" w:rsidP="0015303E">
            <w:pPr>
              <w:rPr>
                <w:rFonts w:ascii="Arial" w:eastAsia="Times New Roman" w:hAnsi="Arial" w:cs="Arial"/>
                <w:iCs/>
                <w:color w:val="000000"/>
                <w:lang w:eastAsia="es-PE"/>
              </w:rPr>
            </w:pPr>
            <w:r w:rsidRPr="0015303E">
              <w:rPr>
                <w:rFonts w:ascii="Arial" w:eastAsia="Times New Roman" w:hAnsi="Arial" w:cs="Arial"/>
                <w:iCs/>
                <w:color w:val="000000"/>
                <w:lang w:eastAsia="es-PE"/>
              </w:rPr>
              <w:t>Gasto de Capital</w:t>
            </w:r>
          </w:p>
        </w:tc>
      </w:tr>
    </w:tbl>
    <w:p w:rsidR="00BD7B7D" w:rsidRPr="0015303E" w:rsidRDefault="00BD7B7D" w:rsidP="00BD7B7D">
      <w:pPr>
        <w:rPr>
          <w:rFonts w:ascii="Arial" w:hAnsi="Arial" w:cs="Arial"/>
          <w:lang w:val="es-MX"/>
        </w:rPr>
      </w:pPr>
    </w:p>
    <w:p w:rsidR="00820606" w:rsidRPr="0015303E" w:rsidRDefault="005C79A7" w:rsidP="00BD7B7D">
      <w:pPr>
        <w:rPr>
          <w:rFonts w:ascii="Arial" w:hAnsi="Arial" w:cs="Arial"/>
          <w:b/>
          <w:bCs/>
          <w:lang w:val="es-MX"/>
        </w:rPr>
      </w:pPr>
      <w:r w:rsidRPr="0015303E">
        <w:rPr>
          <w:rFonts w:ascii="Arial" w:hAnsi="Arial" w:cs="Arial"/>
          <w:b/>
          <w:bCs/>
          <w:lang w:val="es-MX"/>
        </w:rPr>
        <w:t>¿Qué calcula la</w:t>
      </w:r>
      <w:r w:rsidR="00820606" w:rsidRPr="0015303E">
        <w:rPr>
          <w:rFonts w:ascii="Arial" w:hAnsi="Arial" w:cs="Arial"/>
          <w:b/>
          <w:bCs/>
          <w:lang w:val="es-MX"/>
        </w:rPr>
        <w:t xml:space="preserve"> </w:t>
      </w:r>
      <w:r w:rsidR="002C5B37" w:rsidRPr="0015303E">
        <w:rPr>
          <w:rFonts w:ascii="Arial" w:hAnsi="Arial" w:cs="Arial"/>
          <w:b/>
          <w:bCs/>
          <w:lang w:val="es-MX"/>
        </w:rPr>
        <w:t>Programación Financiera</w:t>
      </w:r>
      <w:r w:rsidRPr="0015303E">
        <w:rPr>
          <w:rFonts w:ascii="Arial" w:hAnsi="Arial" w:cs="Arial"/>
          <w:b/>
          <w:bCs/>
          <w:lang w:val="es-MX"/>
        </w:rPr>
        <w:t>?</w:t>
      </w:r>
    </w:p>
    <w:p w:rsidR="00BD7B7D" w:rsidRPr="0015303E" w:rsidRDefault="005C79A7" w:rsidP="00820606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 w:rsidRPr="0015303E">
        <w:rPr>
          <w:rFonts w:ascii="Arial" w:hAnsi="Arial" w:cs="Arial"/>
          <w:lang w:val="es-MX"/>
        </w:rPr>
        <w:t>Cálculo</w:t>
      </w:r>
      <w:r w:rsidR="00820606" w:rsidRPr="0015303E">
        <w:rPr>
          <w:rFonts w:ascii="Arial" w:hAnsi="Arial" w:cs="Arial"/>
          <w:lang w:val="es-MX"/>
        </w:rPr>
        <w:t xml:space="preserve"> base (o pasivo) </w:t>
      </w:r>
      <w:r w:rsidR="00820606" w:rsidRPr="0015303E">
        <w:rPr>
          <w:rFonts w:ascii="Arial" w:hAnsi="Arial" w:cs="Arial"/>
          <w:lang w:val="es-MX"/>
        </w:rPr>
        <w:sym w:font="Wingdings" w:char="F0E0"/>
      </w:r>
      <w:r w:rsidR="00820606" w:rsidRPr="0015303E">
        <w:rPr>
          <w:rFonts w:ascii="Arial" w:hAnsi="Arial" w:cs="Arial"/>
          <w:lang w:val="es-MX"/>
        </w:rPr>
        <w:t xml:space="preserve"> Sin hacer cambios en la política </w:t>
      </w:r>
      <w:r w:rsidRPr="0015303E">
        <w:rPr>
          <w:rFonts w:ascii="Arial" w:hAnsi="Arial" w:cs="Arial"/>
          <w:lang w:val="es-MX"/>
        </w:rPr>
        <w:t>e</w:t>
      </w:r>
      <w:r w:rsidR="00820606" w:rsidRPr="0015303E">
        <w:rPr>
          <w:rFonts w:ascii="Arial" w:hAnsi="Arial" w:cs="Arial"/>
          <w:lang w:val="es-MX"/>
        </w:rPr>
        <w:t>conómica, detectar brechas en las cuentas públicas en base a proyecciones de PBI y el marco legal de gasto/recaudación</w:t>
      </w:r>
    </w:p>
    <w:p w:rsidR="00820606" w:rsidRPr="0015303E" w:rsidRDefault="005C79A7" w:rsidP="00820606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 w:rsidRPr="0015303E">
        <w:rPr>
          <w:rFonts w:ascii="Arial" w:hAnsi="Arial" w:cs="Arial"/>
          <w:lang w:val="es-MX"/>
        </w:rPr>
        <w:t>Cálculo</w:t>
      </w:r>
      <w:r w:rsidR="00820606" w:rsidRPr="0015303E">
        <w:rPr>
          <w:rFonts w:ascii="Arial" w:hAnsi="Arial" w:cs="Arial"/>
          <w:lang w:val="es-MX"/>
        </w:rPr>
        <w:t xml:space="preserve"> programático (o activo) </w:t>
      </w:r>
      <w:r w:rsidR="00820606" w:rsidRPr="0015303E">
        <w:rPr>
          <w:rFonts w:ascii="Arial" w:hAnsi="Arial" w:cs="Arial"/>
          <w:lang w:val="es-MX"/>
        </w:rPr>
        <w:sym w:font="Wingdings" w:char="F0E0"/>
      </w:r>
      <w:r w:rsidR="00820606" w:rsidRPr="0015303E">
        <w:rPr>
          <w:rFonts w:ascii="Arial" w:hAnsi="Arial" w:cs="Arial"/>
          <w:lang w:val="es-MX"/>
        </w:rPr>
        <w:t xml:space="preserve"> En base a proyecciones del PBI, </w:t>
      </w:r>
      <w:r w:rsidRPr="0015303E">
        <w:rPr>
          <w:rFonts w:ascii="Arial" w:hAnsi="Arial" w:cs="Arial"/>
          <w:lang w:val="es-MX"/>
        </w:rPr>
        <w:t>calcular qué se requiere de la</w:t>
      </w:r>
      <w:r w:rsidR="00820606" w:rsidRPr="0015303E">
        <w:rPr>
          <w:rFonts w:ascii="Arial" w:hAnsi="Arial" w:cs="Arial"/>
          <w:lang w:val="es-MX"/>
        </w:rPr>
        <w:t xml:space="preserve"> políticas </w:t>
      </w:r>
      <w:r w:rsidRPr="0015303E">
        <w:rPr>
          <w:rFonts w:ascii="Arial" w:hAnsi="Arial" w:cs="Arial"/>
          <w:lang w:val="es-MX"/>
        </w:rPr>
        <w:t>económica para producir</w:t>
      </w:r>
      <w:r w:rsidR="00820606" w:rsidRPr="0015303E">
        <w:rPr>
          <w:rFonts w:ascii="Arial" w:hAnsi="Arial" w:cs="Arial"/>
          <w:lang w:val="es-MX"/>
        </w:rPr>
        <w:t xml:space="preserve"> las brechas deseadas en el balance fiscal y la deuda pública</w:t>
      </w:r>
    </w:p>
    <w:p w:rsidR="002B2965" w:rsidRPr="0015303E" w:rsidRDefault="004D2256">
      <w:pPr>
        <w:rPr>
          <w:rFonts w:ascii="Arial" w:hAnsi="Arial" w:cs="Arial"/>
          <w:b/>
          <w:lang w:val="es-MX"/>
        </w:rPr>
      </w:pPr>
      <w:r w:rsidRPr="0015303E">
        <w:rPr>
          <w:rFonts w:ascii="Arial" w:hAnsi="Arial" w:cs="Arial"/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5CF25812">
            <wp:simplePos x="0" y="0"/>
            <wp:positionH relativeFrom="margin">
              <wp:posOffset>1296035</wp:posOffset>
            </wp:positionH>
            <wp:positionV relativeFrom="paragraph">
              <wp:posOffset>201600</wp:posOffset>
            </wp:positionV>
            <wp:extent cx="4053205" cy="24993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B51" w:rsidRPr="0015303E">
        <w:rPr>
          <w:rFonts w:ascii="Arial" w:hAnsi="Arial" w:cs="Arial"/>
          <w:b/>
          <w:lang w:val="es-MX"/>
        </w:rPr>
        <w:t>Definición del Sector Publico</w:t>
      </w:r>
    </w:p>
    <w:p w:rsidR="00554B51" w:rsidRPr="0015303E" w:rsidRDefault="00554B51">
      <w:pPr>
        <w:rPr>
          <w:rFonts w:ascii="Arial" w:hAnsi="Arial" w:cs="Arial"/>
          <w:b/>
          <w:lang w:val="es-MX"/>
        </w:rPr>
      </w:pPr>
    </w:p>
    <w:p w:rsidR="004D2256" w:rsidRPr="0015303E" w:rsidRDefault="004D2256">
      <w:pPr>
        <w:rPr>
          <w:rFonts w:ascii="Arial" w:hAnsi="Arial" w:cs="Arial"/>
          <w:b/>
          <w:lang w:val="es-MX"/>
        </w:rPr>
      </w:pPr>
    </w:p>
    <w:p w:rsidR="004D2256" w:rsidRPr="0015303E" w:rsidRDefault="004D2256">
      <w:pPr>
        <w:rPr>
          <w:rFonts w:ascii="Arial" w:hAnsi="Arial" w:cs="Arial"/>
          <w:b/>
          <w:lang w:val="es-MX"/>
        </w:rPr>
      </w:pPr>
    </w:p>
    <w:p w:rsidR="004D2256" w:rsidRPr="0015303E" w:rsidRDefault="004D2256">
      <w:pPr>
        <w:rPr>
          <w:rFonts w:ascii="Arial" w:hAnsi="Arial" w:cs="Arial"/>
          <w:b/>
          <w:lang w:val="es-MX"/>
        </w:rPr>
      </w:pPr>
    </w:p>
    <w:p w:rsidR="004D2256" w:rsidRPr="0015303E" w:rsidRDefault="004D2256">
      <w:pPr>
        <w:rPr>
          <w:rFonts w:ascii="Arial" w:hAnsi="Arial" w:cs="Arial"/>
          <w:b/>
          <w:lang w:val="es-MX"/>
        </w:rPr>
      </w:pPr>
    </w:p>
    <w:p w:rsidR="004D2256" w:rsidRPr="0015303E" w:rsidRDefault="004D2256">
      <w:pPr>
        <w:rPr>
          <w:rFonts w:ascii="Arial" w:hAnsi="Arial" w:cs="Arial"/>
          <w:b/>
          <w:lang w:val="es-MX"/>
        </w:rPr>
      </w:pPr>
    </w:p>
    <w:p w:rsidR="004D2256" w:rsidRPr="0015303E" w:rsidRDefault="004D2256">
      <w:pPr>
        <w:rPr>
          <w:rFonts w:ascii="Arial" w:hAnsi="Arial" w:cs="Arial"/>
          <w:b/>
          <w:lang w:val="es-MX"/>
        </w:rPr>
      </w:pPr>
    </w:p>
    <w:p w:rsidR="004D2256" w:rsidRPr="0015303E" w:rsidRDefault="004D2256">
      <w:pPr>
        <w:rPr>
          <w:rFonts w:ascii="Arial" w:hAnsi="Arial" w:cs="Arial"/>
          <w:b/>
          <w:lang w:val="es-MX"/>
        </w:rPr>
      </w:pPr>
    </w:p>
    <w:p w:rsidR="004D2256" w:rsidRPr="0015303E" w:rsidRDefault="004D2256">
      <w:pPr>
        <w:rPr>
          <w:rFonts w:ascii="Arial" w:hAnsi="Arial" w:cs="Arial"/>
          <w:b/>
          <w:lang w:val="es-ES"/>
        </w:rPr>
      </w:pPr>
    </w:p>
    <w:p w:rsidR="004D2256" w:rsidRPr="0015303E" w:rsidRDefault="00C26F4E">
      <w:pPr>
        <w:rPr>
          <w:rFonts w:ascii="Arial" w:hAnsi="Arial" w:cs="Arial"/>
          <w:b/>
          <w:lang w:val="es-ES"/>
        </w:rPr>
      </w:pPr>
      <w:r w:rsidRPr="0015303E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75FD763E">
            <wp:simplePos x="0" y="0"/>
            <wp:positionH relativeFrom="margin">
              <wp:posOffset>1398905</wp:posOffset>
            </wp:positionH>
            <wp:positionV relativeFrom="paragraph">
              <wp:posOffset>237490</wp:posOffset>
            </wp:positionV>
            <wp:extent cx="3841750" cy="3067685"/>
            <wp:effectExtent l="0" t="0" r="6350" b="5715"/>
            <wp:wrapSquare wrapText="bothSides"/>
            <wp:docPr id="424574013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0F02EA-7E50-55E4-3039-77D4B83AF8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0F02EA-7E50-55E4-3039-77D4B83AF8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256" w:rsidRPr="0015303E">
        <w:rPr>
          <w:rFonts w:ascii="Arial" w:hAnsi="Arial" w:cs="Arial"/>
          <w:b/>
          <w:lang w:val="es-ES"/>
        </w:rPr>
        <w:t xml:space="preserve">Manuales de Estadísticas de Finanzas Públicas </w:t>
      </w:r>
      <w:r w:rsidR="00FE161B" w:rsidRPr="0015303E">
        <w:rPr>
          <w:rFonts w:ascii="Arial" w:hAnsi="Arial" w:cs="Arial"/>
          <w:b/>
          <w:lang w:val="es-ES"/>
        </w:rPr>
        <w:t>(</w:t>
      </w:r>
      <w:proofErr w:type="spellStart"/>
      <w:r w:rsidR="00FE161B" w:rsidRPr="0015303E">
        <w:rPr>
          <w:rFonts w:ascii="Arial" w:hAnsi="Arial" w:cs="Arial"/>
          <w:b/>
          <w:lang w:val="es-ES"/>
        </w:rPr>
        <w:t>aka</w:t>
      </w:r>
      <w:proofErr w:type="spellEnd"/>
      <w:r w:rsidR="00FE161B" w:rsidRPr="0015303E">
        <w:rPr>
          <w:rFonts w:ascii="Arial" w:hAnsi="Arial" w:cs="Arial"/>
          <w:b/>
          <w:lang w:val="es-ES"/>
        </w:rPr>
        <w:t xml:space="preserve"> MEFP) </w:t>
      </w:r>
      <w:r w:rsidR="004D2256" w:rsidRPr="0015303E">
        <w:rPr>
          <w:rFonts w:ascii="Arial" w:hAnsi="Arial" w:cs="Arial"/>
          <w:b/>
          <w:lang w:val="es-ES"/>
        </w:rPr>
        <w:t>del FMI</w:t>
      </w:r>
      <w:r w:rsidR="00FE161B" w:rsidRPr="0015303E">
        <w:rPr>
          <w:rFonts w:ascii="Arial" w:hAnsi="Arial" w:cs="Arial"/>
          <w:b/>
          <w:lang w:val="es-ES"/>
        </w:rPr>
        <w:t xml:space="preserve"> </w:t>
      </w:r>
    </w:p>
    <w:p w:rsidR="00FE161B" w:rsidRPr="0015303E" w:rsidRDefault="00FE161B">
      <w:pPr>
        <w:rPr>
          <w:rFonts w:ascii="Arial" w:hAnsi="Arial" w:cs="Arial"/>
          <w:b/>
          <w:lang w:val="es-ES"/>
        </w:rPr>
      </w:pPr>
    </w:p>
    <w:p w:rsidR="004D2256" w:rsidRPr="0015303E" w:rsidRDefault="004D2256" w:rsidP="0045318A">
      <w:pPr>
        <w:rPr>
          <w:rFonts w:ascii="Arial" w:hAnsi="Arial" w:cs="Arial"/>
          <w:lang w:val="es-ES"/>
        </w:rPr>
      </w:pPr>
    </w:p>
    <w:p w:rsidR="004D2256" w:rsidRPr="0015303E" w:rsidRDefault="004D2256" w:rsidP="0045318A">
      <w:pPr>
        <w:rPr>
          <w:rFonts w:ascii="Arial" w:hAnsi="Arial" w:cs="Arial"/>
          <w:lang w:val="es-ES"/>
        </w:rPr>
      </w:pPr>
    </w:p>
    <w:p w:rsidR="004D2256" w:rsidRPr="0015303E" w:rsidRDefault="004D2256" w:rsidP="0045318A">
      <w:pPr>
        <w:rPr>
          <w:rFonts w:ascii="Arial" w:hAnsi="Arial" w:cs="Arial"/>
          <w:lang w:val="es-ES"/>
        </w:rPr>
      </w:pPr>
    </w:p>
    <w:p w:rsidR="004D2256" w:rsidRPr="0015303E" w:rsidRDefault="004D2256" w:rsidP="0045318A">
      <w:pPr>
        <w:rPr>
          <w:rFonts w:ascii="Arial" w:hAnsi="Arial" w:cs="Arial"/>
          <w:lang w:val="es-ES"/>
        </w:rPr>
      </w:pPr>
    </w:p>
    <w:p w:rsidR="004D2256" w:rsidRPr="0015303E" w:rsidRDefault="004D2256" w:rsidP="0045318A">
      <w:pPr>
        <w:rPr>
          <w:rFonts w:ascii="Arial" w:hAnsi="Arial" w:cs="Arial"/>
          <w:lang w:val="es-ES"/>
        </w:rPr>
      </w:pPr>
    </w:p>
    <w:p w:rsidR="0045318A" w:rsidRPr="0015303E" w:rsidRDefault="0045318A" w:rsidP="0045318A">
      <w:pPr>
        <w:rPr>
          <w:rFonts w:ascii="Arial" w:hAnsi="Arial" w:cs="Arial"/>
          <w:lang w:val="es-ES"/>
        </w:rPr>
      </w:pPr>
    </w:p>
    <w:p w:rsidR="00C26F4E" w:rsidRPr="0015303E" w:rsidRDefault="00C26F4E" w:rsidP="0045318A">
      <w:pPr>
        <w:rPr>
          <w:rFonts w:ascii="Arial" w:hAnsi="Arial" w:cs="Arial"/>
          <w:lang w:val="es-ES"/>
        </w:rPr>
      </w:pPr>
    </w:p>
    <w:p w:rsidR="00C26F4E" w:rsidRPr="0015303E" w:rsidRDefault="00C26F4E" w:rsidP="0045318A">
      <w:pPr>
        <w:rPr>
          <w:rFonts w:ascii="Arial" w:hAnsi="Arial" w:cs="Arial"/>
          <w:lang w:val="es-ES"/>
        </w:rPr>
      </w:pPr>
    </w:p>
    <w:p w:rsidR="00C26F4E" w:rsidRPr="0015303E" w:rsidRDefault="00C26F4E" w:rsidP="0045318A">
      <w:pPr>
        <w:rPr>
          <w:rFonts w:ascii="Arial" w:hAnsi="Arial" w:cs="Arial"/>
          <w:lang w:val="es-ES"/>
        </w:rPr>
      </w:pPr>
    </w:p>
    <w:p w:rsidR="00C26F4E" w:rsidRPr="0015303E" w:rsidRDefault="00C26F4E" w:rsidP="0045318A">
      <w:pPr>
        <w:rPr>
          <w:rFonts w:ascii="Arial" w:hAnsi="Arial" w:cs="Arial"/>
          <w:lang w:val="es-ES"/>
        </w:rPr>
      </w:pPr>
    </w:p>
    <w:p w:rsidR="00C200F6" w:rsidRPr="0015303E" w:rsidRDefault="00C26F4E" w:rsidP="0045318A">
      <w:pPr>
        <w:rPr>
          <w:rFonts w:ascii="Arial" w:hAnsi="Arial" w:cs="Arial"/>
          <w:lang w:val="es-ES"/>
        </w:rPr>
      </w:pPr>
      <w:r w:rsidRPr="0015303E">
        <w:rPr>
          <w:rFonts w:ascii="Arial" w:hAnsi="Arial" w:cs="Arial"/>
          <w:lang w:val="es-ES"/>
        </w:rPr>
        <w:t xml:space="preserve">Nótese que: </w:t>
      </w:r>
    </w:p>
    <w:p w:rsidR="00F23AF7" w:rsidRPr="0015303E" w:rsidRDefault="00C26F4E" w:rsidP="00F23AF7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 w:rsidRPr="0015303E">
        <w:rPr>
          <w:rFonts w:ascii="Arial" w:hAnsi="Arial" w:cs="Arial"/>
          <w:lang w:val="es-ES"/>
        </w:rPr>
        <w:t xml:space="preserve">La línea roja </w:t>
      </w:r>
      <w:r w:rsidR="00F23AF7" w:rsidRPr="0015303E">
        <w:rPr>
          <w:rFonts w:ascii="Arial" w:hAnsi="Arial" w:cs="Arial"/>
          <w:lang w:val="es-ES"/>
        </w:rPr>
        <w:t xml:space="preserve">Separa los rubros de ingresos y gastos corrientes/de capital, que están sobre la línea, y las fuentes de financiamiento del déficit, debajo de la línea. </w:t>
      </w:r>
    </w:p>
    <w:p w:rsidR="00F23AF7" w:rsidRPr="0015303E" w:rsidRDefault="00F23AF7" w:rsidP="00F23AF7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 w:rsidRPr="0015303E">
        <w:rPr>
          <w:rFonts w:ascii="Arial" w:hAnsi="Arial" w:cs="Arial"/>
          <w:lang w:val="es-ES"/>
        </w:rPr>
        <w:t xml:space="preserve">Préstamos netos para de estar encima de la línea roja en la versión original, a ser un componente de una de las dos categorías que está bajo la línea roja en la versión posterior. </w:t>
      </w:r>
    </w:p>
    <w:p w:rsidR="00F23AF7" w:rsidRPr="0015303E" w:rsidRDefault="00F23AF7" w:rsidP="00F23AF7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 w:rsidRPr="0015303E">
        <w:rPr>
          <w:rFonts w:ascii="Arial" w:hAnsi="Arial" w:cs="Arial"/>
          <w:lang w:val="es-ES"/>
        </w:rPr>
        <w:t xml:space="preserve"> Hay cuatro categorías en la versión original (constituida por seis subcategorías), pero estás mismas seis categorías componen sólo cinco categorías en la versión posterior – esto es porque la compra de activos no financiaros, que en la versión original era parte del gasto, pasa a conformar una categoría nueva en la versión posterior (i.e., “compras netas de activos no financiaros”) cuando se </w:t>
      </w:r>
      <w:proofErr w:type="spellStart"/>
      <w:r w:rsidRPr="0015303E">
        <w:rPr>
          <w:rFonts w:ascii="Arial" w:hAnsi="Arial" w:cs="Arial"/>
          <w:lang w:val="es-ES"/>
        </w:rPr>
        <w:t>netea</w:t>
      </w:r>
      <w:proofErr w:type="spellEnd"/>
      <w:r w:rsidRPr="0015303E">
        <w:rPr>
          <w:rFonts w:ascii="Arial" w:hAnsi="Arial" w:cs="Arial"/>
          <w:lang w:val="es-ES"/>
        </w:rPr>
        <w:t xml:space="preserve"> con la venta de activos (originalmente contabilizado como parte de los ingresos).</w:t>
      </w:r>
    </w:p>
    <w:p w:rsidR="00554B51" w:rsidRPr="0015303E" w:rsidRDefault="0045318A">
      <w:pPr>
        <w:rPr>
          <w:rFonts w:ascii="Arial" w:hAnsi="Arial" w:cs="Arial"/>
          <w:b/>
          <w:lang w:val="es-MX"/>
        </w:rPr>
      </w:pPr>
      <w:r w:rsidRPr="0015303E">
        <w:rPr>
          <w:rFonts w:ascii="Arial" w:hAnsi="Arial" w:cs="Arial"/>
          <w:b/>
          <w:lang w:val="es-MX"/>
        </w:rPr>
        <w:t>Indicadores f</w:t>
      </w:r>
      <w:r w:rsidR="00554B51" w:rsidRPr="0015303E">
        <w:rPr>
          <w:rFonts w:ascii="Arial" w:hAnsi="Arial" w:cs="Arial"/>
          <w:b/>
          <w:lang w:val="es-MX"/>
        </w:rPr>
        <w:t xml:space="preserve">iscales </w:t>
      </w:r>
    </w:p>
    <w:p w:rsidR="004D2256" w:rsidRPr="0015303E" w:rsidRDefault="004D2256" w:rsidP="004D2256">
      <w:pPr>
        <w:rPr>
          <w:rFonts w:ascii="Arial" w:hAnsi="Arial" w:cs="Arial"/>
          <w:lang w:val="es-MX"/>
        </w:rPr>
      </w:pPr>
      <w:r w:rsidRPr="0015303E">
        <w:rPr>
          <w:rFonts w:ascii="Arial" w:hAnsi="Arial" w:cs="Arial"/>
          <w:color w:val="000000" w:themeColor="text1"/>
          <w:lang w:val="es-MX"/>
        </w:rPr>
        <w:t xml:space="preserve">El </w:t>
      </w:r>
      <w:r w:rsidRPr="0015303E">
        <w:rPr>
          <w:rFonts w:ascii="Arial" w:hAnsi="Arial" w:cs="Arial"/>
          <w:color w:val="00B0F0"/>
          <w:lang w:val="es-MX"/>
        </w:rPr>
        <w:t>Balance del Gobierno</w:t>
      </w:r>
      <w:proofErr w:type="gramStart"/>
      <w:r w:rsidRPr="0015303E">
        <w:rPr>
          <w:rFonts w:ascii="Arial" w:hAnsi="Arial" w:cs="Arial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B0F0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B0F0"/>
                <w:lang w:val="es-MX"/>
              </w:rPr>
              <m:t>BG</m:t>
            </m:r>
          </m:e>
          <m:sub>
            <m:r>
              <w:rPr>
                <w:rFonts w:ascii="Cambria Math" w:hAnsi="Cambria Math" w:cs="Arial"/>
                <w:color w:val="00B0F0"/>
                <w:lang w:val="es-MX"/>
              </w:rPr>
              <m:t>t</m:t>
            </m:r>
          </m:sub>
        </m:sSub>
      </m:oMath>
      <w:r w:rsidRPr="0015303E">
        <w:rPr>
          <w:rFonts w:ascii="Arial" w:hAnsi="Arial" w:cs="Arial"/>
          <w:lang w:val="es-MX"/>
        </w:rPr>
        <w:t>,</w:t>
      </w:r>
      <w:proofErr w:type="gramEnd"/>
      <w:r w:rsidRPr="0015303E">
        <w:rPr>
          <w:rFonts w:ascii="Arial" w:hAnsi="Arial" w:cs="Arial"/>
          <w:lang w:val="es-MX"/>
        </w:rPr>
        <w:t xml:space="preserve"> anotando los ingreses (“revenues”) corrientes y de capital (ie, </w:t>
      </w:r>
      <m:oMath>
        <m:sSubSup>
          <m:sSubSupPr>
            <m:ctrlPr>
              <w:rPr>
                <w:rFonts w:ascii="Cambria Math" w:hAnsi="Cambria Math" w:cs="Arial"/>
                <w:i/>
                <w:lang w:val="es-MX"/>
              </w:rPr>
            </m:ctrlPr>
          </m:sSubSup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b>
            <m:r>
              <w:rPr>
                <w:rFonts w:ascii="Cambria Math" w:hAnsi="Cambria Math" w:cs="Arial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lang w:val="es-MX"/>
              </w:rPr>
              <m:t>C</m:t>
            </m:r>
          </m:sup>
        </m:sSubSup>
      </m:oMath>
      <w:r w:rsidRPr="0015303E">
        <w:rPr>
          <w:rFonts w:ascii="Arial" w:eastAsiaTheme="minorEastAsia" w:hAnsi="Arial" w:cs="Arial"/>
          <w:lang w:val="es-MX"/>
        </w:rPr>
        <w:t xml:space="preserve"> y </w:t>
      </w:r>
      <m:oMath>
        <m:sSubSup>
          <m:sSubSupPr>
            <m:ctrlPr>
              <w:rPr>
                <w:rFonts w:ascii="Cambria Math" w:hAnsi="Cambria Math" w:cs="Arial"/>
                <w:i/>
                <w:lang w:val="es-MX"/>
              </w:rPr>
            </m:ctrlPr>
          </m:sSubSup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b>
            <m:r>
              <w:rPr>
                <w:rFonts w:ascii="Cambria Math" w:hAnsi="Cambria Math" w:cs="Arial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lang w:val="es-MX"/>
              </w:rPr>
              <m:t>K</m:t>
            </m:r>
          </m:sup>
        </m:sSubSup>
      </m:oMath>
      <w:r w:rsidRPr="0015303E">
        <w:rPr>
          <w:rFonts w:ascii="Arial" w:eastAsiaTheme="minorEastAsia" w:hAnsi="Arial" w:cs="Arial"/>
          <w:lang w:val="es-MX"/>
        </w:rPr>
        <w:t xml:space="preserve">, respectivamente), y restándoles los gastos </w:t>
      </w:r>
      <w:r w:rsidRPr="0015303E">
        <w:rPr>
          <w:rFonts w:ascii="Arial" w:hAnsi="Arial" w:cs="Arial"/>
          <w:lang w:val="es-MX"/>
        </w:rPr>
        <w:t>corrientes y de capital  (</w:t>
      </w:r>
      <w:proofErr w:type="spellStart"/>
      <w:r w:rsidRPr="0015303E">
        <w:rPr>
          <w:rFonts w:ascii="Arial" w:hAnsi="Arial" w:cs="Arial"/>
          <w:lang w:val="es-MX"/>
        </w:rPr>
        <w:t>ie</w:t>
      </w:r>
      <w:proofErr w:type="spellEnd"/>
      <w:r w:rsidRPr="0015303E">
        <w:rPr>
          <w:rFonts w:ascii="Arial" w:hAnsi="Arial" w:cs="Arial"/>
          <w:lang w:val="es-MX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lang w:val="es-MX"/>
              </w:rPr>
            </m:ctrlPr>
          </m:sSubSupPr>
          <m:e>
            <m:r>
              <w:rPr>
                <w:rFonts w:ascii="Cambria Math" w:hAnsi="Cambria Math" w:cs="Arial"/>
                <w:lang w:val="es-MX"/>
              </w:rPr>
              <m:t>G</m:t>
            </m:r>
          </m:e>
          <m:sub>
            <m:r>
              <w:rPr>
                <w:rFonts w:ascii="Cambria Math" w:hAnsi="Cambria Math" w:cs="Arial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lang w:val="es-MX"/>
              </w:rPr>
              <m:t>C</m:t>
            </m:r>
          </m:sup>
        </m:sSubSup>
      </m:oMath>
      <w:r w:rsidRPr="0015303E">
        <w:rPr>
          <w:rFonts w:ascii="Arial" w:eastAsiaTheme="minorEastAsia" w:hAnsi="Arial" w:cs="Arial"/>
          <w:lang w:val="es-MX"/>
        </w:rPr>
        <w:t xml:space="preserve"> y </w:t>
      </w:r>
      <m:oMath>
        <m:sSubSup>
          <m:sSubSupPr>
            <m:ctrlPr>
              <w:rPr>
                <w:rFonts w:ascii="Cambria Math" w:hAnsi="Cambria Math" w:cs="Arial"/>
                <w:i/>
                <w:lang w:val="es-MX"/>
              </w:rPr>
            </m:ctrlPr>
          </m:sSubSupPr>
          <m:e>
            <m:r>
              <w:rPr>
                <w:rFonts w:ascii="Cambria Math" w:hAnsi="Cambria Math" w:cs="Arial"/>
                <w:lang w:val="es-MX"/>
              </w:rPr>
              <m:t>G</m:t>
            </m:r>
          </m:e>
          <m:sub>
            <m:r>
              <w:rPr>
                <w:rFonts w:ascii="Cambria Math" w:hAnsi="Cambria Math" w:cs="Arial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lang w:val="es-MX"/>
              </w:rPr>
              <m:t>K</m:t>
            </m:r>
          </m:sup>
        </m:sSubSup>
      </m:oMath>
      <w:r w:rsidRPr="0015303E">
        <w:rPr>
          <w:rFonts w:ascii="Arial" w:eastAsiaTheme="minorEastAsia" w:hAnsi="Arial" w:cs="Arial"/>
          <w:lang w:val="es-MX"/>
        </w:rPr>
        <w:t>, respectivamente):</w:t>
      </w:r>
    </w:p>
    <w:p w:rsidR="004D2256" w:rsidRPr="0015303E" w:rsidRDefault="0015303E">
      <w:pPr>
        <w:rPr>
          <w:rFonts w:ascii="Arial" w:eastAsiaTheme="minorEastAsia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B0F0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color w:val="00B0F0"/>
                  <w:lang w:val="es-MX"/>
                </w:rPr>
                <m:t>BG</m:t>
              </m:r>
            </m:e>
            <m:sub>
              <m:r>
                <w:rPr>
                  <w:rFonts w:ascii="Cambria Math" w:hAnsi="Cambria Math" w:cs="Arial"/>
                  <w:color w:val="00B0F0"/>
                  <w:lang w:val="es-MX"/>
                </w:rPr>
                <m:t>t</m:t>
              </m:r>
            </m:sub>
          </m:sSub>
          <m:r>
            <w:rPr>
              <w:rFonts w:ascii="Cambria Math" w:hAnsi="Cambria Math" w:cs="Arial"/>
              <w:lang w:val="es-MX"/>
            </w:rPr>
            <m:t>≡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lang w:val="es-MX"/>
                    </w:rPr>
                    <m:t>C</m:t>
                  </m:r>
                </m:sup>
              </m:sSubSup>
              <m:r>
                <w:rPr>
                  <w:rFonts w:ascii="Cambria Math" w:hAnsi="Cambria Math" w:cs="Arial"/>
                  <w:lang w:val="es-MX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lang w:val="es-MX"/>
                    </w:rPr>
                    <m:t>C</m:t>
                  </m:r>
                </m:sup>
              </m:sSubSup>
            </m:e>
          </m:d>
          <m:r>
            <w:rPr>
              <w:rFonts w:ascii="Cambria Math" w:hAnsi="Cambria Math" w:cs="Arial"/>
              <w:lang w:val="es-MX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B050"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B050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B050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color w:val="00B050"/>
                      <w:lang w:val="es-MX"/>
                    </w:rPr>
                    <m:t>K</m:t>
                  </m:r>
                </m:sup>
              </m:sSubSup>
              <m:r>
                <w:rPr>
                  <w:rFonts w:ascii="Cambria Math" w:hAnsi="Cambria Math" w:cs="Arial"/>
                  <w:color w:val="00B050"/>
                  <w:lang w:val="es-MX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B050"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B050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color w:val="00B050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color w:val="00B050"/>
                      <w:lang w:val="es-MX"/>
                    </w:rPr>
                    <m:t>K</m:t>
                  </m:r>
                </m:sup>
              </m:sSubSup>
            </m:e>
          </m:d>
        </m:oMath>
      </m:oMathPara>
    </w:p>
    <w:p w:rsidR="002D50E8" w:rsidRPr="0015303E" w:rsidRDefault="004D2256">
      <w:pPr>
        <w:rPr>
          <w:rFonts w:ascii="Arial" w:eastAsiaTheme="minorEastAsia" w:hAnsi="Arial" w:cs="Arial"/>
          <w:lang w:val="es-MX"/>
        </w:rPr>
      </w:pPr>
      <w:proofErr w:type="spellStart"/>
      <w:r w:rsidRPr="0015303E">
        <w:rPr>
          <w:rFonts w:ascii="Arial" w:eastAsiaTheme="minorEastAsia" w:hAnsi="Arial" w:cs="Arial"/>
          <w:lang w:val="es-MX"/>
        </w:rPr>
        <w:t>Notese</w:t>
      </w:r>
      <w:proofErr w:type="spellEnd"/>
      <w:r w:rsidRPr="0015303E">
        <w:rPr>
          <w:rFonts w:ascii="Arial" w:eastAsiaTheme="minorEastAsia" w:hAnsi="Arial" w:cs="Arial"/>
          <w:lang w:val="es-MX"/>
        </w:rPr>
        <w:t xml:space="preserve"> que </w:t>
      </w:r>
      <m:oMath>
        <m:sSubSup>
          <m:sSubSupPr>
            <m:ctrlPr>
              <w:rPr>
                <w:rFonts w:ascii="Cambria Math" w:hAnsi="Cambria Math" w:cs="Arial"/>
                <w:i/>
                <w:color w:val="00B050"/>
                <w:lang w:val="es-MX"/>
              </w:rPr>
            </m:ctrlPr>
          </m:sSubSupPr>
          <m:e>
            <m:r>
              <w:rPr>
                <w:rFonts w:ascii="Cambria Math" w:hAnsi="Cambria Math" w:cs="Arial"/>
                <w:color w:val="00B050"/>
                <w:lang w:val="es-MX"/>
              </w:rPr>
              <m:t>R</m:t>
            </m:r>
          </m:e>
          <m:sub>
            <m:r>
              <w:rPr>
                <w:rFonts w:ascii="Cambria Math" w:hAnsi="Cambria Math" w:cs="Arial"/>
                <w:color w:val="00B050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color w:val="00B050"/>
                <w:lang w:val="es-MX"/>
              </w:rPr>
              <m:t>K</m:t>
            </m:r>
          </m:sup>
        </m:sSubSup>
        <m:r>
          <w:rPr>
            <w:rFonts w:ascii="Cambria Math" w:hAnsi="Cambria Math" w:cs="Arial"/>
            <w:color w:val="00B050"/>
            <w:lang w:val="es-MX"/>
          </w:rPr>
          <m:t>-</m:t>
        </m:r>
        <m:sSubSup>
          <m:sSubSupPr>
            <m:ctrlPr>
              <w:rPr>
                <w:rFonts w:ascii="Cambria Math" w:hAnsi="Cambria Math" w:cs="Arial"/>
                <w:i/>
                <w:color w:val="00B050"/>
                <w:lang w:val="es-MX"/>
              </w:rPr>
            </m:ctrlPr>
          </m:sSubSupPr>
          <m:e>
            <m:r>
              <w:rPr>
                <w:rFonts w:ascii="Cambria Math" w:hAnsi="Cambria Math" w:cs="Arial"/>
                <w:color w:val="00B050"/>
                <w:lang w:val="es-MX"/>
              </w:rPr>
              <m:t>G</m:t>
            </m:r>
          </m:e>
          <m:sub>
            <m:r>
              <w:rPr>
                <w:rFonts w:ascii="Cambria Math" w:hAnsi="Cambria Math" w:cs="Arial"/>
                <w:color w:val="00B050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color w:val="00B050"/>
                <w:lang w:val="es-MX"/>
              </w:rPr>
              <m:t>K</m:t>
            </m:r>
          </m:sup>
        </m:sSubSup>
      </m:oMath>
      <w:r w:rsidRPr="0015303E">
        <w:rPr>
          <w:rFonts w:ascii="Arial" w:eastAsiaTheme="minorEastAsia" w:hAnsi="Arial" w:cs="Arial"/>
          <w:lang w:val="es-MX"/>
        </w:rPr>
        <w:t xml:space="preserve"> es la</w:t>
      </w:r>
      <w:r w:rsidR="008B76EC" w:rsidRPr="0015303E">
        <w:rPr>
          <w:rFonts w:ascii="Arial" w:eastAsiaTheme="minorEastAsia" w:hAnsi="Arial" w:cs="Arial"/>
          <w:lang w:val="es-MX"/>
        </w:rPr>
        <w:t xml:space="preserve"> </w:t>
      </w:r>
      <w:r w:rsidR="008B76EC" w:rsidRPr="0015303E">
        <w:rPr>
          <w:rFonts w:ascii="Arial" w:eastAsiaTheme="minorEastAsia" w:hAnsi="Arial" w:cs="Arial"/>
          <w:color w:val="00B050"/>
          <w:lang w:val="es-MX"/>
        </w:rPr>
        <w:t>adquisición neta de activos</w:t>
      </w:r>
      <w:r w:rsidR="008B76EC" w:rsidRPr="0015303E">
        <w:rPr>
          <w:rFonts w:ascii="Arial" w:eastAsiaTheme="minorEastAsia" w:hAnsi="Arial" w:cs="Arial"/>
          <w:lang w:val="es-MX"/>
        </w:rPr>
        <w:t xml:space="preserve">. </w:t>
      </w:r>
    </w:p>
    <w:p w:rsidR="00AE4C8B" w:rsidRPr="0015303E" w:rsidRDefault="00AE4C8B">
      <w:pPr>
        <w:rPr>
          <w:rFonts w:ascii="Arial" w:eastAsiaTheme="minorEastAsia" w:hAnsi="Arial" w:cs="Arial"/>
          <w:lang w:val="es-MX"/>
        </w:rPr>
      </w:pPr>
      <w:r w:rsidRPr="0015303E">
        <w:rPr>
          <w:rFonts w:ascii="Arial" w:hAnsi="Arial" w:cs="Arial"/>
          <w:color w:val="000000" w:themeColor="text1"/>
          <w:lang w:val="es-MX"/>
        </w:rPr>
        <w:lastRenderedPageBreak/>
        <w:t xml:space="preserve">El </w:t>
      </w:r>
      <w:r w:rsidRPr="0015303E">
        <w:rPr>
          <w:rFonts w:ascii="Arial" w:hAnsi="Arial" w:cs="Arial"/>
          <w:color w:val="00B0F0"/>
          <w:lang w:val="es-MX"/>
        </w:rPr>
        <w:t>Balance del Gobierno</w:t>
      </w:r>
      <w:r w:rsidRPr="0015303E">
        <w:rPr>
          <w:rFonts w:ascii="Arial" w:hAnsi="Arial" w:cs="Arial"/>
          <w:lang w:val="es-MX"/>
        </w:rPr>
        <w:t xml:space="preserve"> también puede expresado como </w:t>
      </w:r>
      <w:r w:rsidR="0064135D" w:rsidRPr="0015303E">
        <w:rPr>
          <w:rFonts w:ascii="Arial" w:hAnsi="Arial" w:cs="Arial"/>
          <w:lang w:val="es-MX"/>
        </w:rPr>
        <w:t xml:space="preserve">la diferencia entra </w:t>
      </w:r>
      <w:r w:rsidRPr="0015303E">
        <w:rPr>
          <w:rFonts w:ascii="Arial" w:hAnsi="Arial" w:cs="Arial"/>
          <w:lang w:val="es-MX"/>
        </w:rPr>
        <w:t xml:space="preserve">el </w:t>
      </w:r>
      <w:r w:rsidRPr="0015303E">
        <w:rPr>
          <w:rFonts w:ascii="Arial" w:hAnsi="Arial" w:cs="Arial"/>
          <w:color w:val="C45911" w:themeColor="accent2" w:themeShade="BF"/>
          <w:lang w:val="es-MX"/>
        </w:rPr>
        <w:t xml:space="preserve">cambio en activos entre </w:t>
      </w:r>
      <m:oMath>
        <m:r>
          <w:rPr>
            <w:rFonts w:ascii="Cambria Math" w:hAnsi="Cambria Math" w:cs="Arial"/>
            <w:color w:val="C45911" w:themeColor="accent2" w:themeShade="BF"/>
            <w:lang w:val="es-MX"/>
          </w:rPr>
          <m:t>t-1</m:t>
        </m:r>
      </m:oMath>
      <w:r w:rsidRPr="0015303E">
        <w:rPr>
          <w:rFonts w:ascii="Arial" w:hAnsi="Arial" w:cs="Arial"/>
          <w:color w:val="C45911" w:themeColor="accent2" w:themeShade="BF"/>
          <w:lang w:val="es-MX"/>
        </w:rPr>
        <w:t xml:space="preserve"> y </w:t>
      </w:r>
      <m:oMath>
        <m:r>
          <w:rPr>
            <w:rFonts w:ascii="Cambria Math" w:hAnsi="Cambria Math" w:cs="Arial"/>
            <w:color w:val="C45911" w:themeColor="accent2" w:themeShade="BF"/>
            <w:lang w:val="es-MX"/>
          </w:rPr>
          <m:t>t</m:t>
        </m:r>
      </m:oMath>
      <w:r w:rsidRPr="0015303E">
        <w:rPr>
          <w:rFonts w:ascii="Arial" w:hAnsi="Arial" w:cs="Arial"/>
          <w:lang w:val="es-MX"/>
        </w:rPr>
        <w:t xml:space="preserve"> y el </w:t>
      </w:r>
      <w:r w:rsidRPr="0015303E">
        <w:rPr>
          <w:rFonts w:ascii="Arial" w:hAnsi="Arial" w:cs="Arial"/>
          <w:color w:val="E428DF"/>
          <w:lang w:val="es-MX"/>
        </w:rPr>
        <w:t xml:space="preserve">cambio en pasivos entre </w:t>
      </w:r>
      <m:oMath>
        <m:r>
          <w:rPr>
            <w:rFonts w:ascii="Cambria Math" w:hAnsi="Cambria Math" w:cs="Arial"/>
            <w:color w:val="E428DF"/>
            <w:lang w:val="es-MX"/>
          </w:rPr>
          <m:t>t-1</m:t>
        </m:r>
      </m:oMath>
      <w:r w:rsidRPr="0015303E">
        <w:rPr>
          <w:rFonts w:ascii="Arial" w:hAnsi="Arial" w:cs="Arial"/>
          <w:color w:val="E428DF"/>
          <w:lang w:val="es-MX"/>
        </w:rPr>
        <w:t xml:space="preserve"> y </w:t>
      </w:r>
      <m:oMath>
        <m:r>
          <w:rPr>
            <w:rFonts w:ascii="Cambria Math" w:hAnsi="Cambria Math" w:cs="Arial"/>
            <w:color w:val="E428DF"/>
            <w:lang w:val="es-MX"/>
          </w:rPr>
          <m:t>t</m:t>
        </m:r>
      </m:oMath>
      <w:r w:rsidRPr="0015303E">
        <w:rPr>
          <w:rFonts w:ascii="Arial" w:eastAsiaTheme="minorEastAsia" w:hAnsi="Arial" w:cs="Arial"/>
          <w:lang w:val="es-MX"/>
        </w:rPr>
        <w:t>:</w:t>
      </w:r>
    </w:p>
    <w:p w:rsidR="00AE4C8B" w:rsidRPr="0015303E" w:rsidRDefault="0015303E">
      <w:pPr>
        <w:rPr>
          <w:rFonts w:ascii="Arial" w:eastAsiaTheme="minorEastAsia" w:hAnsi="Arial" w:cs="Arial"/>
          <w:color w:val="E428DF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B0F0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color w:val="00B0F0"/>
                  <w:lang w:val="es-MX"/>
                </w:rPr>
                <m:t>BG</m:t>
              </m:r>
            </m:e>
            <m:sub>
              <m:r>
                <w:rPr>
                  <w:rFonts w:ascii="Cambria Math" w:hAnsi="Cambria Math" w:cs="Arial"/>
                  <w:color w:val="00B0F0"/>
                  <w:lang w:val="es-MX"/>
                </w:rPr>
                <m:t>t</m:t>
              </m:r>
            </m:sub>
          </m:sSub>
          <m:r>
            <w:rPr>
              <w:rFonts w:ascii="Cambria Math" w:hAnsi="Cambria Math" w:cs="Arial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C45911" w:themeColor="accent2" w:themeShade="BF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color w:val="C45911" w:themeColor="accent2" w:themeShade="BF"/>
                  <w:lang w:val="es-MX"/>
                </w:rPr>
                <m:t>∆A</m:t>
              </m:r>
            </m:e>
            <m:sub>
              <m:r>
                <w:rPr>
                  <w:rFonts w:ascii="Cambria Math" w:hAnsi="Cambria Math" w:cs="Arial"/>
                  <w:color w:val="C45911" w:themeColor="accent2" w:themeShade="BF"/>
                  <w:lang w:val="es-MX"/>
                </w:rPr>
                <m:t>t</m:t>
              </m:r>
            </m:sub>
          </m:sSub>
          <m:r>
            <w:rPr>
              <w:rFonts w:ascii="Cambria Math" w:hAnsi="Cambria Math" w:cs="Arial"/>
              <w:lang w:val="es-MX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E428DF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color w:val="E428DF"/>
                  <w:lang w:val="es-MX"/>
                </w:rPr>
                <m:t>∆D</m:t>
              </m:r>
            </m:e>
            <m:sub>
              <m:r>
                <w:rPr>
                  <w:rFonts w:ascii="Cambria Math" w:hAnsi="Cambria Math" w:cs="Arial"/>
                  <w:color w:val="E428DF"/>
                  <w:lang w:val="es-MX"/>
                </w:rPr>
                <m:t>t</m:t>
              </m:r>
            </m:sub>
          </m:sSub>
        </m:oMath>
      </m:oMathPara>
    </w:p>
    <w:p w:rsidR="00671BFD" w:rsidRPr="0015303E" w:rsidRDefault="00671BFD" w:rsidP="00671BFD">
      <w:pPr>
        <w:pStyle w:val="Prrafodelista"/>
        <w:numPr>
          <w:ilvl w:val="0"/>
          <w:numId w:val="8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Si </w:t>
      </w:r>
      <m:oMath>
        <m:sSub>
          <m:sSubPr>
            <m:ctrlPr>
              <w:rPr>
                <w:rFonts w:ascii="Cambria Math" w:hAnsi="Cambria Math" w:cs="Arial"/>
                <w:i/>
                <w:color w:val="00B0F0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B0F0"/>
                <w:lang w:val="es-MX"/>
              </w:rPr>
              <m:t>BG</m:t>
            </m:r>
          </m:e>
          <m:sub>
            <m:r>
              <w:rPr>
                <w:rFonts w:ascii="Cambria Math" w:hAnsi="Cambria Math" w:cs="Arial"/>
                <w:color w:val="00B0F0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lang w:val="es-MX"/>
          </w:rPr>
          <m:t>&gt;</m:t>
        </m:r>
        <m:r>
          <w:rPr>
            <w:rFonts w:ascii="Cambria Math" w:hAnsi="Cambria Math" w:cs="Arial"/>
            <w:color w:val="000000" w:themeColor="text1"/>
            <w:lang w:val="es-MX"/>
          </w:rPr>
          <m:t>0</m:t>
        </m:r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>, ie si</w:t>
      </w:r>
      <w:r w:rsidRPr="0015303E">
        <w:rPr>
          <w:rFonts w:ascii="Arial" w:eastAsiaTheme="minorEastAsia" w:hAnsi="Arial" w:cs="Arial"/>
          <w:color w:val="C45911" w:themeColor="accent2" w:themeShade="BF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45911" w:themeColor="accent2" w:themeShade="BF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C45911" w:themeColor="accent2" w:themeShade="BF"/>
                <w:lang w:val="es-MX"/>
              </w:rPr>
              <m:t>∆A</m:t>
            </m:r>
          </m:e>
          <m:sub>
            <m:r>
              <w:rPr>
                <w:rFonts w:ascii="Cambria Math" w:hAnsi="Cambria Math" w:cs="Arial"/>
                <w:color w:val="C45911" w:themeColor="accent2" w:themeShade="BF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lang w:val="es-MX"/>
          </w:rPr>
          <m:t>&gt;</m:t>
        </m:r>
        <m:sSub>
          <m:sSubPr>
            <m:ctrlPr>
              <w:rPr>
                <w:rFonts w:ascii="Cambria Math" w:hAnsi="Cambria Math" w:cs="Arial"/>
                <w:i/>
                <w:color w:val="E428DF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E428DF"/>
                <w:lang w:val="es-MX"/>
              </w:rPr>
              <m:t>∆D</m:t>
            </m:r>
          </m:e>
          <m:sub>
            <m:r>
              <w:rPr>
                <w:rFonts w:ascii="Cambria Math" w:hAnsi="Cambria Math" w:cs="Arial"/>
                <w:color w:val="E428DF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color w:val="E428DF"/>
          <w:lang w:val="es-MX"/>
        </w:rPr>
        <w:t xml:space="preserve">, </w:t>
      </w:r>
      <w:r w:rsidRPr="0015303E">
        <w:rPr>
          <w:rFonts w:ascii="Arial" w:eastAsiaTheme="minorEastAsia" w:hAnsi="Arial" w:cs="Arial"/>
          <w:lang w:val="es-MX"/>
        </w:rPr>
        <w:t>el endeudamiento neto del gobierno cae</w:t>
      </w:r>
    </w:p>
    <w:p w:rsidR="00671BFD" w:rsidRPr="0015303E" w:rsidRDefault="00671BFD" w:rsidP="00671BFD">
      <w:pPr>
        <w:pStyle w:val="Prrafodelista"/>
        <w:numPr>
          <w:ilvl w:val="0"/>
          <w:numId w:val="8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Si </w:t>
      </w:r>
      <m:oMath>
        <m:sSub>
          <m:sSubPr>
            <m:ctrlPr>
              <w:rPr>
                <w:rFonts w:ascii="Cambria Math" w:hAnsi="Cambria Math" w:cs="Arial"/>
                <w:i/>
                <w:color w:val="00B0F0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B0F0"/>
                <w:lang w:val="es-MX"/>
              </w:rPr>
              <m:t>BG</m:t>
            </m:r>
          </m:e>
          <m:sub>
            <m:r>
              <w:rPr>
                <w:rFonts w:ascii="Cambria Math" w:hAnsi="Cambria Math" w:cs="Arial"/>
                <w:color w:val="00B0F0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lang w:val="es-MX"/>
          </w:rPr>
          <m:t>&lt;</m:t>
        </m:r>
        <m:r>
          <w:rPr>
            <w:rFonts w:ascii="Cambria Math" w:hAnsi="Cambria Math" w:cs="Arial"/>
            <w:color w:val="000000" w:themeColor="text1"/>
            <w:lang w:val="es-MX"/>
          </w:rPr>
          <m:t>0</m:t>
        </m:r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, ie si </w:t>
      </w:r>
      <m:oMath>
        <m:sSub>
          <m:sSubPr>
            <m:ctrlPr>
              <w:rPr>
                <w:rFonts w:ascii="Cambria Math" w:hAnsi="Cambria Math" w:cs="Arial"/>
                <w:i/>
                <w:color w:val="C45911" w:themeColor="accent2" w:themeShade="BF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C45911" w:themeColor="accent2" w:themeShade="BF"/>
                <w:lang w:val="es-MX"/>
              </w:rPr>
              <m:t>∆A</m:t>
            </m:r>
          </m:e>
          <m:sub>
            <m:r>
              <w:rPr>
                <w:rFonts w:ascii="Cambria Math" w:hAnsi="Cambria Math" w:cs="Arial"/>
                <w:color w:val="C45911" w:themeColor="accent2" w:themeShade="BF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lang w:val="es-MX"/>
          </w:rPr>
          <m:t>&lt;</m:t>
        </m:r>
        <m:sSub>
          <m:sSubPr>
            <m:ctrlPr>
              <w:rPr>
                <w:rFonts w:ascii="Cambria Math" w:hAnsi="Cambria Math" w:cs="Arial"/>
                <w:i/>
                <w:color w:val="E428DF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E428DF"/>
                <w:lang w:val="es-MX"/>
              </w:rPr>
              <m:t>∆D</m:t>
            </m:r>
          </m:e>
          <m:sub>
            <m:r>
              <w:rPr>
                <w:rFonts w:ascii="Cambria Math" w:hAnsi="Cambria Math" w:cs="Arial"/>
                <w:color w:val="E428DF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color w:val="E428DF"/>
          <w:lang w:val="es-MX"/>
        </w:rPr>
        <w:t xml:space="preserve">, </w:t>
      </w:r>
      <w:r w:rsidRPr="0015303E">
        <w:rPr>
          <w:rFonts w:ascii="Arial" w:eastAsiaTheme="minorEastAsia" w:hAnsi="Arial" w:cs="Arial"/>
          <w:lang w:val="es-MX"/>
        </w:rPr>
        <w:t xml:space="preserve">el endeudamiento neto del gobierno </w:t>
      </w:r>
      <w:r w:rsidR="008F6BFD" w:rsidRPr="0015303E">
        <w:rPr>
          <w:rFonts w:ascii="Arial" w:eastAsiaTheme="minorEastAsia" w:hAnsi="Arial" w:cs="Arial"/>
          <w:lang w:val="es-MX"/>
        </w:rPr>
        <w:t>aumenta</w:t>
      </w:r>
    </w:p>
    <w:p w:rsidR="008B76EC" w:rsidRPr="0015303E" w:rsidRDefault="008F6BFD">
      <w:pPr>
        <w:rPr>
          <w:rFonts w:ascii="Arial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E</w:t>
      </w:r>
      <w:r w:rsidR="008B76EC" w:rsidRPr="0015303E">
        <w:rPr>
          <w:rFonts w:ascii="Arial" w:eastAsiaTheme="minorEastAsia" w:hAnsi="Arial" w:cs="Arial"/>
          <w:lang w:val="es-MX"/>
        </w:rPr>
        <w:t xml:space="preserve">l </w:t>
      </w:r>
      <w:r w:rsidR="008B76EC" w:rsidRPr="0015303E">
        <w:rPr>
          <w:rFonts w:ascii="Arial" w:hAnsi="Arial" w:cs="Arial"/>
          <w:color w:val="00B0F0"/>
          <w:lang w:val="es-MX"/>
        </w:rPr>
        <w:t xml:space="preserve">Balance del Gobierno </w:t>
      </w:r>
      <w:r w:rsidRPr="0015303E">
        <w:rPr>
          <w:rFonts w:ascii="Arial" w:hAnsi="Arial" w:cs="Arial"/>
          <w:lang w:val="es-MX"/>
        </w:rPr>
        <w:t>también puede expresarse como una función de</w:t>
      </w:r>
      <w:r w:rsidRPr="0015303E">
        <w:rPr>
          <w:rFonts w:ascii="Arial" w:eastAsiaTheme="minorEastAsia" w:hAnsi="Arial" w:cs="Arial"/>
          <w:lang w:val="es-MX"/>
        </w:rPr>
        <w:t xml:space="preserve">l </w:t>
      </w:r>
      <w:r w:rsidRPr="0015303E">
        <w:rPr>
          <w:rFonts w:ascii="Arial" w:eastAsiaTheme="minorEastAsia" w:hAnsi="Arial" w:cs="Arial"/>
          <w:color w:val="7030A0"/>
          <w:lang w:val="es-MX"/>
        </w:rPr>
        <w:t xml:space="preserve">Balance </w:t>
      </w:r>
      <w:r w:rsidRPr="0015303E">
        <w:rPr>
          <w:rFonts w:ascii="Arial" w:eastAsiaTheme="minorEastAsia" w:hAnsi="Arial" w:cs="Arial"/>
          <w:i/>
          <w:iCs/>
          <w:color w:val="7030A0"/>
          <w:lang w:val="es-MX"/>
        </w:rPr>
        <w:t>Primero</w:t>
      </w:r>
      <w:r w:rsidRPr="0015303E">
        <w:rPr>
          <w:rFonts w:ascii="Arial" w:eastAsiaTheme="minorEastAsia" w:hAnsi="Arial" w:cs="Arial"/>
          <w:color w:val="7030A0"/>
          <w:lang w:val="es-MX"/>
        </w:rPr>
        <w:t xml:space="preserve"> del Gobierno</w:t>
      </w:r>
      <w:proofErr w:type="gramStart"/>
      <w:r w:rsidRPr="0015303E">
        <w:rPr>
          <w:rFonts w:ascii="Arial" w:eastAsiaTheme="minorEastAsia" w:hAnsi="Arial" w:cs="Arial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7030A0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7030A0"/>
                <w:lang w:val="es-MX"/>
              </w:rPr>
              <m:t>BPG</m:t>
            </m:r>
          </m:e>
          <m:sub>
            <m:r>
              <w:rPr>
                <w:rFonts w:ascii="Cambria Math" w:hAnsi="Cambria Math" w:cs="Arial"/>
                <w:color w:val="7030A0"/>
                <w:lang w:val="es-MX"/>
              </w:rPr>
              <m:t>t</m:t>
            </m:r>
          </m:sub>
        </m:sSub>
      </m:oMath>
      <w:r w:rsidRPr="0015303E">
        <w:rPr>
          <w:rFonts w:ascii="Arial" w:hAnsi="Arial" w:cs="Arial"/>
          <w:lang w:val="es-MX"/>
        </w:rPr>
        <w:t>,</w:t>
      </w:r>
      <w:proofErr w:type="gramEnd"/>
      <w:r w:rsidRPr="0015303E">
        <w:rPr>
          <w:rFonts w:ascii="Arial" w:hAnsi="Arial" w:cs="Arial"/>
          <w:lang w:val="es-MX"/>
        </w:rPr>
        <w:t xml:space="preserve"> al que se le suma </w:t>
      </w:r>
      <w:r w:rsidR="008B76EC" w:rsidRPr="0015303E">
        <w:rPr>
          <w:rFonts w:ascii="Arial" w:hAnsi="Arial" w:cs="Arial"/>
          <w:lang w:val="es-MX"/>
        </w:rPr>
        <w:t xml:space="preserve">el neto de los </w:t>
      </w:r>
      <w:r w:rsidR="008B76EC" w:rsidRPr="0015303E">
        <w:rPr>
          <w:rFonts w:ascii="Arial" w:hAnsi="Arial" w:cs="Arial"/>
          <w:color w:val="FFC000" w:themeColor="accent4"/>
          <w:lang w:val="es-MX"/>
        </w:rPr>
        <w:t>intereses gana</w:t>
      </w:r>
      <w:r w:rsidR="002C1032" w:rsidRPr="0015303E">
        <w:rPr>
          <w:rFonts w:ascii="Arial" w:hAnsi="Arial" w:cs="Arial"/>
          <w:color w:val="FFC000" w:themeColor="accent4"/>
          <w:lang w:val="es-MX"/>
        </w:rPr>
        <w:t>d</w:t>
      </w:r>
      <w:r w:rsidR="008B76EC" w:rsidRPr="0015303E">
        <w:rPr>
          <w:rFonts w:ascii="Arial" w:hAnsi="Arial" w:cs="Arial"/>
          <w:color w:val="FFC000" w:themeColor="accent4"/>
          <w:lang w:val="es-MX"/>
        </w:rPr>
        <w:t>os por activos</w:t>
      </w:r>
      <w:r w:rsidR="008B76EC" w:rsidRPr="0015303E">
        <w:rPr>
          <w:rFonts w:ascii="Arial" w:hAnsi="Arial" w:cs="Arial"/>
          <w:lang w:val="es-MX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color w:val="FFC000" w:themeColor="accent4"/>
                <w:lang w:val="es-MX"/>
              </w:rPr>
            </m:ctrlPr>
          </m:sSubSupPr>
          <m:e>
            <m:r>
              <w:rPr>
                <w:rFonts w:ascii="Cambria Math" w:hAnsi="Cambria Math" w:cs="Arial"/>
                <w:color w:val="FFC000" w:themeColor="accent4"/>
                <w:lang w:val="es-MX"/>
              </w:rPr>
              <m:t>i</m:t>
            </m:r>
          </m:e>
          <m:sub>
            <m:r>
              <w:rPr>
                <w:rFonts w:ascii="Cambria Math" w:hAnsi="Cambria Math" w:cs="Arial"/>
                <w:color w:val="FFC000" w:themeColor="accent4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color w:val="FFC000" w:themeColor="accent4"/>
                <w:lang w:val="es-MX"/>
              </w:rPr>
              <m:t>A</m:t>
            </m:r>
          </m:sup>
        </m:sSubSup>
        <m:sSub>
          <m:sSubPr>
            <m:ctrlPr>
              <w:rPr>
                <w:rFonts w:ascii="Cambria Math" w:eastAsiaTheme="minorEastAsia" w:hAnsi="Cambria Math" w:cs="Arial"/>
                <w:i/>
                <w:color w:val="FFC000" w:themeColor="accent4"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C000" w:themeColor="accent4"/>
                <w:lang w:val="es-MX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FFC000" w:themeColor="accent4"/>
                <w:lang w:val="es-MX"/>
              </w:rPr>
              <m:t>t-1</m:t>
            </m:r>
          </m:sub>
        </m:sSub>
      </m:oMath>
      <w:r w:rsidR="008B76EC" w:rsidRPr="0015303E">
        <w:rPr>
          <w:rFonts w:ascii="Arial" w:hAnsi="Arial" w:cs="Arial"/>
          <w:lang w:val="es-MX"/>
        </w:rPr>
        <w:t xml:space="preserve">, y los </w:t>
      </w:r>
      <w:r w:rsidR="008B76EC" w:rsidRPr="0015303E">
        <w:rPr>
          <w:rFonts w:ascii="Arial" w:hAnsi="Arial" w:cs="Arial"/>
          <w:color w:val="C00000"/>
          <w:lang w:val="es-MX"/>
        </w:rPr>
        <w:t xml:space="preserve">intereses cobrados por deuda, </w:t>
      </w:r>
      <m:oMath>
        <m:sSubSup>
          <m:sSubSupPr>
            <m:ctrlPr>
              <w:rPr>
                <w:rFonts w:ascii="Cambria Math" w:hAnsi="Cambria Math" w:cs="Arial"/>
                <w:i/>
                <w:color w:val="C00000"/>
                <w:lang w:val="es-MX"/>
              </w:rPr>
            </m:ctrlPr>
          </m:sSubSupPr>
          <m:e>
            <m:r>
              <w:rPr>
                <w:rFonts w:ascii="Cambria Math" w:hAnsi="Cambria Math" w:cs="Arial"/>
                <w:color w:val="C00000"/>
                <w:lang w:val="es-MX"/>
              </w:rPr>
              <m:t>i</m:t>
            </m:r>
          </m:e>
          <m:sub>
            <m:r>
              <w:rPr>
                <w:rFonts w:ascii="Cambria Math" w:hAnsi="Cambria Math" w:cs="Arial"/>
                <w:color w:val="C00000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color w:val="C00000"/>
                <w:lang w:val="es-MX"/>
              </w:rPr>
              <m:t>D</m:t>
            </m:r>
          </m:sup>
        </m:sSubSup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lang w:val="es-MX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lang w:val="es-MX"/>
              </w:rPr>
              <m:t>t-1</m:t>
            </m:r>
          </m:sub>
        </m:sSub>
      </m:oMath>
      <w:r w:rsidR="008B76EC" w:rsidRPr="0015303E">
        <w:rPr>
          <w:rFonts w:ascii="Arial" w:eastAsiaTheme="minorEastAsia" w:hAnsi="Arial" w:cs="Arial"/>
          <w:lang w:val="es-MX"/>
        </w:rPr>
        <w:t>:</w:t>
      </w:r>
    </w:p>
    <w:p w:rsidR="008B76EC" w:rsidRPr="0015303E" w:rsidRDefault="0015303E">
      <w:pPr>
        <w:rPr>
          <w:rFonts w:ascii="Arial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B0F0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color w:val="00B0F0"/>
                  <w:lang w:val="es-MX"/>
                </w:rPr>
                <m:t>BG</m:t>
              </m:r>
            </m:e>
            <m:sub>
              <m:r>
                <w:rPr>
                  <w:rFonts w:ascii="Cambria Math" w:hAnsi="Cambria Math" w:cs="Arial"/>
                  <w:color w:val="00B0F0"/>
                  <w:lang w:val="es-MX"/>
                </w:rPr>
                <m:t>t</m:t>
              </m:r>
            </m:sub>
          </m:sSub>
          <m:r>
            <w:rPr>
              <w:rFonts w:ascii="Cambria Math" w:hAnsi="Cambria Math" w:cs="Arial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7030A0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color w:val="7030A0"/>
                  <w:lang w:val="es-MX"/>
                </w:rPr>
                <m:t>BPG</m:t>
              </m:r>
            </m:e>
            <m:sub>
              <m:r>
                <w:rPr>
                  <w:rFonts w:ascii="Cambria Math" w:hAnsi="Cambria Math" w:cs="Arial"/>
                  <w:color w:val="7030A0"/>
                  <w:lang w:val="es-MX"/>
                </w:rPr>
                <m:t>t</m:t>
              </m:r>
            </m:sub>
          </m:sSub>
          <m:r>
            <w:rPr>
              <w:rFonts w:ascii="Cambria Math" w:hAnsi="Cambria Math" w:cs="Arial"/>
              <w:lang w:val="es-MX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FFC000" w:themeColor="accent4"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FFC000" w:themeColor="accent4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FFC000" w:themeColor="accent4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color w:val="FFC000" w:themeColor="accent4"/>
                      <w:lang w:val="es-MX"/>
                    </w:rPr>
                    <m:t>A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C000" w:themeColor="accent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C000" w:themeColor="accent4"/>
                      <w:lang w:val="es-MX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C000" w:themeColor="accent4"/>
                      <w:lang w:val="es-MX"/>
                    </w:rPr>
                    <m:t>t-1</m:t>
                  </m:r>
                </m:sub>
              </m:sSub>
              <m:r>
                <w:rPr>
                  <w:rFonts w:ascii="Cambria Math" w:hAnsi="Cambria Math" w:cs="Arial"/>
                  <w:lang w:val="es-MX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C00000"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C00000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color w:val="C00000"/>
                      <w:lang w:val="es-MX"/>
                    </w:rPr>
                    <m:t>D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  <w:lang w:val="es-MX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  <w:lang w:val="es-MX"/>
                    </w:rPr>
                    <m:t>t-1</m:t>
                  </m:r>
                </m:sub>
              </m:sSub>
            </m:e>
          </m:d>
        </m:oMath>
      </m:oMathPara>
    </w:p>
    <w:p w:rsidR="008B76EC" w:rsidRPr="0015303E" w:rsidRDefault="008B76EC">
      <w:p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Si se asume que </w:t>
      </w:r>
      <m:oMath>
        <m:r>
          <w:rPr>
            <w:rFonts w:ascii="Cambria Math" w:eastAsiaTheme="minorEastAsia" w:hAnsi="Cambria Math" w:cs="Arial"/>
            <w:lang w:val="es-MX"/>
          </w:rPr>
          <m:t>A=0</m:t>
        </m:r>
      </m:oMath>
      <w:r w:rsidRPr="0015303E">
        <w:rPr>
          <w:rFonts w:ascii="Arial" w:eastAsiaTheme="minorEastAsia" w:hAnsi="Arial" w:cs="Arial"/>
          <w:lang w:val="es-MX"/>
        </w:rPr>
        <w:t>, entonces:</w:t>
      </w:r>
    </w:p>
    <w:p w:rsidR="008B76EC" w:rsidRPr="0015303E" w:rsidRDefault="0015303E" w:rsidP="008B76EC">
      <w:pPr>
        <w:rPr>
          <w:rFonts w:ascii="Arial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B0F0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color w:val="00B0F0"/>
                  <w:lang w:val="es-MX"/>
                </w:rPr>
                <m:t>BG</m:t>
              </m:r>
            </m:e>
            <m:sub>
              <m:r>
                <w:rPr>
                  <w:rFonts w:ascii="Cambria Math" w:hAnsi="Cambria Math" w:cs="Arial"/>
                  <w:color w:val="00B0F0"/>
                  <w:lang w:val="es-MX"/>
                </w:rPr>
                <m:t>t</m:t>
              </m:r>
            </m:sub>
          </m:sSub>
          <m:r>
            <w:rPr>
              <w:rFonts w:ascii="Cambria Math" w:hAnsi="Cambria Math" w:cs="Arial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7030A0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color w:val="7030A0"/>
                  <w:lang w:val="es-MX"/>
                </w:rPr>
                <m:t>BPG</m:t>
              </m:r>
            </m:e>
            <m:sub>
              <m:r>
                <w:rPr>
                  <w:rFonts w:ascii="Cambria Math" w:hAnsi="Cambria Math" w:cs="Arial"/>
                  <w:color w:val="7030A0"/>
                  <w:lang w:val="es-MX"/>
                </w:rPr>
                <m:t>t</m:t>
              </m:r>
            </m:sub>
          </m:sSub>
          <m:r>
            <w:rPr>
              <w:rFonts w:ascii="Cambria Math" w:hAnsi="Cambria Math" w:cs="Arial"/>
              <w:lang w:val="es-MX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color w:val="C00000"/>
                  <w:lang w:val="es-MX"/>
                </w:rPr>
              </m:ctrlPr>
            </m:sSubSupPr>
            <m:e>
              <m:r>
                <w:rPr>
                  <w:rFonts w:ascii="Cambria Math" w:hAnsi="Cambria Math" w:cs="Arial"/>
                  <w:color w:val="C00000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Arial"/>
                  <w:color w:val="C00000"/>
                  <w:lang w:val="es-MX"/>
                </w:rPr>
                <m:t>t</m:t>
              </m:r>
            </m:sub>
            <m:sup>
              <m:r>
                <w:rPr>
                  <w:rFonts w:ascii="Cambria Math" w:hAnsi="Cambria Math" w:cs="Arial"/>
                  <w:color w:val="C00000"/>
                  <w:lang w:val="es-MX"/>
                </w:rPr>
                <m:t>D</m:t>
              </m:r>
            </m:sup>
          </m:sSubSup>
          <m:sSub>
            <m:sSubPr>
              <m:ctrlPr>
                <w:rPr>
                  <w:rFonts w:ascii="Cambria Math" w:eastAsiaTheme="minorEastAsia" w:hAnsi="Cambria Math" w:cs="Arial"/>
                  <w:i/>
                  <w:color w:val="C0000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C00000"/>
                  <w:lang w:val="es-MX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color w:val="C00000"/>
                  <w:lang w:val="es-MX"/>
                </w:rPr>
                <m:t>t-1</m:t>
              </m:r>
            </m:sub>
          </m:sSub>
        </m:oMath>
      </m:oMathPara>
    </w:p>
    <w:p w:rsidR="008F6BFD" w:rsidRPr="0015303E" w:rsidRDefault="008F6BFD" w:rsidP="008F6BFD">
      <w:pPr>
        <w:rPr>
          <w:rFonts w:ascii="Arial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lang w:val="es-MX"/>
        </w:rPr>
        <w:t xml:space="preserve">Es decir, si </w:t>
      </w:r>
      <m:oMath>
        <m:sSub>
          <m:sSubPr>
            <m:ctrlPr>
              <w:rPr>
                <w:rFonts w:ascii="Cambria Math" w:hAnsi="Cambria Math" w:cs="Arial"/>
                <w:i/>
                <w:color w:val="7030A0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7030A0"/>
                <w:lang w:val="es-MX"/>
              </w:rPr>
              <m:t>BPG</m:t>
            </m:r>
          </m:e>
          <m:sub>
            <m:r>
              <w:rPr>
                <w:rFonts w:ascii="Cambria Math" w:hAnsi="Cambria Math" w:cs="Arial"/>
                <w:color w:val="7030A0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lang w:val="es-MX"/>
          </w:rPr>
          <m:t>=</m:t>
        </m:r>
        <m:r>
          <w:rPr>
            <w:rFonts w:ascii="Cambria Math" w:hAnsi="Cambria Math" w:cs="Arial"/>
            <w:color w:val="000000" w:themeColor="text1"/>
            <w:lang w:val="es-MX"/>
          </w:rPr>
          <m:t>0</m:t>
        </m:r>
      </m:oMath>
      <w:proofErr w:type="gramStart"/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B0F0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B0F0"/>
                <w:lang w:val="es-MX"/>
              </w:rPr>
              <m:t>BG</m:t>
            </m:r>
          </m:e>
          <m:sub>
            <m:r>
              <w:rPr>
                <w:rFonts w:ascii="Cambria Math" w:hAnsi="Cambria Math" w:cs="Arial"/>
                <w:color w:val="00B0F0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lang w:val="es-MX"/>
          </w:rPr>
          <m:t>=-</m:t>
        </m:r>
        <m:sSubSup>
          <m:sSubSupPr>
            <m:ctrlPr>
              <w:rPr>
                <w:rFonts w:ascii="Cambria Math" w:hAnsi="Cambria Math" w:cs="Arial"/>
                <w:i/>
                <w:color w:val="C00000"/>
                <w:lang w:val="es-MX"/>
              </w:rPr>
            </m:ctrlPr>
          </m:sSubSupPr>
          <m:e>
            <m:r>
              <w:rPr>
                <w:rFonts w:ascii="Cambria Math" w:hAnsi="Cambria Math" w:cs="Arial"/>
                <w:color w:val="C00000"/>
                <w:lang w:val="es-MX"/>
              </w:rPr>
              <m:t>i</m:t>
            </m:r>
          </m:e>
          <m:sub>
            <m:r>
              <w:rPr>
                <w:rFonts w:ascii="Cambria Math" w:hAnsi="Cambria Math" w:cs="Arial"/>
                <w:color w:val="C00000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color w:val="C00000"/>
                <w:lang w:val="es-MX"/>
              </w:rPr>
              <m:t>D</m:t>
            </m:r>
          </m:sup>
        </m:sSubSup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lang w:val="es-MX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lang w:val="es-MX"/>
              </w:rPr>
              <m:t>t-1</m:t>
            </m:r>
          </m:sub>
        </m:sSub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>,</w:t>
      </w:r>
      <w:proofErr w:type="gramEnd"/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 ie </w:t>
      </w:r>
      <w:r w:rsidRPr="0015303E">
        <w:rPr>
          <w:rFonts w:ascii="Arial" w:hAnsi="Arial" w:cs="Arial"/>
          <w:color w:val="00B0F0"/>
          <w:lang w:val="es-MX"/>
        </w:rPr>
        <w:t xml:space="preserve">Balance del Gobierno </w:t>
      </w:r>
      <w:proofErr w:type="spellStart"/>
      <w:r w:rsidRPr="0015303E">
        <w:rPr>
          <w:rFonts w:ascii="Arial" w:hAnsi="Arial" w:cs="Arial"/>
          <w:color w:val="000000" w:themeColor="text1"/>
          <w:lang w:val="es-MX"/>
        </w:rPr>
        <w:t>esta</w:t>
      </w:r>
      <w:proofErr w:type="spellEnd"/>
      <w:r w:rsidRPr="0015303E">
        <w:rPr>
          <w:rFonts w:ascii="Arial" w:hAnsi="Arial" w:cs="Arial"/>
          <w:color w:val="000000" w:themeColor="text1"/>
          <w:lang w:val="es-MX"/>
        </w:rPr>
        <w:t xml:space="preserve"> en déficit por un monto equivalente al valor absoluto de los intereses a pagar por deuda (lo cual genera la necesidad de mayor endeudamiento). </w:t>
      </w:r>
    </w:p>
    <w:p w:rsidR="005F1773" w:rsidRPr="0015303E" w:rsidRDefault="007B1792" w:rsidP="002D50E8">
      <w:pPr>
        <w:rPr>
          <w:rFonts w:ascii="Arial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color w:val="000000" w:themeColor="text1"/>
          <w:lang w:val="es-MX"/>
        </w:rPr>
        <w:t>C</w:t>
      </w:r>
      <w:r w:rsidR="002D50E8" w:rsidRPr="0015303E">
        <w:rPr>
          <w:rFonts w:ascii="Arial" w:hAnsi="Arial" w:cs="Arial"/>
          <w:color w:val="000000" w:themeColor="text1"/>
          <w:lang w:val="es-MX"/>
        </w:rPr>
        <w:t xml:space="preserve">ualquier indicador fiscal puede ser ajustado por el ciclo económico, lo cual consiste en cual consiste en reconocer cada variable como influenciado por desviaciones del PBI </w:t>
      </w:r>
      <w:proofErr w:type="gramStart"/>
      <w:r w:rsidR="002D50E8" w:rsidRPr="0015303E">
        <w:rPr>
          <w:rFonts w:ascii="Arial" w:hAnsi="Arial" w:cs="Arial"/>
          <w:color w:val="000000" w:themeColor="text1"/>
          <w:lang w:val="es-MX"/>
        </w:rPr>
        <w:t xml:space="preserve">potencial,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s-MX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s-MX"/>
              </w:rPr>
              <m:t>e</m:t>
            </m:r>
          </m:sub>
        </m:sSub>
      </m:oMath>
      <w:r w:rsidR="002D50E8" w:rsidRPr="0015303E">
        <w:rPr>
          <w:rFonts w:ascii="Arial" w:hAnsi="Arial" w:cs="Arial"/>
          <w:color w:val="000000" w:themeColor="text1"/>
          <w:lang w:val="es-MX"/>
        </w:rPr>
        <w:t>.</w:t>
      </w:r>
      <w:proofErr w:type="gramEnd"/>
      <w:r w:rsidR="002D50E8" w:rsidRPr="0015303E">
        <w:rPr>
          <w:rFonts w:ascii="Arial" w:hAnsi="Arial" w:cs="Arial"/>
          <w:color w:val="000000" w:themeColor="text1"/>
          <w:lang w:val="es-MX"/>
        </w:rPr>
        <w:t xml:space="preserve"> </w:t>
      </w:r>
    </w:p>
    <w:p w:rsidR="005F1773" w:rsidRPr="0015303E" w:rsidRDefault="00AD770D" w:rsidP="005F177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color w:val="000000" w:themeColor="text1"/>
          <w:lang w:val="es-MX"/>
        </w:rPr>
        <w:t>S</w:t>
      </w:r>
      <w:r w:rsidR="00616D6D" w:rsidRPr="0015303E">
        <w:rPr>
          <w:rFonts w:ascii="Arial" w:hAnsi="Arial" w:cs="Arial"/>
          <w:color w:val="000000" w:themeColor="text1"/>
          <w:lang w:val="es-MX"/>
        </w:rPr>
        <w:t xml:space="preserve">i los gastos y el PBI suben </w:t>
      </w:r>
      <w:r w:rsidR="005A7191" w:rsidRPr="0015303E">
        <w:rPr>
          <w:rFonts w:ascii="Arial" w:hAnsi="Arial" w:cs="Arial"/>
          <w:color w:val="000000" w:themeColor="text1"/>
          <w:lang w:val="es-MX"/>
        </w:rPr>
        <w:t>simultáneamente</w:t>
      </w:r>
      <w:r w:rsidR="00616D6D" w:rsidRPr="0015303E">
        <w:rPr>
          <w:rFonts w:ascii="Arial" w:hAnsi="Arial" w:cs="Arial"/>
          <w:color w:val="000000" w:themeColor="text1"/>
          <w:lang w:val="es-MX"/>
        </w:rPr>
        <w:t xml:space="preserve">, esto podría deberse a: </w:t>
      </w:r>
    </w:p>
    <w:p w:rsidR="00616D6D" w:rsidRPr="0015303E" w:rsidRDefault="00616D6D" w:rsidP="00616D6D">
      <w:pPr>
        <w:pStyle w:val="Prrafodelista"/>
        <w:numPr>
          <w:ilvl w:val="1"/>
          <w:numId w:val="9"/>
        </w:numPr>
        <w:rPr>
          <w:rFonts w:ascii="Arial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color w:val="000000" w:themeColor="text1"/>
          <w:lang w:val="es-MX"/>
        </w:rPr>
        <w:t xml:space="preserve">El </w:t>
      </w:r>
      <w:r w:rsidR="009C26D9" w:rsidRPr="0015303E">
        <w:rPr>
          <w:rFonts w:ascii="Arial" w:hAnsi="Arial" w:cs="Arial"/>
          <w:color w:val="000000" w:themeColor="text1"/>
          <w:lang w:val="es-MX"/>
        </w:rPr>
        <w:t xml:space="preserve">aumente en PBI se debe a un aumento en gasto, </w:t>
      </w:r>
      <w:proofErr w:type="spellStart"/>
      <w:r w:rsidR="009C26D9" w:rsidRPr="0015303E">
        <w:rPr>
          <w:rFonts w:ascii="Arial" w:hAnsi="Arial" w:cs="Arial"/>
          <w:color w:val="000000" w:themeColor="text1"/>
          <w:lang w:val="es-MX"/>
        </w:rPr>
        <w:t>ie</w:t>
      </w:r>
      <w:proofErr w:type="spellEnd"/>
      <w:r w:rsidR="009C26D9" w:rsidRPr="0015303E">
        <w:rPr>
          <w:rFonts w:ascii="Arial" w:hAnsi="Arial" w:cs="Arial"/>
          <w:color w:val="000000" w:themeColor="text1"/>
          <w:lang w:val="es-MX"/>
        </w:rPr>
        <w:t xml:space="preserve"> el componente </w:t>
      </w:r>
      <m:oMath>
        <m:r>
          <w:rPr>
            <w:rFonts w:ascii="Cambria Math" w:hAnsi="Cambria Math" w:cs="Arial"/>
            <w:color w:val="000000" w:themeColor="text1"/>
            <w:lang w:val="es-MX"/>
          </w:rPr>
          <m:t>G</m:t>
        </m:r>
      </m:oMath>
      <w:r w:rsidR="009C26D9" w:rsidRPr="0015303E">
        <w:rPr>
          <w:rFonts w:ascii="Arial" w:hAnsi="Arial" w:cs="Arial"/>
          <w:color w:val="000000" w:themeColor="text1"/>
          <w:lang w:val="es-MX"/>
        </w:rPr>
        <w:t xml:space="preserve"> de </w:t>
      </w:r>
      <m:oMath>
        <m:r>
          <w:rPr>
            <w:rFonts w:ascii="Cambria Math" w:hAnsi="Cambria Math" w:cs="Arial"/>
            <w:color w:val="000000" w:themeColor="text1"/>
            <w:lang w:val="es-MX"/>
          </w:rPr>
          <m:t>Y</m:t>
        </m:r>
      </m:oMath>
    </w:p>
    <w:p w:rsidR="009C26D9" w:rsidRPr="0015303E" w:rsidRDefault="00C477E2" w:rsidP="00616D6D">
      <w:pPr>
        <w:pStyle w:val="Prrafodelista"/>
        <w:numPr>
          <w:ilvl w:val="1"/>
          <w:numId w:val="9"/>
        </w:numPr>
        <w:rPr>
          <w:rFonts w:ascii="Arial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color w:val="000000" w:themeColor="text1"/>
          <w:lang w:val="es-MX"/>
        </w:rPr>
        <w:t>Una expansión en la recaudación gracias a la progresividad de los impuestos (</w:t>
      </w:r>
      <w:proofErr w:type="spellStart"/>
      <w:r w:rsidRPr="0015303E">
        <w:rPr>
          <w:rFonts w:ascii="Arial" w:hAnsi="Arial" w:cs="Arial"/>
          <w:color w:val="000000" w:themeColor="text1"/>
          <w:lang w:val="es-MX"/>
        </w:rPr>
        <w:t>ie</w:t>
      </w:r>
      <w:proofErr w:type="spellEnd"/>
      <w:r w:rsidRPr="0015303E">
        <w:rPr>
          <w:rFonts w:ascii="Arial" w:hAnsi="Arial" w:cs="Arial"/>
          <w:color w:val="000000" w:themeColor="text1"/>
          <w:lang w:val="es-MX"/>
        </w:rPr>
        <w:t xml:space="preserve">, más entidades ahora caen en los </w:t>
      </w:r>
      <w:proofErr w:type="spellStart"/>
      <w:r w:rsidRPr="0015303E">
        <w:rPr>
          <w:rFonts w:ascii="Arial" w:hAnsi="Arial" w:cs="Arial"/>
          <w:color w:val="000000" w:themeColor="text1"/>
          <w:lang w:val="es-MX"/>
        </w:rPr>
        <w:t>tax</w:t>
      </w:r>
      <w:proofErr w:type="spellEnd"/>
      <w:r w:rsidRPr="0015303E">
        <w:rPr>
          <w:rFonts w:ascii="Arial" w:hAnsi="Arial" w:cs="Arial"/>
          <w:color w:val="000000" w:themeColor="text1"/>
          <w:lang w:val="es-MX"/>
        </w:rPr>
        <w:t xml:space="preserve"> </w:t>
      </w:r>
      <w:proofErr w:type="spellStart"/>
      <w:r w:rsidRPr="0015303E">
        <w:rPr>
          <w:rFonts w:ascii="Arial" w:hAnsi="Arial" w:cs="Arial"/>
          <w:color w:val="000000" w:themeColor="text1"/>
          <w:lang w:val="es-MX"/>
        </w:rPr>
        <w:t>brackets</w:t>
      </w:r>
      <w:proofErr w:type="spellEnd"/>
      <w:r w:rsidRPr="0015303E">
        <w:rPr>
          <w:rFonts w:ascii="Arial" w:hAnsi="Arial" w:cs="Arial"/>
          <w:color w:val="000000" w:themeColor="text1"/>
          <w:lang w:val="es-MX"/>
        </w:rPr>
        <w:t xml:space="preserve"> más altos), permitiendo mayor gasto</w:t>
      </w:r>
    </w:p>
    <w:p w:rsidR="00616D6D" w:rsidRPr="0015303E" w:rsidRDefault="00616D6D" w:rsidP="00616D6D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lang w:val="es-MX"/>
        </w:rPr>
      </w:pPr>
      <w:proofErr w:type="spellStart"/>
      <w:r w:rsidRPr="0015303E">
        <w:rPr>
          <w:rFonts w:ascii="Arial" w:hAnsi="Arial" w:cs="Arial"/>
          <w:color w:val="000000" w:themeColor="text1"/>
          <w:lang w:val="es-MX"/>
        </w:rPr>
        <w:t>Ai</w:t>
      </w:r>
      <w:proofErr w:type="spellEnd"/>
      <w:r w:rsidRPr="0015303E">
        <w:rPr>
          <w:rFonts w:ascii="Arial" w:hAnsi="Arial" w:cs="Arial"/>
          <w:color w:val="000000" w:themeColor="text1"/>
          <w:lang w:val="es-MX"/>
        </w:rPr>
        <w:t xml:space="preserve"> los gastos aumentan cuando el PBI baja, esto podría deberse a: </w:t>
      </w:r>
    </w:p>
    <w:p w:rsidR="00616D6D" w:rsidRPr="0015303E" w:rsidRDefault="00616D6D" w:rsidP="00616D6D">
      <w:pPr>
        <w:pStyle w:val="Prrafodelista"/>
        <w:numPr>
          <w:ilvl w:val="1"/>
          <w:numId w:val="9"/>
        </w:numPr>
        <w:rPr>
          <w:rFonts w:ascii="Arial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color w:val="000000" w:themeColor="text1"/>
          <w:lang w:val="es-MX"/>
        </w:rPr>
        <w:t xml:space="preserve">Política </w:t>
      </w:r>
      <w:proofErr w:type="spellStart"/>
      <w:r w:rsidRPr="0015303E">
        <w:rPr>
          <w:rFonts w:ascii="Arial" w:hAnsi="Arial" w:cs="Arial"/>
          <w:color w:val="000000" w:themeColor="text1"/>
          <w:lang w:val="es-MX"/>
        </w:rPr>
        <w:t>fiscaria</w:t>
      </w:r>
      <w:proofErr w:type="spellEnd"/>
      <w:r w:rsidRPr="0015303E">
        <w:rPr>
          <w:rFonts w:ascii="Arial" w:hAnsi="Arial" w:cs="Arial"/>
          <w:color w:val="000000" w:themeColor="text1"/>
          <w:lang w:val="es-MX"/>
        </w:rPr>
        <w:t xml:space="preserve"> discrecional</w:t>
      </w:r>
    </w:p>
    <w:p w:rsidR="00616D6D" w:rsidRPr="0015303E" w:rsidRDefault="00616D6D" w:rsidP="00616D6D">
      <w:pPr>
        <w:pStyle w:val="Prrafodelista"/>
        <w:numPr>
          <w:ilvl w:val="1"/>
          <w:numId w:val="9"/>
        </w:numPr>
        <w:rPr>
          <w:rFonts w:ascii="Arial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color w:val="000000" w:themeColor="text1"/>
          <w:lang w:val="es-MX"/>
        </w:rPr>
        <w:t>Estabilizadores automáticos (</w:t>
      </w:r>
      <w:proofErr w:type="spellStart"/>
      <w:r w:rsidRPr="0015303E">
        <w:rPr>
          <w:rFonts w:ascii="Arial" w:hAnsi="Arial" w:cs="Arial"/>
          <w:color w:val="000000" w:themeColor="text1"/>
          <w:lang w:val="es-MX"/>
        </w:rPr>
        <w:t>eg</w:t>
      </w:r>
      <w:proofErr w:type="spellEnd"/>
      <w:r w:rsidRPr="0015303E">
        <w:rPr>
          <w:rFonts w:ascii="Arial" w:hAnsi="Arial" w:cs="Arial"/>
          <w:color w:val="000000" w:themeColor="text1"/>
          <w:lang w:val="es-MX"/>
        </w:rPr>
        <w:t>, beneficios de desempleo), bajo los cuales no se asume que ninguna decisión de política se ha tomado</w:t>
      </w:r>
    </w:p>
    <w:p w:rsidR="002D50E8" w:rsidRPr="0015303E" w:rsidRDefault="005A7191" w:rsidP="002D50E8">
      <w:pPr>
        <w:rPr>
          <w:rFonts w:ascii="Arial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color w:val="000000" w:themeColor="text1"/>
          <w:lang w:val="es-MX"/>
        </w:rPr>
        <w:t>Aritméticamente</w:t>
      </w:r>
      <w:r w:rsidR="002D50E8" w:rsidRPr="0015303E">
        <w:rPr>
          <w:rFonts w:ascii="Arial" w:hAnsi="Arial" w:cs="Arial"/>
          <w:color w:val="000000" w:themeColor="text1"/>
          <w:lang w:val="es-MX"/>
        </w:rPr>
        <w:t xml:space="preserve">, </w:t>
      </w:r>
      <w:r w:rsidR="007B1792" w:rsidRPr="0015303E">
        <w:rPr>
          <w:rFonts w:ascii="Arial" w:hAnsi="Arial" w:cs="Arial"/>
          <w:color w:val="000000" w:themeColor="text1"/>
          <w:lang w:val="es-MX"/>
        </w:rPr>
        <w:t xml:space="preserve">el ajuste por el ciclo económico </w:t>
      </w:r>
      <w:r w:rsidR="002D50E8" w:rsidRPr="0015303E">
        <w:rPr>
          <w:rFonts w:ascii="Arial" w:hAnsi="Arial" w:cs="Arial"/>
          <w:color w:val="000000" w:themeColor="text1"/>
          <w:lang w:val="es-MX"/>
        </w:rPr>
        <w:t xml:space="preserve">consiste en reconocer que cada variable es una función de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s-MX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s-MX"/>
              </w:rPr>
              <m:t>e</m:t>
            </m:r>
          </m:sub>
        </m:sSub>
      </m:oMath>
      <w:r w:rsidR="002D50E8" w:rsidRPr="0015303E">
        <w:rPr>
          <w:rFonts w:ascii="Arial" w:hAnsi="Arial" w:cs="Arial"/>
          <w:color w:val="000000" w:themeColor="text1"/>
          <w:lang w:val="es-MX"/>
        </w:rPr>
        <w:t xml:space="preserve">. Si tomamos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s-MX"/>
              </w:rPr>
              <m:t>BG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color w:val="000000" w:themeColor="text1"/>
            <w:lang w:val="es-MX"/>
          </w:rPr>
          <m:t>≡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MX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MX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C</m:t>
                </m:r>
              </m:sup>
            </m:sSubSup>
            <m:r>
              <w:rPr>
                <w:rFonts w:ascii="Cambria Math" w:hAnsi="Cambria Math" w:cs="Arial"/>
                <w:color w:val="000000" w:themeColor="text1"/>
                <w:lang w:val="es-MX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MX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C</m:t>
                </m:r>
              </m:sup>
            </m:sSubSup>
          </m:e>
        </m:d>
        <m:r>
          <w:rPr>
            <w:rFonts w:ascii="Cambria Math" w:hAnsi="Cambria Math" w:cs="Arial"/>
            <w:color w:val="000000" w:themeColor="text1"/>
            <w:lang w:val="es-MX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MX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MX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K</m:t>
                </m:r>
              </m:sup>
            </m:sSubSup>
            <m:r>
              <w:rPr>
                <w:rFonts w:ascii="Cambria Math" w:hAnsi="Cambria Math" w:cs="Arial"/>
                <w:color w:val="000000" w:themeColor="text1"/>
                <w:lang w:val="es-MX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MX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lang w:val="es-MX"/>
                  </w:rPr>
                  <m:t>K</m:t>
                </m:r>
              </m:sup>
            </m:sSubSup>
          </m:e>
        </m:d>
      </m:oMath>
      <w:r w:rsidR="002D50E8"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, el Balance de Gobierno </w:t>
      </w:r>
      <w:r w:rsidR="002D50E8" w:rsidRPr="0015303E">
        <w:rPr>
          <w:rFonts w:ascii="Arial" w:eastAsiaTheme="minorEastAsia" w:hAnsi="Arial" w:cs="Arial"/>
          <w:b/>
          <w:bCs/>
          <w:i/>
          <w:iCs/>
          <w:color w:val="000000" w:themeColor="text1"/>
          <w:highlight w:val="cyan"/>
          <w:lang w:val="es-MX"/>
        </w:rPr>
        <w:t>a</w:t>
      </w:r>
      <w:r w:rsidR="002D50E8" w:rsidRPr="0015303E">
        <w:rPr>
          <w:rFonts w:ascii="Arial" w:eastAsiaTheme="minorEastAsia" w:hAnsi="Arial" w:cs="Arial"/>
          <w:color w:val="000000" w:themeColor="text1"/>
          <w:lang w:val="es-MX"/>
        </w:rPr>
        <w:t>justado</w:t>
      </w:r>
      <w:r w:rsidR="005832BF"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 por </w:t>
      </w:r>
      <w:r w:rsidR="005832BF" w:rsidRPr="0015303E">
        <w:rPr>
          <w:rFonts w:ascii="Arial" w:eastAsiaTheme="minorEastAsia" w:hAnsi="Arial" w:cs="Arial"/>
          <w:b/>
          <w:bCs/>
          <w:i/>
          <w:iCs/>
          <w:color w:val="000000" w:themeColor="text1"/>
          <w:highlight w:val="cyan"/>
          <w:lang w:val="es-MX"/>
        </w:rPr>
        <w:t>c</w:t>
      </w:r>
      <w:r w:rsidR="005832BF" w:rsidRPr="0015303E">
        <w:rPr>
          <w:rFonts w:ascii="Arial" w:eastAsiaTheme="minorEastAsia" w:hAnsi="Arial" w:cs="Arial"/>
          <w:color w:val="000000" w:themeColor="text1"/>
          <w:lang w:val="es-MX"/>
        </w:rPr>
        <w:t>iclo</w:t>
      </w:r>
      <w:proofErr w:type="gramStart"/>
      <w:r w:rsidR="002D50E8"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s-MX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BG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  <w:highlight w:val="cyan"/>
                <w:lang w:val="es-MX"/>
              </w:rPr>
              <m:t>AC</m:t>
            </m:r>
          </m:sup>
        </m:sSubSup>
      </m:oMath>
      <w:r w:rsidR="005F1773" w:rsidRPr="0015303E">
        <w:rPr>
          <w:rFonts w:ascii="Arial" w:eastAsiaTheme="minorEastAsia" w:hAnsi="Arial" w:cs="Arial"/>
          <w:color w:val="000000" w:themeColor="text1"/>
          <w:lang w:val="es-MX"/>
        </w:rPr>
        <w:t>,</w:t>
      </w:r>
      <w:proofErr w:type="gramEnd"/>
      <w:r w:rsidR="005F1773"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 sería:</w:t>
      </w:r>
    </w:p>
    <w:p w:rsidR="002D50E8" w:rsidRPr="0015303E" w:rsidRDefault="0015303E" w:rsidP="002D50E8">
      <w:pPr>
        <w:rPr>
          <w:rFonts w:ascii="Arial" w:eastAsiaTheme="minorEastAsia" w:hAnsi="Arial" w:cs="Arial"/>
          <w:color w:val="000000" w:themeColor="text1"/>
          <w:lang w:val="es-MX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BG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AC</m:t>
              </m:r>
            </m:sup>
          </m:sSubSup>
          <m:r>
            <w:rPr>
              <w:rFonts w:ascii="Cambria Math" w:hAnsi="Cambria Math" w:cs="Arial"/>
              <w:color w:val="000000" w:themeColor="text1"/>
              <w:lang w:val="es-MX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lang w:val="es-MX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s-MX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color w:val="000000" w:themeColor="text1"/>
                  <w:lang w:val="es-MX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s-MX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lang w:val="es-MX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lang w:val="es-MX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K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s-MX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color w:val="000000" w:themeColor="text1"/>
                  <w:lang w:val="es-MX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lang w:val="es-MX"/>
                    </w:rPr>
                    <m:t>K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s-MX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:rsidR="005F1773" w:rsidRPr="0015303E" w:rsidRDefault="005F1773" w:rsidP="005F1773">
      <w:pPr>
        <w:rPr>
          <w:rFonts w:ascii="Arial" w:eastAsiaTheme="minorEastAsia" w:hAnsi="Arial" w:cs="Arial"/>
          <w:color w:val="000000" w:themeColor="text1"/>
          <w:lang w:val="es-MX"/>
        </w:rPr>
      </w:pPr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Entonces, si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s-MX"/>
              </w:rPr>
              <m:t>BG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color w:val="000000" w:themeColor="text1"/>
            <w:lang w:val="es-MX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s-MX"/>
              </w:rPr>
              <m:t>BPG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color w:val="000000" w:themeColor="text1"/>
            <w:lang w:val="es-MX"/>
          </w:rPr>
          <m:t>-</m:t>
        </m:r>
        <m:sSubSup>
          <m:sSubSupPr>
            <m:ctrlPr>
              <w:rPr>
                <w:rFonts w:ascii="Cambria Math" w:hAnsi="Cambria Math" w:cs="Arial"/>
                <w:i/>
                <w:color w:val="000000" w:themeColor="text1"/>
                <w:lang w:val="es-MX"/>
              </w:rPr>
            </m:ctrlPr>
          </m:sSubSupPr>
          <m:e>
            <m:r>
              <w:rPr>
                <w:rFonts w:ascii="Cambria Math" w:hAnsi="Cambria Math" w:cs="Arial"/>
                <w:color w:val="000000" w:themeColor="text1"/>
                <w:lang w:val="es-MX"/>
              </w:rPr>
              <m:t>i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color w:val="000000" w:themeColor="text1"/>
                <w:lang w:val="es-MX"/>
              </w:rPr>
              <m:t>D</m:t>
            </m:r>
          </m:sup>
        </m:sSubSup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t-1</m:t>
            </m:r>
          </m:sub>
        </m:sSub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s-MX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BPG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AC</m:t>
            </m:r>
          </m:sup>
        </m:sSubSup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 es:</w:t>
      </w:r>
    </w:p>
    <w:p w:rsidR="005F1773" w:rsidRPr="0015303E" w:rsidRDefault="0015303E" w:rsidP="005F1773">
      <w:pPr>
        <w:rPr>
          <w:rFonts w:ascii="Arial" w:eastAsiaTheme="minorEastAsia" w:hAnsi="Arial" w:cs="Arial"/>
          <w:color w:val="000000" w:themeColor="text1"/>
          <w:lang w:val="es-MX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BPG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AC</m:t>
              </m:r>
            </m:sup>
          </m:sSubSup>
          <m:r>
            <w:rPr>
              <w:rFonts w:ascii="Cambria Math" w:hAnsi="Cambria Math" w:cs="Arial"/>
              <w:color w:val="000000" w:themeColor="text1"/>
              <w:lang w:val="es-MX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BG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AC</m:t>
              </m:r>
            </m:sup>
          </m:sSubSup>
          <m:r>
            <w:rPr>
              <w:rFonts w:ascii="Cambria Math" w:hAnsi="Cambria Math" w:cs="Arial"/>
              <w:color w:val="000000" w:themeColor="text1"/>
              <w:lang w:val="es-MX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highlight w:val="yellow"/>
                  <w:lang w:val="es-MX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highlight w:val="yellow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highlight w:val="yellow"/>
                  <w:lang w:val="es-MX"/>
                </w:rPr>
                <m:t>t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highlight w:val="yellow"/>
                  <w:lang w:val="es-MX"/>
                </w:rPr>
                <m:t>D</m:t>
              </m:r>
            </m:sup>
          </m:sSubSup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highlight w:val="yellow"/>
                  <w:lang w:val="es-MX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highlight w:val="yellow"/>
                  <w:lang w:val="es-MX"/>
                </w:rPr>
                <m:t>t-1</m:t>
              </m:r>
            </m:sub>
          </m:sSub>
        </m:oMath>
      </m:oMathPara>
    </w:p>
    <w:p w:rsidR="00AD770D" w:rsidRPr="0015303E" w:rsidRDefault="005F1773" w:rsidP="00AD770D">
      <w:pPr>
        <w:jc w:val="right"/>
        <w:rPr>
          <w:rFonts w:ascii="Arial" w:eastAsiaTheme="minorEastAsia" w:hAnsi="Arial" w:cs="Arial"/>
          <w:color w:val="000000" w:themeColor="text1"/>
          <w:lang w:val="es-MX"/>
        </w:rPr>
      </w:pPr>
      <w:r w:rsidRPr="0015303E">
        <w:rPr>
          <w:rFonts w:ascii="Arial" w:eastAsiaTheme="minorEastAsia" w:hAnsi="Arial" w:cs="Arial"/>
          <w:color w:val="000000" w:themeColor="text1"/>
          <w:highlight w:val="yellow"/>
          <w:lang w:val="es-MX"/>
        </w:rPr>
        <w:t xml:space="preserve">En los </w:t>
      </w:r>
      <w:proofErr w:type="spellStart"/>
      <w:r w:rsidRPr="0015303E">
        <w:rPr>
          <w:rFonts w:ascii="Arial" w:eastAsiaTheme="minorEastAsia" w:hAnsi="Arial" w:cs="Arial"/>
          <w:color w:val="000000" w:themeColor="text1"/>
          <w:highlight w:val="yellow"/>
          <w:lang w:val="es-MX"/>
        </w:rPr>
        <w:t>slides</w:t>
      </w:r>
      <w:proofErr w:type="spellEnd"/>
      <w:r w:rsidRPr="0015303E">
        <w:rPr>
          <w:rFonts w:ascii="Arial" w:eastAsiaTheme="minorEastAsia" w:hAnsi="Arial" w:cs="Arial"/>
          <w:color w:val="000000" w:themeColor="text1"/>
          <w:highlight w:val="yellow"/>
          <w:lang w:val="es-MX"/>
        </w:rPr>
        <w:t xml:space="preserve">, en lugar de </w:t>
      </w:r>
      <m:oMath>
        <m:sSubSup>
          <m:sSubSupPr>
            <m:ctrlPr>
              <w:rPr>
                <w:rFonts w:ascii="Cambria Math" w:hAnsi="Cambria Math" w:cs="Arial"/>
                <w:i/>
                <w:color w:val="000000" w:themeColor="text1"/>
                <w:highlight w:val="yellow"/>
                <w:lang w:val="es-MX"/>
              </w:rPr>
            </m:ctrlPr>
          </m:sSubSupPr>
          <m:e>
            <m:r>
              <w:rPr>
                <w:rFonts w:ascii="Cambria Math" w:hAnsi="Cambria Math" w:cs="Arial"/>
                <w:color w:val="000000" w:themeColor="text1"/>
                <w:highlight w:val="yellow"/>
                <w:lang w:val="es-MX"/>
              </w:rPr>
              <m:t>i</m:t>
            </m:r>
          </m:e>
          <m:sub>
            <m:r>
              <w:rPr>
                <w:rFonts w:ascii="Cambria Math" w:hAnsi="Cambria Math" w:cs="Arial"/>
                <w:color w:val="000000" w:themeColor="text1"/>
                <w:highlight w:val="yellow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color w:val="000000" w:themeColor="text1"/>
                <w:highlight w:val="yellow"/>
                <w:lang w:val="es-MX"/>
              </w:rPr>
              <m:t>D</m:t>
            </m:r>
          </m:sup>
        </m:sSubSup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lang w:val="es-MX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lang w:val="es-MX"/>
              </w:rPr>
              <m:t>t-1</m:t>
            </m:r>
          </m:sub>
        </m:sSub>
      </m:oMath>
      <w:r w:rsidRPr="0015303E">
        <w:rPr>
          <w:rFonts w:ascii="Arial" w:eastAsiaTheme="minorEastAsia" w:hAnsi="Arial" w:cs="Arial"/>
          <w:color w:val="000000" w:themeColor="text1"/>
          <w:highlight w:val="yellow"/>
          <w:lang w:val="es-MX"/>
        </w:rPr>
        <w:t xml:space="preserve"> dice “pago neto de intereses”. Como es que </w:t>
      </w:r>
      <m:oMath>
        <m:sSubSup>
          <m:sSubSupPr>
            <m:ctrlPr>
              <w:rPr>
                <w:rFonts w:ascii="Cambria Math" w:hAnsi="Cambria Math" w:cs="Arial"/>
                <w:i/>
                <w:color w:val="000000" w:themeColor="text1"/>
                <w:highlight w:val="yellow"/>
                <w:lang w:val="es-MX"/>
              </w:rPr>
            </m:ctrlPr>
          </m:sSubSupPr>
          <m:e>
            <m:r>
              <w:rPr>
                <w:rFonts w:ascii="Cambria Math" w:hAnsi="Cambria Math" w:cs="Arial"/>
                <w:color w:val="000000" w:themeColor="text1"/>
                <w:highlight w:val="yellow"/>
                <w:lang w:val="es-MX"/>
              </w:rPr>
              <m:t>i</m:t>
            </m:r>
          </m:e>
          <m:sub>
            <m:r>
              <w:rPr>
                <w:rFonts w:ascii="Cambria Math" w:hAnsi="Cambria Math" w:cs="Arial"/>
                <w:color w:val="000000" w:themeColor="text1"/>
                <w:highlight w:val="yellow"/>
                <w:lang w:val="es-MX"/>
              </w:rPr>
              <m:t>t</m:t>
            </m:r>
          </m:sub>
          <m:sup>
            <m:r>
              <w:rPr>
                <w:rFonts w:ascii="Cambria Math" w:hAnsi="Cambria Math" w:cs="Arial"/>
                <w:color w:val="000000" w:themeColor="text1"/>
                <w:highlight w:val="yellow"/>
                <w:lang w:val="es-MX"/>
              </w:rPr>
              <m:t>D</m:t>
            </m:r>
          </m:sup>
        </m:sSubSup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lang w:val="es-MX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lang w:val="es-MX"/>
              </w:rPr>
              <m:t>t-1</m:t>
            </m:r>
          </m:sub>
        </m:sSub>
      </m:oMath>
      <w:r w:rsidRPr="0015303E">
        <w:rPr>
          <w:rFonts w:ascii="Arial" w:eastAsiaTheme="minorEastAsia" w:hAnsi="Arial" w:cs="Arial"/>
          <w:color w:val="000000" w:themeColor="text1"/>
          <w:highlight w:val="yellow"/>
          <w:lang w:val="es-MX"/>
        </w:rPr>
        <w:t xml:space="preserve"> es distinto de “pago neto de intereses”</w:t>
      </w:r>
      <w:proofErr w:type="gramStart"/>
      <w:r w:rsidRPr="0015303E">
        <w:rPr>
          <w:rFonts w:ascii="Arial" w:eastAsiaTheme="minorEastAsia" w:hAnsi="Arial" w:cs="Arial"/>
          <w:color w:val="000000" w:themeColor="text1"/>
          <w:highlight w:val="yellow"/>
          <w:lang w:val="es-MX"/>
        </w:rPr>
        <w:t>?</w:t>
      </w:r>
      <w:proofErr w:type="gramEnd"/>
      <w:r w:rsidRPr="0015303E">
        <w:rPr>
          <w:rFonts w:ascii="Arial" w:eastAsiaTheme="minorEastAsia" w:hAnsi="Arial" w:cs="Arial"/>
          <w:color w:val="000000" w:themeColor="text1"/>
          <w:highlight w:val="yellow"/>
          <w:lang w:val="es-MX"/>
        </w:rPr>
        <w:t xml:space="preserve"> por qué no es una función de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highlight w:val="yellow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highlight w:val="yellow"/>
                <w:lang w:val="es-MX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highlight w:val="yellow"/>
                <w:lang w:val="es-MX"/>
              </w:rPr>
              <m:t>e</m:t>
            </m:r>
          </m:sub>
        </m:sSub>
      </m:oMath>
      <w:r w:rsidRPr="0015303E">
        <w:rPr>
          <w:rFonts w:ascii="Arial" w:eastAsiaTheme="minorEastAsia" w:hAnsi="Arial" w:cs="Arial"/>
          <w:color w:val="000000" w:themeColor="text1"/>
          <w:highlight w:val="yellow"/>
          <w:lang w:val="es-MX"/>
        </w:rPr>
        <w:t>?</w:t>
      </w:r>
    </w:p>
    <w:p w:rsidR="00F522BE" w:rsidRPr="0015303E" w:rsidRDefault="00F522BE" w:rsidP="00F522BE">
      <w:pPr>
        <w:rPr>
          <w:rFonts w:ascii="Arial" w:hAnsi="Arial" w:cs="Arial"/>
          <w:b/>
          <w:lang w:val="es-MX"/>
        </w:rPr>
      </w:pPr>
      <w:r w:rsidRPr="0015303E">
        <w:rPr>
          <w:rFonts w:ascii="Arial" w:hAnsi="Arial" w:cs="Arial"/>
          <w:b/>
          <w:lang w:val="es-MX"/>
        </w:rPr>
        <w:t>Balance Estructural</w:t>
      </w:r>
    </w:p>
    <w:p w:rsidR="00AD770D" w:rsidRPr="0015303E" w:rsidRDefault="00F522BE" w:rsidP="00AD770D">
      <w:pPr>
        <w:rPr>
          <w:rFonts w:ascii="Arial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849EAAF">
            <wp:simplePos x="0" y="0"/>
            <wp:positionH relativeFrom="margin">
              <wp:posOffset>1739900</wp:posOffset>
            </wp:positionH>
            <wp:positionV relativeFrom="margin">
              <wp:posOffset>7728785</wp:posOffset>
            </wp:positionV>
            <wp:extent cx="3199765" cy="1982470"/>
            <wp:effectExtent l="0" t="0" r="635" b="0"/>
            <wp:wrapSquare wrapText="bothSides"/>
            <wp:docPr id="3374046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70D" w:rsidRPr="0015303E">
        <w:rPr>
          <w:rFonts w:ascii="Arial" w:hAnsi="Arial" w:cs="Arial"/>
          <w:lang w:val="es-MX"/>
        </w:rPr>
        <w:t xml:space="preserve">El concepto del ya se trató: consiste en ver a las variables como funciones de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s-MX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s-MX"/>
              </w:rPr>
              <m:t>e</m:t>
            </m:r>
          </m:sub>
        </m:sSub>
      </m:oMath>
      <w:r w:rsidR="00AD770D"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 (o desviaciones de éste)</w:t>
      </w:r>
      <w:r w:rsidR="00AD770D" w:rsidRPr="0015303E">
        <w:rPr>
          <w:rFonts w:ascii="Arial" w:hAnsi="Arial" w:cs="Arial"/>
          <w:color w:val="000000" w:themeColor="text1"/>
          <w:lang w:val="es-MX"/>
        </w:rPr>
        <w:t xml:space="preserve">, y así hacer ajustes </w:t>
      </w:r>
      <w:proofErr w:type="spellStart"/>
      <w:r w:rsidR="00AD770D" w:rsidRPr="0015303E">
        <w:rPr>
          <w:rFonts w:ascii="Arial" w:hAnsi="Arial" w:cs="Arial"/>
          <w:color w:val="000000" w:themeColor="text1"/>
          <w:lang w:val="es-MX"/>
        </w:rPr>
        <w:t>cíciclicos</w:t>
      </w:r>
      <w:proofErr w:type="spellEnd"/>
      <w:r w:rsidR="00AD770D" w:rsidRPr="0015303E">
        <w:rPr>
          <w:rFonts w:ascii="Arial" w:hAnsi="Arial" w:cs="Arial"/>
          <w:color w:val="000000" w:themeColor="text1"/>
          <w:lang w:val="es-MX"/>
        </w:rPr>
        <w:t xml:space="preserve">. El proceso </w:t>
      </w:r>
      <w:proofErr w:type="spellStart"/>
      <w:r w:rsidR="00AD770D" w:rsidRPr="0015303E">
        <w:rPr>
          <w:rFonts w:ascii="Arial" w:hAnsi="Arial" w:cs="Arial"/>
          <w:color w:val="000000" w:themeColor="text1"/>
          <w:lang w:val="es-MX"/>
        </w:rPr>
        <w:t>mediate</w:t>
      </w:r>
      <w:proofErr w:type="spellEnd"/>
      <w:r w:rsidR="00AD770D" w:rsidRPr="0015303E">
        <w:rPr>
          <w:rFonts w:ascii="Arial" w:hAnsi="Arial" w:cs="Arial"/>
          <w:color w:val="000000" w:themeColor="text1"/>
          <w:lang w:val="es-MX"/>
        </w:rPr>
        <w:t xml:space="preserve"> el cual esto se hace se muestra en el </w:t>
      </w:r>
      <w:proofErr w:type="spellStart"/>
      <w:r w:rsidR="00AD770D" w:rsidRPr="0015303E">
        <w:rPr>
          <w:rFonts w:ascii="Arial" w:hAnsi="Arial" w:cs="Arial"/>
          <w:color w:val="000000" w:themeColor="text1"/>
          <w:lang w:val="es-MX"/>
        </w:rPr>
        <w:t>siguente</w:t>
      </w:r>
      <w:proofErr w:type="spellEnd"/>
      <w:r w:rsidR="00AD770D" w:rsidRPr="0015303E">
        <w:rPr>
          <w:rFonts w:ascii="Arial" w:hAnsi="Arial" w:cs="Arial"/>
          <w:color w:val="000000" w:themeColor="text1"/>
          <w:lang w:val="es-MX"/>
        </w:rPr>
        <w:t xml:space="preserve"> diagrama: </w:t>
      </w:r>
    </w:p>
    <w:p w:rsidR="00AD770D" w:rsidRPr="0015303E" w:rsidRDefault="00AD770D" w:rsidP="00AD770D">
      <w:pPr>
        <w:rPr>
          <w:rFonts w:ascii="Arial" w:hAnsi="Arial" w:cs="Arial"/>
          <w:color w:val="000000" w:themeColor="text1"/>
          <w:lang w:val="es-MX"/>
        </w:rPr>
      </w:pPr>
    </w:p>
    <w:p w:rsidR="006B5940" w:rsidRPr="0015303E" w:rsidRDefault="006B5940" w:rsidP="006B5940">
      <w:pPr>
        <w:rPr>
          <w:rFonts w:ascii="Arial" w:hAnsi="Arial" w:cs="Arial"/>
          <w:lang w:val="es-MX"/>
        </w:rPr>
      </w:pPr>
    </w:p>
    <w:p w:rsidR="00AD770D" w:rsidRPr="0015303E" w:rsidRDefault="00AD770D" w:rsidP="006B5940">
      <w:pPr>
        <w:rPr>
          <w:rFonts w:ascii="Arial" w:hAnsi="Arial" w:cs="Arial"/>
          <w:lang w:val="es-MX"/>
        </w:rPr>
      </w:pPr>
    </w:p>
    <w:p w:rsidR="00AD770D" w:rsidRPr="0015303E" w:rsidRDefault="00AD770D" w:rsidP="006B5940">
      <w:pPr>
        <w:rPr>
          <w:rFonts w:ascii="Arial" w:hAnsi="Arial" w:cs="Arial"/>
          <w:lang w:val="es-MX"/>
        </w:rPr>
      </w:pPr>
    </w:p>
    <w:p w:rsidR="00AD770D" w:rsidRPr="0015303E" w:rsidRDefault="00AD770D" w:rsidP="006B5940">
      <w:pPr>
        <w:rPr>
          <w:rFonts w:ascii="Arial" w:hAnsi="Arial" w:cs="Arial"/>
          <w:lang w:val="es-MX"/>
        </w:rPr>
      </w:pPr>
    </w:p>
    <w:p w:rsidR="00AD770D" w:rsidRPr="0015303E" w:rsidRDefault="00AD770D" w:rsidP="006B5940">
      <w:pPr>
        <w:rPr>
          <w:rFonts w:ascii="Arial" w:hAnsi="Arial" w:cs="Arial"/>
          <w:lang w:val="es-MX"/>
        </w:rPr>
      </w:pPr>
    </w:p>
    <w:p w:rsidR="00AD770D" w:rsidRPr="0015303E" w:rsidRDefault="00AD770D" w:rsidP="006B5940">
      <w:pPr>
        <w:rPr>
          <w:rFonts w:ascii="Arial" w:hAnsi="Arial" w:cs="Arial"/>
          <w:lang w:val="es-MX"/>
        </w:rPr>
      </w:pPr>
    </w:p>
    <w:p w:rsidR="0090219F" w:rsidRPr="0015303E" w:rsidRDefault="0090219F" w:rsidP="006B5940">
      <w:pPr>
        <w:rPr>
          <w:rFonts w:ascii="Arial" w:hAnsi="Arial" w:cs="Arial"/>
          <w:lang w:val="es-MX"/>
        </w:rPr>
      </w:pPr>
      <w:r w:rsidRPr="0015303E">
        <w:rPr>
          <w:rFonts w:ascii="Arial" w:hAnsi="Arial" w:cs="Arial"/>
          <w:lang w:val="es-MX"/>
        </w:rPr>
        <w:lastRenderedPageBreak/>
        <w:t xml:space="preserve">Los valores ajustados </w:t>
      </w:r>
      <w:r w:rsidRPr="0015303E">
        <w:rPr>
          <w:rFonts w:ascii="Arial" w:hAnsi="Arial" w:cs="Arial"/>
          <w:b/>
          <w:bCs/>
          <w:i/>
          <w:iCs/>
          <w:lang w:val="es-MX"/>
        </w:rPr>
        <w:t>es</w:t>
      </w:r>
      <w:r w:rsidRPr="0015303E">
        <w:rPr>
          <w:rFonts w:ascii="Arial" w:hAnsi="Arial" w:cs="Arial"/>
          <w:lang w:val="es-MX"/>
        </w:rPr>
        <w:t xml:space="preserve">tructuralmente se denotan con un suscrito </w:t>
      </w:r>
      <m:oMath>
        <m:r>
          <w:rPr>
            <w:rFonts w:ascii="Cambria Math" w:hAnsi="Cambria Math" w:cs="Arial"/>
            <w:lang w:val="es-MX"/>
          </w:rPr>
          <m:t>ES</m:t>
        </m:r>
      </m:oMath>
      <w:r w:rsidRPr="0015303E">
        <w:rPr>
          <w:rFonts w:ascii="Arial" w:hAnsi="Arial" w:cs="Arial"/>
          <w:lang w:val="es-MX"/>
        </w:rPr>
        <w:t xml:space="preserve">, eg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s-MX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BG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ES</m:t>
            </m:r>
          </m:sup>
        </m:sSubSup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 y</w:t>
      </w:r>
      <w:r w:rsidRPr="0015303E">
        <w:rPr>
          <w:rFonts w:ascii="Arial" w:hAnsi="Arial" w:cs="Arial"/>
          <w:lang w:val="es-MX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s-MX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BPG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ES</m:t>
            </m:r>
          </m:sup>
        </m:sSubSup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. El ajuste puede consistir en considerar </w:t>
      </w:r>
      <w:r w:rsidRPr="0015303E">
        <w:rPr>
          <w:rFonts w:ascii="Arial" w:eastAsiaTheme="minorEastAsia" w:hAnsi="Arial" w:cs="Arial"/>
          <w:b/>
          <w:bCs/>
          <w:i/>
          <w:iCs/>
          <w:color w:val="000000" w:themeColor="text1"/>
          <w:lang w:val="es-MX"/>
        </w:rPr>
        <w:t>f</w:t>
      </w:r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actores </w:t>
      </w:r>
      <w:r w:rsidRPr="0015303E">
        <w:rPr>
          <w:rFonts w:ascii="Arial" w:eastAsiaTheme="minorEastAsia" w:hAnsi="Arial" w:cs="Arial"/>
          <w:b/>
          <w:bCs/>
          <w:i/>
          <w:iCs/>
          <w:color w:val="000000" w:themeColor="text1"/>
          <w:lang w:val="es-MX"/>
        </w:rPr>
        <w:t>t</w:t>
      </w:r>
      <w:r w:rsidRPr="0015303E">
        <w:rPr>
          <w:rFonts w:ascii="Arial" w:eastAsiaTheme="minorEastAsia" w:hAnsi="Arial" w:cs="Arial"/>
          <w:color w:val="000000" w:themeColor="text1"/>
          <w:lang w:val="es-MX"/>
        </w:rPr>
        <w:t>emporales cíclicos</w:t>
      </w:r>
      <w:proofErr w:type="gramStart"/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s-MX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FT</m:t>
            </m:r>
          </m:sup>
        </m:sSubSup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>,</w:t>
      </w:r>
      <w:proofErr w:type="gramEnd"/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 por ejemplo: </w:t>
      </w:r>
    </w:p>
    <w:p w:rsidR="00AD770D" w:rsidRPr="0015303E" w:rsidRDefault="0015303E" w:rsidP="006B5940">
      <w:pPr>
        <w:rPr>
          <w:rFonts w:ascii="Arial" w:hAnsi="Arial" w:cs="Arial"/>
          <w:lang w:val="es-MX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es-MX"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es-MX"/>
                    </w:rPr>
                    <m:t>BG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es-MX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es-MX"/>
                    </w:rPr>
                    <m:t>ES</m:t>
                  </m:r>
                </m:sup>
              </m:sSubSup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=BG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AC</m:t>
              </m:r>
            </m:sup>
          </m:sSubSup>
          <m:r>
            <w:rPr>
              <w:rFonts w:ascii="Cambria Math" w:eastAsiaTheme="minorEastAsia" w:hAnsi="Cambria Math" w:cs="Arial"/>
              <w:color w:val="000000" w:themeColor="text1"/>
              <w:lang w:val="es-MX"/>
            </w:rPr>
            <m:t>+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FT</m:t>
              </m:r>
            </m:sup>
          </m:sSubSup>
        </m:oMath>
      </m:oMathPara>
    </w:p>
    <w:p w:rsidR="00AD770D" w:rsidRPr="0015303E" w:rsidRDefault="0090219F" w:rsidP="006B5940">
      <w:pPr>
        <w:rPr>
          <w:rFonts w:ascii="Arial" w:hAnsi="Arial" w:cs="Arial"/>
          <w:lang w:val="es-MX"/>
        </w:rPr>
      </w:pPr>
      <w:r w:rsidRPr="0015303E">
        <w:rPr>
          <w:rFonts w:ascii="Arial" w:hAnsi="Arial" w:cs="Arial"/>
          <w:lang w:val="es-MX"/>
        </w:rPr>
        <w:t xml:space="preserve">El ajuste también puede involucrar </w:t>
      </w:r>
      <w:r w:rsidRPr="0015303E">
        <w:rPr>
          <w:rFonts w:ascii="Arial" w:eastAsiaTheme="minorEastAsia" w:hAnsi="Arial" w:cs="Arial"/>
          <w:b/>
          <w:bCs/>
          <w:i/>
          <w:iCs/>
          <w:color w:val="000000" w:themeColor="text1"/>
          <w:lang w:val="es-MX"/>
        </w:rPr>
        <w:t>f</w:t>
      </w:r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actores </w:t>
      </w:r>
      <w:r w:rsidRPr="0015303E">
        <w:rPr>
          <w:rFonts w:ascii="Arial" w:eastAsiaTheme="minorEastAsia" w:hAnsi="Arial" w:cs="Arial"/>
          <w:b/>
          <w:bCs/>
          <w:i/>
          <w:iCs/>
          <w:color w:val="000000" w:themeColor="text1"/>
          <w:lang w:val="es-MX"/>
        </w:rPr>
        <w:t>t</w:t>
      </w:r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emporales </w:t>
      </w:r>
      <w:r w:rsidRPr="0015303E">
        <w:rPr>
          <w:rFonts w:ascii="Arial" w:hAnsi="Arial" w:cs="Arial"/>
          <w:lang w:val="es-MX"/>
        </w:rPr>
        <w:t>no cíclicos</w:t>
      </w:r>
      <w:proofErr w:type="gramStart"/>
      <w:r w:rsidRPr="0015303E">
        <w:rPr>
          <w:rFonts w:ascii="Arial" w:hAnsi="Arial" w:cs="Arial"/>
          <w:lang w:val="es-MX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s-MX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J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FT</m:t>
            </m:r>
          </m:sup>
        </m:sSubSup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>,</w:t>
      </w:r>
      <w:proofErr w:type="gramEnd"/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 por ejemplo: </w:t>
      </w:r>
    </w:p>
    <w:p w:rsidR="0090219F" w:rsidRPr="0015303E" w:rsidRDefault="0015303E" w:rsidP="0090219F">
      <w:pPr>
        <w:rPr>
          <w:rFonts w:ascii="Arial" w:eastAsiaTheme="minorEastAsia" w:hAnsi="Arial" w:cs="Arial"/>
          <w:color w:val="000000" w:themeColor="text1"/>
          <w:lang w:val="es-MX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BPG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ES</m:t>
              </m:r>
            </m:sup>
          </m:sSubSup>
          <m:r>
            <w:rPr>
              <w:rFonts w:ascii="Cambria Math" w:eastAsiaTheme="minorEastAsia" w:hAnsi="Cambria Math" w:cs="Arial"/>
              <w:color w:val="000000" w:themeColor="text1"/>
              <w:lang w:val="es-MX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BPG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AC</m:t>
              </m:r>
            </m:sup>
          </m:sSubSup>
          <m:r>
            <w:rPr>
              <w:rFonts w:ascii="Cambria Math" w:eastAsiaTheme="minorEastAsia" w:hAnsi="Cambria Math" w:cs="Arial"/>
              <w:color w:val="000000" w:themeColor="text1"/>
              <w:lang w:val="es-MX"/>
            </w:rPr>
            <m:t>+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lang w:val="es-MX"/>
                </w:rPr>
                <m:t>FT</m:t>
              </m:r>
            </m:sup>
          </m:sSubSup>
        </m:oMath>
      </m:oMathPara>
    </w:p>
    <w:p w:rsidR="006B5940" w:rsidRPr="0015303E" w:rsidRDefault="0090219F" w:rsidP="006B5940">
      <w:pPr>
        <w:rPr>
          <w:rFonts w:ascii="Arial" w:hAnsi="Arial" w:cs="Arial"/>
          <w:lang w:val="es-MX"/>
        </w:rPr>
      </w:pPr>
      <w:r w:rsidRPr="0015303E">
        <w:rPr>
          <w:rFonts w:ascii="Arial" w:hAnsi="Arial" w:cs="Arial"/>
          <w:lang w:val="es-MX"/>
        </w:rPr>
        <w:t xml:space="preserve">El cambio en el balance primario del gobierno estructuralmente ajustado se define como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IF</m:t>
            </m:r>
          </m:e>
          <m:sub>
            <m:r>
              <w:rPr>
                <w:rFonts w:ascii="Cambria Math" w:hAnsi="Cambria Math" w:cs="Arial"/>
                <w:lang w:val="es-MX"/>
              </w:rPr>
              <m:t>t</m:t>
            </m:r>
          </m:sub>
        </m:sSub>
        <m:r>
          <w:rPr>
            <w:rFonts w:ascii="Cambria Math" w:hAnsi="Cambria Math" w:cs="Arial"/>
            <w:lang w:val="es-MX"/>
          </w:rPr>
          <m:t>≡-</m:t>
        </m:r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s-MX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∆BPG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  <w:lang w:val="es-MX"/>
              </w:rPr>
              <m:t>ES</m:t>
            </m:r>
          </m:sup>
        </m:sSubSup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>.</w:t>
      </w:r>
    </w:p>
    <w:p w:rsidR="00E242ED" w:rsidRPr="0015303E" w:rsidRDefault="00E242ED" w:rsidP="00E242ED">
      <w:pPr>
        <w:pStyle w:val="Prrafodelista"/>
        <w:numPr>
          <w:ilvl w:val="0"/>
          <w:numId w:val="5"/>
        </w:numPr>
        <w:rPr>
          <w:rFonts w:ascii="Arial" w:hAnsi="Arial" w:cs="Arial"/>
          <w:highlight w:val="yellow"/>
          <w:lang w:val="es-MX"/>
        </w:rPr>
      </w:pPr>
      <w:r w:rsidRPr="0015303E">
        <w:rPr>
          <w:rFonts w:ascii="Arial" w:hAnsi="Arial" w:cs="Arial"/>
          <w:highlight w:val="yellow"/>
          <w:lang w:val="es-MX"/>
        </w:rPr>
        <w:t>Se deben eliminar los factores transitorios del ajuste estructural.</w:t>
      </w:r>
    </w:p>
    <w:p w:rsidR="006B5940" w:rsidRPr="0015303E" w:rsidRDefault="006B5940" w:rsidP="006B5940">
      <w:pPr>
        <w:rPr>
          <w:rFonts w:ascii="Arial" w:hAnsi="Arial" w:cs="Arial"/>
          <w:b/>
          <w:bCs/>
          <w:lang w:val="es-MX"/>
        </w:rPr>
      </w:pPr>
      <w:r w:rsidRPr="0015303E">
        <w:rPr>
          <w:rFonts w:ascii="Arial" w:hAnsi="Arial" w:cs="Arial"/>
          <w:b/>
          <w:bCs/>
          <w:lang w:val="es-MX"/>
        </w:rPr>
        <w:t>Multiplicadores</w:t>
      </w:r>
    </w:p>
    <w:p w:rsidR="008A1F03" w:rsidRPr="0015303E" w:rsidRDefault="008A1F03" w:rsidP="006B5940">
      <w:pPr>
        <w:rPr>
          <w:rFonts w:ascii="Arial" w:eastAsiaTheme="minorEastAsia" w:hAnsi="Arial" w:cs="Arial"/>
          <w:color w:val="000000" w:themeColor="text1"/>
          <w:lang w:val="es-MX"/>
        </w:rPr>
      </w:pPr>
      <w:r w:rsidRPr="0015303E">
        <w:rPr>
          <w:rFonts w:ascii="Arial" w:hAnsi="Arial" w:cs="Arial"/>
          <w:lang w:val="es-MX"/>
        </w:rPr>
        <w:t>Los multipli</w:t>
      </w:r>
      <w:r w:rsidR="005A7191" w:rsidRPr="0015303E">
        <w:rPr>
          <w:rFonts w:ascii="Arial" w:hAnsi="Arial" w:cs="Arial"/>
          <w:lang w:val="es-MX"/>
        </w:rPr>
        <w:t>ca</w:t>
      </w:r>
      <w:r w:rsidRPr="0015303E">
        <w:rPr>
          <w:rFonts w:ascii="Arial" w:hAnsi="Arial" w:cs="Arial"/>
          <w:lang w:val="es-MX"/>
        </w:rPr>
        <w:t>dores buscan evaluar con sensible es el PBI a cambio en el gasto público</w:t>
      </w:r>
      <w:proofErr w:type="gramStart"/>
      <w:r w:rsidRPr="0015303E">
        <w:rPr>
          <w:rFonts w:ascii="Arial" w:hAnsi="Arial" w:cs="Arial"/>
          <w:lang w:val="es-MX"/>
        </w:rPr>
        <w:t xml:space="preserve">, </w:t>
      </w:r>
      <m:oMath>
        <m:r>
          <w:rPr>
            <w:rFonts w:ascii="Cambria Math" w:eastAsiaTheme="minorEastAsia" w:hAnsi="Cambria Math" w:cs="Arial"/>
            <w:color w:val="000000" w:themeColor="text1"/>
            <w:lang w:val="es-MX"/>
          </w:rPr>
          <m:t>∆G</m:t>
        </m:r>
      </m:oMath>
      <w:r w:rsidRPr="0015303E">
        <w:rPr>
          <w:rFonts w:ascii="Arial" w:hAnsi="Arial" w:cs="Arial"/>
          <w:lang w:val="es-MX"/>
        </w:rPr>
        <w:t>,</w:t>
      </w:r>
      <w:proofErr w:type="gramEnd"/>
      <w:r w:rsidRPr="0015303E">
        <w:rPr>
          <w:rFonts w:ascii="Arial" w:hAnsi="Arial" w:cs="Arial"/>
          <w:lang w:val="es-MX"/>
        </w:rPr>
        <w:t xml:space="preserve"> o una reducción en los impuestos, </w:t>
      </w:r>
      <m:oMath>
        <m:r>
          <w:rPr>
            <w:rFonts w:ascii="Cambria Math" w:eastAsiaTheme="minorEastAsia" w:hAnsi="Cambria Math" w:cs="Arial"/>
            <w:color w:val="000000" w:themeColor="text1"/>
            <w:lang w:val="es-MX"/>
          </w:rPr>
          <m:t>∆τ</m:t>
        </m:r>
      </m:oMath>
      <w:r w:rsidRPr="0015303E">
        <w:rPr>
          <w:rFonts w:ascii="Arial" w:eastAsiaTheme="minorEastAsia" w:hAnsi="Arial" w:cs="Arial"/>
          <w:color w:val="000000" w:themeColor="text1"/>
          <w:lang w:val="es-MX"/>
        </w:rPr>
        <w:t xml:space="preserve">. Existen tres variedades: </w:t>
      </w:r>
    </w:p>
    <w:p w:rsidR="008A1F03" w:rsidRPr="0015303E" w:rsidRDefault="008F7106" w:rsidP="008A1F03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15303E">
        <w:rPr>
          <w:rFonts w:ascii="Arial" w:hAnsi="Arial" w:cs="Arial"/>
          <w:lang w:val="es-MX"/>
        </w:rPr>
        <w:t xml:space="preserve">Los multiplicadores </w:t>
      </w:r>
      <w:r w:rsidRPr="0015303E">
        <w:rPr>
          <w:rFonts w:ascii="Arial" w:hAnsi="Arial" w:cs="Arial"/>
          <w:i/>
          <w:iCs/>
          <w:lang w:val="es-MX"/>
        </w:rPr>
        <w:t>de impacto</w:t>
      </w:r>
      <w:r w:rsidR="005A7191" w:rsidRPr="0015303E">
        <w:rPr>
          <w:rFonts w:ascii="Arial" w:hAnsi="Arial" w:cs="Arial"/>
          <w:lang w:val="es-MX"/>
        </w:rPr>
        <w:t xml:space="preserve"> x se en</w:t>
      </w:r>
      <w:r w:rsidRPr="0015303E">
        <w:rPr>
          <w:rFonts w:ascii="Arial" w:hAnsi="Arial" w:cs="Arial"/>
          <w:lang w:val="es-MX"/>
        </w:rPr>
        <w:t>f</w:t>
      </w:r>
      <w:r w:rsidR="005A7191" w:rsidRPr="0015303E">
        <w:rPr>
          <w:rFonts w:ascii="Arial" w:hAnsi="Arial" w:cs="Arial"/>
          <w:lang w:val="es-MX"/>
        </w:rPr>
        <w:t>oc</w:t>
      </w:r>
      <w:r w:rsidRPr="0015303E">
        <w:rPr>
          <w:rFonts w:ascii="Arial" w:hAnsi="Arial" w:cs="Arial"/>
          <w:lang w:val="es-MX"/>
        </w:rPr>
        <w:t xml:space="preserve">an solo en el tiempo </w:t>
      </w:r>
      <m:oMath>
        <m:r>
          <w:rPr>
            <w:rFonts w:ascii="Cambria Math" w:hAnsi="Cambria Math" w:cs="Arial"/>
            <w:lang w:val="es-MX"/>
          </w:rPr>
          <m:t>t</m:t>
        </m:r>
      </m:oMath>
      <w:r w:rsidRPr="0015303E">
        <w:rPr>
          <w:rFonts w:ascii="Arial" w:hAnsi="Arial" w:cs="Arial"/>
          <w:lang w:val="es-MX"/>
        </w:rPr>
        <w:t>:</w:t>
      </w:r>
    </w:p>
    <w:p w:rsidR="008F7106" w:rsidRPr="0015303E" w:rsidRDefault="008F7106" w:rsidP="008F7106">
      <w:pPr>
        <w:pStyle w:val="Prrafodelista"/>
        <w:rPr>
          <w:rFonts w:ascii="Arial" w:hAnsi="Arial" w:cs="Arial"/>
          <w:lang w:val="es-MX"/>
        </w:rPr>
      </w:pPr>
    </w:p>
    <w:p w:rsidR="008F7106" w:rsidRPr="0015303E" w:rsidRDefault="0015303E" w:rsidP="008F7106">
      <w:pPr>
        <w:pStyle w:val="Prrafodelista"/>
        <w:rPr>
          <w:rFonts w:ascii="Arial" w:hAnsi="Arial" w:cs="Arial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lang w:val="es-MX"/>
                </w:rPr>
                <m:t>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s-MX"/>
                </w:rPr>
                <m:t>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Arial"/>
              <w:lang w:val="es-MX"/>
            </w:rPr>
            <m:t xml:space="preserve">      ;      </m:t>
          </m:r>
          <m:f>
            <m:fPr>
              <m:ctrlPr>
                <w:rPr>
                  <w:rFonts w:ascii="Cambria Math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lang w:val="es-MX"/>
                </w:rPr>
                <m:t>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s-MX"/>
                </w:rPr>
                <m:t>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es-MX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Arial"/>
              <w:lang w:val="es-MX"/>
            </w:rPr>
            <m:t xml:space="preserve"> </m:t>
          </m:r>
        </m:oMath>
      </m:oMathPara>
    </w:p>
    <w:p w:rsidR="008F7106" w:rsidRPr="0015303E" w:rsidRDefault="008F7106" w:rsidP="008F7106">
      <w:pPr>
        <w:pStyle w:val="Prrafodelista"/>
        <w:rPr>
          <w:rFonts w:ascii="Arial" w:hAnsi="Arial" w:cs="Arial"/>
          <w:lang w:val="es-MX"/>
        </w:rPr>
      </w:pPr>
    </w:p>
    <w:p w:rsidR="008F7106" w:rsidRPr="0015303E" w:rsidRDefault="008F7106" w:rsidP="008F7106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15303E">
        <w:rPr>
          <w:rFonts w:ascii="Arial" w:hAnsi="Arial" w:cs="Arial"/>
          <w:lang w:val="es-MX"/>
        </w:rPr>
        <w:t xml:space="preserve">Sin embargo, un cambio en impuestos o gasto debería tener impactos en el PBI más allá del tiempo </w:t>
      </w:r>
      <m:oMath>
        <m:r>
          <w:rPr>
            <w:rFonts w:ascii="Cambria Math" w:hAnsi="Cambria Math" w:cs="Arial"/>
            <w:lang w:val="es-MX"/>
          </w:rPr>
          <m:t>t</m:t>
        </m:r>
      </m:oMath>
      <w:r w:rsidRPr="0015303E">
        <w:rPr>
          <w:rFonts w:ascii="Arial" w:hAnsi="Arial" w:cs="Arial"/>
          <w:lang w:val="es-MX"/>
        </w:rPr>
        <w:t xml:space="preserve">, y sentirse durante </w:t>
      </w:r>
      <m:oMath>
        <m:r>
          <w:rPr>
            <w:rFonts w:ascii="Cambria Math" w:hAnsi="Cambria Math" w:cs="Arial"/>
            <w:lang w:val="es-MX"/>
          </w:rPr>
          <m:t>n</m:t>
        </m:r>
      </m:oMath>
      <w:r w:rsidRPr="0015303E">
        <w:rPr>
          <w:rFonts w:ascii="Arial" w:hAnsi="Arial" w:cs="Arial"/>
          <w:lang w:val="es-MX"/>
        </w:rPr>
        <w:t xml:space="preserve"> periodos. El impacto total hasta el periodo </w:t>
      </w:r>
      <m:oMath>
        <m:r>
          <w:rPr>
            <w:rFonts w:ascii="Cambria Math" w:hAnsi="Cambria Math" w:cs="Arial"/>
            <w:lang w:val="es-MX"/>
          </w:rPr>
          <m:t>n</m:t>
        </m:r>
      </m:oMath>
      <w:r w:rsidRPr="0015303E">
        <w:rPr>
          <w:rFonts w:ascii="Arial" w:hAnsi="Arial" w:cs="Arial"/>
          <w:lang w:val="es-MX"/>
        </w:rPr>
        <w:t xml:space="preserve"> se mide con el multiplicadores </w:t>
      </w:r>
      <w:r w:rsidRPr="0015303E">
        <w:rPr>
          <w:rFonts w:ascii="Arial" w:hAnsi="Arial" w:cs="Arial"/>
          <w:i/>
          <w:iCs/>
          <w:lang w:val="es-MX"/>
        </w:rPr>
        <w:t>acumulados</w:t>
      </w:r>
      <w:r w:rsidRPr="0015303E">
        <w:rPr>
          <w:rFonts w:ascii="Arial" w:hAnsi="Arial" w:cs="Arial"/>
          <w:lang w:val="es-MX"/>
        </w:rPr>
        <w:t>:</w:t>
      </w:r>
    </w:p>
    <w:p w:rsidR="008F7106" w:rsidRPr="0015303E" w:rsidRDefault="008F7106" w:rsidP="008F7106">
      <w:pPr>
        <w:pStyle w:val="Prrafodelista"/>
        <w:rPr>
          <w:rFonts w:ascii="Arial" w:hAnsi="Arial" w:cs="Arial"/>
          <w:lang w:val="es-MX"/>
        </w:rPr>
      </w:pPr>
    </w:p>
    <w:p w:rsidR="008F7106" w:rsidRPr="0015303E" w:rsidRDefault="0015303E" w:rsidP="008F7106">
      <w:pPr>
        <w:pStyle w:val="Prrafodelista"/>
        <w:rPr>
          <w:rFonts w:ascii="Arial" w:hAnsi="Arial" w:cs="Arial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MX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es-MX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lang w:val="es-MX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MX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t+j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 w:cs="Arial"/>
                  <w:lang w:val="es-MX"/>
                </w:rPr>
                <m:t>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Arial"/>
              <w:lang w:val="es-MX"/>
            </w:rPr>
            <m:t xml:space="preserve">      ;      </m:t>
          </m:r>
          <m:f>
            <m:fPr>
              <m:ctrlPr>
                <w:rPr>
                  <w:rFonts w:ascii="Cambria Math" w:hAnsi="Cambria Math" w:cs="Arial"/>
                  <w:i/>
                  <w:lang w:val="es-MX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es-MX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lang w:val="es-MX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MX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t+j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 w:cs="Arial"/>
                  <w:lang w:val="es-MX"/>
                </w:rPr>
                <m:t>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es-MX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Arial"/>
              <w:lang w:val="es-MX"/>
            </w:rPr>
            <m:t xml:space="preserve"> </m:t>
          </m:r>
        </m:oMath>
      </m:oMathPara>
    </w:p>
    <w:p w:rsidR="008F7106" w:rsidRPr="0015303E" w:rsidRDefault="008F7106" w:rsidP="008F7106">
      <w:pPr>
        <w:pStyle w:val="Prrafodelista"/>
        <w:rPr>
          <w:rFonts w:ascii="Arial" w:hAnsi="Arial" w:cs="Arial"/>
          <w:lang w:val="es-MX"/>
        </w:rPr>
      </w:pPr>
    </w:p>
    <w:p w:rsidR="008F7106" w:rsidRPr="0015303E" w:rsidRDefault="008F7106" w:rsidP="008F7106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15303E">
        <w:rPr>
          <w:rFonts w:ascii="Arial" w:hAnsi="Arial" w:cs="Arial"/>
          <w:lang w:val="es-MX"/>
        </w:rPr>
        <w:t xml:space="preserve">Si nos interesara saber en </w:t>
      </w:r>
      <w:proofErr w:type="spellStart"/>
      <w:r w:rsidRPr="0015303E">
        <w:rPr>
          <w:rFonts w:ascii="Arial" w:hAnsi="Arial" w:cs="Arial"/>
          <w:lang w:val="es-MX"/>
        </w:rPr>
        <w:t>que</w:t>
      </w:r>
      <w:proofErr w:type="spellEnd"/>
      <w:r w:rsidRPr="0015303E">
        <w:rPr>
          <w:rFonts w:ascii="Arial" w:hAnsi="Arial" w:cs="Arial"/>
          <w:lang w:val="es-MX"/>
        </w:rPr>
        <w:t xml:space="preserve"> periodo el cambio en gasto/impuestos tiene su impacto más alto a lo largo de los </w:t>
      </w:r>
      <m:oMath>
        <m:r>
          <w:rPr>
            <w:rFonts w:ascii="Cambria Math" w:hAnsi="Cambria Math" w:cs="Arial"/>
            <w:lang w:val="es-MX"/>
          </w:rPr>
          <m:t>n</m:t>
        </m:r>
      </m:oMath>
      <w:r w:rsidRPr="0015303E">
        <w:rPr>
          <w:rFonts w:ascii="Arial" w:hAnsi="Arial" w:cs="Arial"/>
          <w:lang w:val="es-MX"/>
        </w:rPr>
        <w:t xml:space="preserve"> periodos, usamos el multiplicador </w:t>
      </w:r>
      <w:r w:rsidRPr="0015303E">
        <w:rPr>
          <w:rFonts w:ascii="Arial" w:hAnsi="Arial" w:cs="Arial"/>
          <w:i/>
          <w:iCs/>
          <w:lang w:val="es-MX"/>
        </w:rPr>
        <w:t>máximo</w:t>
      </w:r>
      <w:r w:rsidRPr="0015303E">
        <w:rPr>
          <w:rFonts w:ascii="Arial" w:hAnsi="Arial" w:cs="Arial"/>
          <w:lang w:val="es-MX"/>
        </w:rPr>
        <w:t>:</w:t>
      </w:r>
    </w:p>
    <w:p w:rsidR="008F7106" w:rsidRPr="0015303E" w:rsidRDefault="008F7106" w:rsidP="008F7106">
      <w:pPr>
        <w:pStyle w:val="Prrafodelista"/>
        <w:rPr>
          <w:rFonts w:ascii="Arial" w:hAnsi="Arial" w:cs="Arial"/>
          <w:lang w:val="es-MX"/>
        </w:rPr>
      </w:pPr>
    </w:p>
    <w:p w:rsidR="008F7106" w:rsidRPr="0015303E" w:rsidRDefault="0015303E" w:rsidP="004E3FCD">
      <w:pPr>
        <w:pStyle w:val="Prrafodelista"/>
        <w:rPr>
          <w:rFonts w:ascii="Arial" w:hAnsi="Arial" w:cs="Arial"/>
          <w:lang w:val="es-MX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color w:val="FFFFFF" w:themeColor="background1"/>
                      <w:lang w:val="es-MX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MX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t+n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lang w:val="es-MX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Arial"/>
              <w:lang w:val="es-MX"/>
            </w:rPr>
            <m:t xml:space="preserve">      ;      </m:t>
          </m:r>
          <m:func>
            <m:funcPr>
              <m:ctrlPr>
                <w:rPr>
                  <w:rFonts w:ascii="Cambria Math" w:hAnsi="Cambria Math" w:cs="Arial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color w:val="FFFFFF" w:themeColor="background1"/>
                      <w:lang w:val="es-MX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MX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t+n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lang w:val="es-MX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lang w:val="es-MX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8A1F03" w:rsidRPr="0015303E" w:rsidRDefault="00343843" w:rsidP="008A1F03">
      <w:p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Los multiplicadores son </w:t>
      </w:r>
      <w:r w:rsidR="005A7191" w:rsidRPr="0015303E">
        <w:rPr>
          <w:rFonts w:ascii="Arial" w:eastAsiaTheme="minorEastAsia" w:hAnsi="Arial" w:cs="Arial"/>
          <w:lang w:val="es-MX"/>
        </w:rPr>
        <w:t>menor si</w:t>
      </w:r>
      <w:r w:rsidRPr="0015303E">
        <w:rPr>
          <w:rFonts w:ascii="Arial" w:eastAsiaTheme="minorEastAsia" w:hAnsi="Arial" w:cs="Arial"/>
          <w:lang w:val="es-MX"/>
        </w:rPr>
        <w:t>:</w:t>
      </w:r>
    </w:p>
    <w:p w:rsidR="008A1F03" w:rsidRPr="0015303E" w:rsidRDefault="00343843" w:rsidP="008A1F03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La economía es más abierta</w:t>
      </w:r>
      <w:r w:rsidR="008A1F03" w:rsidRPr="0015303E">
        <w:rPr>
          <w:rFonts w:ascii="Arial" w:eastAsiaTheme="minorEastAsia" w:hAnsi="Arial" w:cs="Arial"/>
          <w:lang w:val="es-MX"/>
        </w:rPr>
        <w:t xml:space="preserve"> </w:t>
      </w:r>
      <w:r w:rsidR="008A1F03" w:rsidRPr="0015303E">
        <w:rPr>
          <w:rFonts w:ascii="Arial" w:hAnsi="Arial" w:cs="Arial"/>
          <w:lang w:val="es-MX"/>
        </w:rPr>
        <w:sym w:font="Wingdings" w:char="F0E0"/>
      </w:r>
      <w:r w:rsidR="008A1F03" w:rsidRPr="0015303E">
        <w:rPr>
          <w:rFonts w:ascii="Arial" w:eastAsiaTheme="minorEastAsia" w:hAnsi="Arial" w:cs="Arial"/>
          <w:lang w:val="es-MX"/>
        </w:rPr>
        <w:t xml:space="preserve"> porque parte del gasto pública se irá como </w:t>
      </w:r>
      <w:proofErr w:type="spellStart"/>
      <w:r w:rsidR="008A1F03" w:rsidRPr="0015303E">
        <w:rPr>
          <w:rFonts w:ascii="Arial" w:eastAsiaTheme="minorEastAsia" w:hAnsi="Arial" w:cs="Arial"/>
          <w:lang w:val="es-MX"/>
        </w:rPr>
        <w:t>leakage</w:t>
      </w:r>
      <w:proofErr w:type="spellEnd"/>
    </w:p>
    <w:p w:rsidR="008A1F03" w:rsidRPr="0015303E" w:rsidRDefault="00343843" w:rsidP="008A1F03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Los estabilizadores automáticos son mayores </w:t>
      </w:r>
      <w:r w:rsidR="008A1F03" w:rsidRPr="0015303E">
        <w:rPr>
          <w:rFonts w:ascii="Arial" w:hAnsi="Arial" w:cs="Arial"/>
          <w:lang w:val="es-MX"/>
        </w:rPr>
        <w:sym w:font="Wingdings" w:char="F0E0"/>
      </w:r>
      <w:r w:rsidR="008A1F03" w:rsidRPr="0015303E">
        <w:rPr>
          <w:rFonts w:ascii="Arial" w:eastAsiaTheme="minorEastAsia" w:hAnsi="Arial" w:cs="Arial"/>
          <w:lang w:val="es-MX"/>
        </w:rPr>
        <w:t xml:space="preserve"> estos </w:t>
      </w:r>
      <w:r w:rsidRPr="0015303E">
        <w:rPr>
          <w:rFonts w:ascii="Arial" w:eastAsiaTheme="minorEastAsia" w:hAnsi="Arial" w:cs="Arial"/>
          <w:lang w:val="es-MX"/>
        </w:rPr>
        <w:t>frenan el impulso fiscal</w:t>
      </w:r>
    </w:p>
    <w:p w:rsidR="00343843" w:rsidRPr="0015303E" w:rsidRDefault="00343843" w:rsidP="008A1F03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Menores rigideces salariales en el mercado laboral</w:t>
      </w:r>
      <w:r w:rsidR="008A1F03" w:rsidRPr="0015303E">
        <w:rPr>
          <w:rFonts w:ascii="Arial" w:eastAsiaTheme="minorEastAsia" w:hAnsi="Arial" w:cs="Arial"/>
          <w:lang w:val="es-MX"/>
        </w:rPr>
        <w:t xml:space="preserve"> </w:t>
      </w:r>
      <w:r w:rsidR="008A1F03" w:rsidRPr="0015303E">
        <w:rPr>
          <w:rFonts w:ascii="Arial" w:hAnsi="Arial" w:cs="Arial"/>
          <w:lang w:val="es-MX"/>
        </w:rPr>
        <w:sym w:font="Wingdings" w:char="F0E0"/>
      </w:r>
      <w:r w:rsidR="008A1F03" w:rsidRPr="0015303E">
        <w:rPr>
          <w:rFonts w:ascii="Arial" w:eastAsiaTheme="minorEastAsia" w:hAnsi="Arial" w:cs="Arial"/>
          <w:lang w:val="es-MX"/>
        </w:rPr>
        <w:t xml:space="preserve"> </w:t>
      </w:r>
      <w:r w:rsidR="008A1F03" w:rsidRPr="0015303E">
        <w:rPr>
          <w:rFonts w:ascii="Arial" w:eastAsiaTheme="minorEastAsia" w:hAnsi="Arial" w:cs="Arial"/>
          <w:highlight w:val="yellow"/>
          <w:lang w:val="es-MX"/>
        </w:rPr>
        <w:t>¿?</w:t>
      </w:r>
    </w:p>
    <w:p w:rsidR="004E3FCD" w:rsidRPr="0015303E" w:rsidRDefault="004E3FCD" w:rsidP="00303976">
      <w:p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Aunque la información que provee un multiplicador es valiosa en la medida que se asuma que el impacto de un cambio en gasto o impuestos no depende de</w:t>
      </w:r>
      <w:r w:rsidR="00BD7B7D" w:rsidRPr="0015303E">
        <w:rPr>
          <w:rFonts w:ascii="Arial" w:eastAsiaTheme="minorEastAsia" w:hAnsi="Arial" w:cs="Arial"/>
          <w:lang w:val="es-MX"/>
        </w:rPr>
        <w:t>l valor de</w:t>
      </w:r>
      <w:r w:rsidRPr="0015303E">
        <w:rPr>
          <w:rFonts w:ascii="Arial" w:eastAsiaTheme="minorEastAsia" w:hAnsi="Arial" w:cs="Arial"/>
          <w:lang w:val="es-MX"/>
        </w:rPr>
        <w:t xml:space="preserve"> </w:t>
      </w:r>
      <m:oMath>
        <m:r>
          <w:rPr>
            <w:rFonts w:ascii="Cambria Math" w:eastAsiaTheme="minorEastAsia" w:hAnsi="Cambria Math" w:cs="Arial"/>
            <w:lang w:val="es-MX"/>
          </w:rPr>
          <m:t>Y</m:t>
        </m:r>
      </m:oMath>
      <w:r w:rsidR="00BD7B7D" w:rsidRPr="0015303E">
        <w:rPr>
          <w:rFonts w:ascii="Arial" w:eastAsiaTheme="minorEastAsia" w:hAnsi="Arial" w:cs="Arial"/>
          <w:lang w:val="es-MX"/>
        </w:rPr>
        <w:t>,</w:t>
      </w:r>
      <w:r w:rsidRPr="0015303E">
        <w:rPr>
          <w:rFonts w:ascii="Arial" w:eastAsiaTheme="minorEastAsia" w:hAnsi="Arial" w:cs="Arial"/>
          <w:lang w:val="es-MX"/>
        </w:rPr>
        <w:t xml:space="preserve"> </w:t>
      </w:r>
      <w:r w:rsidR="00BD7B7D" w:rsidRPr="0015303E">
        <w:rPr>
          <w:rFonts w:ascii="Arial" w:eastAsiaTheme="minorEastAsia" w:hAnsi="Arial" w:cs="Arial"/>
          <w:lang w:val="es-MX"/>
        </w:rPr>
        <w:t xml:space="preserve">hay evidencia que sugiere que el impacto del multiplicador es cuando se está más lejos de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Y</m:t>
            </m:r>
          </m:e>
          <m:sub>
            <m:r>
              <w:rPr>
                <w:rFonts w:ascii="Cambria Math" w:hAnsi="Cambria Math" w:cs="Arial"/>
                <w:lang w:val="es-MX"/>
              </w:rPr>
              <m:t>e</m:t>
            </m:r>
          </m:sub>
        </m:sSub>
      </m:oMath>
      <w:r w:rsidR="00BD7B7D" w:rsidRPr="0015303E">
        <w:rPr>
          <w:rFonts w:ascii="Arial" w:eastAsiaTheme="minorEastAsia" w:hAnsi="Arial" w:cs="Arial"/>
          <w:lang w:val="es-MX"/>
        </w:rPr>
        <w:t xml:space="preserve"> (esto es accorde con la </w:t>
      </w:r>
      <w:r w:rsidR="00CA2FAE" w:rsidRPr="0015303E">
        <w:rPr>
          <w:rFonts w:ascii="Arial" w:eastAsiaTheme="minorEastAsia" w:hAnsi="Arial" w:cs="Arial"/>
          <w:lang w:val="es-MX"/>
        </w:rPr>
        <w:t>teoría</w:t>
      </w:r>
      <w:r w:rsidR="00BD7B7D" w:rsidRPr="0015303E">
        <w:rPr>
          <w:rFonts w:ascii="Arial" w:eastAsiaTheme="minorEastAsia" w:hAnsi="Arial" w:cs="Arial"/>
          <w:lang w:val="es-MX"/>
        </w:rPr>
        <w:t xml:space="preserve"> Keynesiana). </w:t>
      </w:r>
    </w:p>
    <w:p w:rsidR="00303976" w:rsidRPr="0015303E" w:rsidRDefault="00BD7B7D" w:rsidP="00303976">
      <w:p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Un potencial tercer objeto de interés para los multiplicadores, en adición al gasto y los impuestos, sería medir como cambia el PBI en respuesta a un cambio en </w:t>
      </w:r>
      <w:r w:rsidRPr="0015303E">
        <w:rPr>
          <w:rFonts w:ascii="Arial" w:eastAsiaTheme="minorEastAsia" w:hAnsi="Arial" w:cs="Arial"/>
          <w:i/>
          <w:iCs/>
          <w:lang w:val="es-MX"/>
        </w:rPr>
        <w:t>inversión pública</w:t>
      </w:r>
      <w:r w:rsidRPr="0015303E">
        <w:rPr>
          <w:rFonts w:ascii="Arial" w:eastAsiaTheme="minorEastAsia" w:hAnsi="Arial" w:cs="Arial"/>
          <w:lang w:val="es-MX"/>
        </w:rPr>
        <w:t xml:space="preserve">. </w:t>
      </w:r>
    </w:p>
    <w:p w:rsidR="00347181" w:rsidRPr="0015303E" w:rsidRDefault="00347181" w:rsidP="00303976">
      <w:p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Los multiplicadores suelen ser mayores en países más desarrollados, mientras que su valor es menor en países en desarrollo (hay evidencia de que en Perú, su valor es 0).</w:t>
      </w:r>
    </w:p>
    <w:p w:rsidR="00BD7B7D" w:rsidRPr="0015303E" w:rsidRDefault="00751D2A" w:rsidP="00303976">
      <w:pPr>
        <w:rPr>
          <w:rFonts w:ascii="Arial" w:eastAsiaTheme="minorEastAsia" w:hAnsi="Arial" w:cs="Arial"/>
          <w:b/>
          <w:bCs/>
          <w:lang w:val="es-MX"/>
        </w:rPr>
      </w:pPr>
      <w:r w:rsidRPr="0015303E">
        <w:rPr>
          <w:rFonts w:ascii="Arial" w:eastAsiaTheme="minorEastAsia" w:hAnsi="Arial" w:cs="Arial"/>
          <w:b/>
          <w:bCs/>
          <w:lang w:val="es-MX"/>
        </w:rPr>
        <w:t>Elasticidades</w:t>
      </w:r>
    </w:p>
    <w:p w:rsidR="00751D2A" w:rsidRPr="0015303E" w:rsidRDefault="00CA2FAE" w:rsidP="00303976">
      <w:p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Las </w:t>
      </w:r>
      <w:r w:rsidR="005A7191" w:rsidRPr="0015303E">
        <w:rPr>
          <w:rFonts w:ascii="Arial" w:eastAsiaTheme="minorEastAsia" w:hAnsi="Arial" w:cs="Arial"/>
          <w:lang w:val="es-MX"/>
        </w:rPr>
        <w:t>elasticidades</w:t>
      </w:r>
      <w:r w:rsidRPr="0015303E">
        <w:rPr>
          <w:rFonts w:ascii="Arial" w:eastAsiaTheme="minorEastAsia" w:hAnsi="Arial" w:cs="Arial"/>
          <w:lang w:val="es-MX"/>
        </w:rPr>
        <w:t xml:space="preserve"> son, en este contexto, la inversa conceptual de los multiplicadores: cuantifican cuanto cambia una variable de interés en respuesta a un cambio en el PBI</w:t>
      </w:r>
    </w:p>
    <w:p w:rsidR="00BD7B7D" w:rsidRPr="0015303E" w:rsidRDefault="00751D2A" w:rsidP="00751D2A">
      <w:pPr>
        <w:pStyle w:val="Prrafodelista"/>
        <w:numPr>
          <w:ilvl w:val="0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Elasticidad de ingresos </w:t>
      </w:r>
    </w:p>
    <w:p w:rsidR="00751D2A" w:rsidRPr="0015303E" w:rsidRDefault="00CA2FAE" w:rsidP="00751D2A">
      <w:pPr>
        <w:pStyle w:val="Prrafodelista"/>
        <w:numPr>
          <w:ilvl w:val="1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Mide cuanto cambia el ingreso </w:t>
      </w:r>
      <w:r w:rsidR="005A7191" w:rsidRPr="0015303E">
        <w:rPr>
          <w:rFonts w:ascii="Arial" w:eastAsiaTheme="minorEastAsia" w:hAnsi="Arial" w:cs="Arial"/>
          <w:lang w:val="es-MX"/>
        </w:rPr>
        <w:t>gubernamental</w:t>
      </w:r>
      <w:r w:rsidRPr="0015303E">
        <w:rPr>
          <w:rFonts w:ascii="Arial" w:eastAsiaTheme="minorEastAsia" w:hAnsi="Arial" w:cs="Arial"/>
          <w:lang w:val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 xml:space="preserve">, en respuesta a un cambio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>:</w:t>
      </w:r>
    </w:p>
    <w:p w:rsidR="00CA2FAE" w:rsidRPr="0015303E" w:rsidRDefault="00CA2FAE" w:rsidP="00CA2FAE">
      <w:pPr>
        <w:pStyle w:val="Prrafodelista"/>
        <w:ind w:left="1440"/>
        <w:rPr>
          <w:rFonts w:ascii="Arial" w:eastAsiaTheme="minorEastAsia" w:hAnsi="Arial" w:cs="Arial"/>
          <w:lang w:val="es-MX"/>
        </w:rPr>
      </w:pPr>
    </w:p>
    <w:p w:rsidR="00CA2FAE" w:rsidRPr="0015303E" w:rsidRDefault="00CA2FAE" w:rsidP="00CA2FAE">
      <w:pPr>
        <w:pStyle w:val="Prrafodelista"/>
        <w:ind w:left="1440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eastAsiaTheme="minorEastAsia" w:hAnsi="Cambria Math" w:cs="Arial"/>
              <w:lang w:val="es-MX"/>
            </w:rPr>
            <w:lastRenderedPageBreak/>
            <m:t>ε=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∆R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MX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∆Y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MX"/>
                    </w:rPr>
                    <m:t>t</m:t>
                  </m:r>
                </m:sub>
              </m:sSub>
            </m:den>
          </m:f>
        </m:oMath>
      </m:oMathPara>
    </w:p>
    <w:p w:rsidR="002B3B15" w:rsidRPr="0015303E" w:rsidRDefault="00F7721B" w:rsidP="00F7721B">
      <w:pPr>
        <w:pStyle w:val="Prrafodelista"/>
        <w:numPr>
          <w:ilvl w:val="1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La elasticidad </w:t>
      </w:r>
      <m:oMath>
        <m:r>
          <w:rPr>
            <w:rFonts w:ascii="Cambria Math" w:eastAsiaTheme="minorEastAsia" w:hAnsi="Cambria Math" w:cs="Arial"/>
            <w:lang w:val="es-MX"/>
          </w:rPr>
          <m:t>ε</m:t>
        </m:r>
      </m:oMath>
      <w:r w:rsidRPr="0015303E">
        <w:rPr>
          <w:rFonts w:ascii="Arial" w:eastAsiaTheme="minorEastAsia" w:hAnsi="Arial" w:cs="Arial"/>
          <w:lang w:val="es-MX"/>
        </w:rPr>
        <w:t xml:space="preserve">, entonces, corresponde al término </w:t>
      </w:r>
      <m:oMath>
        <m:r>
          <w:rPr>
            <w:rFonts w:ascii="Cambria Math" w:eastAsiaTheme="minorEastAsia" w:hAnsi="Cambria Math" w:cs="Arial"/>
            <w:lang w:val="es-MX"/>
          </w:rPr>
          <m:t>β</m:t>
        </m:r>
      </m:oMath>
      <w:r w:rsidRPr="0015303E">
        <w:rPr>
          <w:rFonts w:ascii="Arial" w:eastAsiaTheme="minorEastAsia" w:hAnsi="Arial" w:cs="Arial"/>
          <w:lang w:val="es-MX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=α+β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 xml:space="preserve">: nos dice por cuanto debería cambiar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 xml:space="preserve"> cambia por una unidad</w:t>
      </w:r>
    </w:p>
    <w:p w:rsidR="00F7721B" w:rsidRPr="0015303E" w:rsidRDefault="00734EFB" w:rsidP="00F7721B">
      <w:pPr>
        <w:pStyle w:val="Prrafodelista"/>
        <w:numPr>
          <w:ilvl w:val="1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Tal como para los multiplicadores, se asume </w:t>
      </w:r>
      <w:proofErr w:type="spellStart"/>
      <w:r w:rsidRPr="0015303E">
        <w:rPr>
          <w:rFonts w:ascii="Arial" w:eastAsiaTheme="minorEastAsia" w:hAnsi="Arial" w:cs="Arial"/>
          <w:lang w:val="es-MX"/>
        </w:rPr>
        <w:t>line</w:t>
      </w:r>
      <w:r w:rsidR="005A7191" w:rsidRPr="0015303E">
        <w:rPr>
          <w:rFonts w:ascii="Arial" w:eastAsiaTheme="minorEastAsia" w:hAnsi="Arial" w:cs="Arial"/>
          <w:lang w:val="es-MX"/>
        </w:rPr>
        <w:t>a</w:t>
      </w:r>
      <w:r w:rsidRPr="0015303E">
        <w:rPr>
          <w:rFonts w:ascii="Arial" w:eastAsiaTheme="minorEastAsia" w:hAnsi="Arial" w:cs="Arial"/>
          <w:lang w:val="es-MX"/>
        </w:rPr>
        <w:t>ridad</w:t>
      </w:r>
      <w:proofErr w:type="spellEnd"/>
      <w:r w:rsidRPr="0015303E">
        <w:rPr>
          <w:rFonts w:ascii="Arial" w:eastAsiaTheme="minorEastAsia" w:hAnsi="Arial" w:cs="Arial"/>
          <w:lang w:val="es-MX"/>
        </w:rPr>
        <w:t xml:space="preserve"> </w:t>
      </w:r>
    </w:p>
    <w:p w:rsidR="00347181" w:rsidRPr="0015303E" w:rsidRDefault="00030272" w:rsidP="00030272">
      <w:pPr>
        <w:pStyle w:val="Prrafodelista"/>
        <w:numPr>
          <w:ilvl w:val="1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Podemos desagregar el cambio en ingreses en</w:t>
      </w:r>
      <w:r w:rsidR="00347181" w:rsidRPr="0015303E">
        <w:rPr>
          <w:rFonts w:ascii="Arial" w:eastAsiaTheme="minorEastAsia" w:hAnsi="Arial" w:cs="Arial"/>
          <w:lang w:val="es-MX"/>
        </w:rPr>
        <w:t>:</w:t>
      </w:r>
      <w:r w:rsidRPr="0015303E">
        <w:rPr>
          <w:rFonts w:ascii="Arial" w:eastAsiaTheme="minorEastAsia" w:hAnsi="Arial" w:cs="Arial"/>
          <w:lang w:val="es-MX"/>
        </w:rPr>
        <w:t xml:space="preserve"> </w:t>
      </w:r>
    </w:p>
    <w:p w:rsidR="00347181" w:rsidRPr="0015303E" w:rsidRDefault="00347181" w:rsidP="00347181">
      <w:pPr>
        <w:pStyle w:val="Prrafodelista"/>
        <w:numPr>
          <w:ilvl w:val="2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E</w:t>
      </w:r>
      <w:r w:rsidR="00030272" w:rsidRPr="0015303E">
        <w:rPr>
          <w:rFonts w:ascii="Arial" w:eastAsiaTheme="minorEastAsia" w:hAnsi="Arial" w:cs="Arial"/>
          <w:lang w:val="es-MX"/>
        </w:rPr>
        <w:t xml:space="preserve">l cambio en </w:t>
      </w:r>
      <w:r w:rsidR="005A7191" w:rsidRPr="0015303E">
        <w:rPr>
          <w:rFonts w:ascii="Arial" w:eastAsiaTheme="minorEastAsia" w:hAnsi="Arial" w:cs="Arial"/>
          <w:lang w:val="es-MX"/>
        </w:rPr>
        <w:t>recaudación</w:t>
      </w:r>
      <w:r w:rsidR="00030272" w:rsidRPr="0015303E">
        <w:rPr>
          <w:rFonts w:ascii="Arial" w:eastAsiaTheme="minorEastAsia" w:hAnsi="Arial" w:cs="Arial"/>
          <w:lang w:val="es-MX"/>
        </w:rPr>
        <w:t xml:space="preserve"> </w:t>
      </w:r>
      <w:r w:rsidR="005A7191" w:rsidRPr="0015303E">
        <w:rPr>
          <w:rFonts w:ascii="Arial" w:eastAsiaTheme="minorEastAsia" w:hAnsi="Arial" w:cs="Arial"/>
          <w:lang w:val="es-MX"/>
        </w:rPr>
        <w:t>vía</w:t>
      </w:r>
      <w:r w:rsidR="00030272" w:rsidRPr="0015303E">
        <w:rPr>
          <w:rFonts w:ascii="Arial" w:eastAsiaTheme="minorEastAsia" w:hAnsi="Arial" w:cs="Arial"/>
          <w:lang w:val="es-MX"/>
        </w:rPr>
        <w:t xml:space="preserve"> </w:t>
      </w:r>
      <w:proofErr w:type="spellStart"/>
      <w:r w:rsidR="00030272" w:rsidRPr="0015303E">
        <w:rPr>
          <w:rFonts w:ascii="Arial" w:eastAsiaTheme="minorEastAsia" w:hAnsi="Arial" w:cs="Arial"/>
          <w:lang w:val="es-MX"/>
        </w:rPr>
        <w:t>corporate</w:t>
      </w:r>
      <w:proofErr w:type="spellEnd"/>
      <w:r w:rsidR="00030272" w:rsidRPr="0015303E">
        <w:rPr>
          <w:rFonts w:ascii="Arial" w:eastAsiaTheme="minorEastAsia" w:hAnsi="Arial" w:cs="Arial"/>
          <w:lang w:val="es-MX"/>
        </w:rPr>
        <w:t xml:space="preserve"> </w:t>
      </w:r>
      <w:proofErr w:type="spellStart"/>
      <w:r w:rsidR="00030272" w:rsidRPr="0015303E">
        <w:rPr>
          <w:rFonts w:ascii="Arial" w:eastAsiaTheme="minorEastAsia" w:hAnsi="Arial" w:cs="Arial"/>
          <w:lang w:val="es-MX"/>
        </w:rPr>
        <w:t>taxes</w:t>
      </w:r>
      <w:proofErr w:type="spellEnd"/>
      <w:r w:rsidR="003242DE" w:rsidRPr="0015303E">
        <w:rPr>
          <w:rFonts w:ascii="Arial" w:eastAsiaTheme="minorEastAsia" w:hAnsi="Arial" w:cs="Arial"/>
          <w:lang w:val="es-MX"/>
        </w:rPr>
        <w:t xml:space="preserve"> (el de mayor elasticidad, lo cual tiene sentido ya que son progresivos)</w:t>
      </w:r>
      <w:r w:rsidRPr="0015303E">
        <w:rPr>
          <w:rFonts w:ascii="Arial" w:eastAsiaTheme="minorEastAsia" w:hAnsi="Arial" w:cs="Arial"/>
          <w:lang w:val="es-MX"/>
        </w:rPr>
        <w:t xml:space="preserve"> </w:t>
      </w:r>
      <w:r w:rsidRPr="0015303E">
        <w:rPr>
          <w:rFonts w:ascii="Arial" w:eastAsiaTheme="minorEastAsia" w:hAnsi="Arial" w:cs="Arial"/>
          <w:lang w:val="es-MX"/>
        </w:rPr>
        <w:sym w:font="Wingdings" w:char="F0E0"/>
      </w:r>
      <w:r w:rsidRPr="0015303E">
        <w:rPr>
          <w:rFonts w:ascii="Arial" w:eastAsiaTheme="minorEastAsia" w:hAnsi="Arial" w:cs="Arial"/>
          <w:lang w:val="es-MX"/>
        </w:rPr>
        <w:t xml:space="preserve"> </w:t>
      </w:r>
      <w:r w:rsidR="003242DE" w:rsidRPr="0015303E">
        <w:rPr>
          <w:rFonts w:ascii="Arial" w:eastAsiaTheme="minorEastAsia" w:hAnsi="Arial" w:cs="Arial"/>
          <w:lang w:val="es-MX"/>
        </w:rPr>
        <w:t xml:space="preserve"> </w:t>
      </w:r>
      <m:oMath>
        <m:r>
          <w:rPr>
            <w:rFonts w:ascii="Cambria Math" w:eastAsiaTheme="minorEastAsia" w:hAnsi="Cambria Math" w:cs="Arial"/>
            <w:lang w:val="es-MX"/>
          </w:rPr>
          <m:t>ε&gt;1</m:t>
        </m:r>
      </m:oMath>
    </w:p>
    <w:p w:rsidR="00347181" w:rsidRPr="0015303E" w:rsidRDefault="00347181" w:rsidP="00347181">
      <w:pPr>
        <w:pStyle w:val="Prrafodelista"/>
        <w:numPr>
          <w:ilvl w:val="2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E</w:t>
      </w:r>
      <w:r w:rsidR="003242DE" w:rsidRPr="0015303E">
        <w:rPr>
          <w:rFonts w:ascii="Arial" w:eastAsiaTheme="minorEastAsia" w:hAnsi="Arial" w:cs="Arial"/>
          <w:lang w:val="es-MX"/>
        </w:rPr>
        <w:t xml:space="preserve">l cambio en </w:t>
      </w:r>
      <w:r w:rsidR="005A7191" w:rsidRPr="0015303E">
        <w:rPr>
          <w:rFonts w:ascii="Arial" w:eastAsiaTheme="minorEastAsia" w:hAnsi="Arial" w:cs="Arial"/>
          <w:lang w:val="es-MX"/>
        </w:rPr>
        <w:t>recaudación</w:t>
      </w:r>
      <w:r w:rsidR="003242DE" w:rsidRPr="0015303E">
        <w:rPr>
          <w:rFonts w:ascii="Arial" w:eastAsiaTheme="minorEastAsia" w:hAnsi="Arial" w:cs="Arial"/>
          <w:lang w:val="es-MX"/>
        </w:rPr>
        <w:t xml:space="preserve"> </w:t>
      </w:r>
      <w:r w:rsidR="005A7191" w:rsidRPr="0015303E">
        <w:rPr>
          <w:rFonts w:ascii="Arial" w:eastAsiaTheme="minorEastAsia" w:hAnsi="Arial" w:cs="Arial"/>
          <w:lang w:val="es-MX"/>
        </w:rPr>
        <w:t>vía</w:t>
      </w:r>
      <w:r w:rsidR="003242DE" w:rsidRPr="0015303E">
        <w:rPr>
          <w:rFonts w:ascii="Arial" w:eastAsiaTheme="minorEastAsia" w:hAnsi="Arial" w:cs="Arial"/>
          <w:lang w:val="es-MX"/>
        </w:rPr>
        <w:t xml:space="preserve"> </w:t>
      </w:r>
      <w:proofErr w:type="spellStart"/>
      <w:r w:rsidR="003242DE" w:rsidRPr="0015303E">
        <w:rPr>
          <w:rFonts w:ascii="Arial" w:eastAsiaTheme="minorEastAsia" w:hAnsi="Arial" w:cs="Arial"/>
          <w:lang w:val="es-MX"/>
        </w:rPr>
        <w:t>income</w:t>
      </w:r>
      <w:proofErr w:type="spellEnd"/>
      <w:r w:rsidR="003242DE" w:rsidRPr="0015303E">
        <w:rPr>
          <w:rFonts w:ascii="Arial" w:eastAsiaTheme="minorEastAsia" w:hAnsi="Arial" w:cs="Arial"/>
          <w:lang w:val="es-MX"/>
        </w:rPr>
        <w:t xml:space="preserve"> </w:t>
      </w:r>
      <w:proofErr w:type="spellStart"/>
      <w:r w:rsidR="003242DE" w:rsidRPr="0015303E">
        <w:rPr>
          <w:rFonts w:ascii="Arial" w:eastAsiaTheme="minorEastAsia" w:hAnsi="Arial" w:cs="Arial"/>
          <w:lang w:val="es-MX"/>
        </w:rPr>
        <w:t>taxes</w:t>
      </w:r>
      <w:proofErr w:type="spellEnd"/>
      <w:r w:rsidRPr="0015303E">
        <w:rPr>
          <w:rFonts w:ascii="Arial" w:eastAsiaTheme="minorEastAsia" w:hAnsi="Arial" w:cs="Arial"/>
          <w:lang w:val="es-MX"/>
        </w:rPr>
        <w:t xml:space="preserve"> </w:t>
      </w:r>
      <w:r w:rsidRPr="0015303E">
        <w:rPr>
          <w:rFonts w:ascii="Arial" w:eastAsiaTheme="minorEastAsia" w:hAnsi="Arial" w:cs="Arial"/>
          <w:lang w:val="es-MX"/>
        </w:rPr>
        <w:sym w:font="Wingdings" w:char="F0E0"/>
      </w:r>
      <w:r w:rsidRPr="0015303E">
        <w:rPr>
          <w:rFonts w:ascii="Arial" w:eastAsiaTheme="minorEastAsia" w:hAnsi="Arial" w:cs="Arial"/>
          <w:lang w:val="es-MX"/>
        </w:rPr>
        <w:t xml:space="preserve">  </w:t>
      </w:r>
      <m:oMath>
        <m:r>
          <w:rPr>
            <w:rFonts w:ascii="Cambria Math" w:eastAsiaTheme="minorEastAsia" w:hAnsi="Cambria Math" w:cs="Arial"/>
            <w:lang w:val="es-MX"/>
          </w:rPr>
          <m:t>ε&gt;1</m:t>
        </m:r>
      </m:oMath>
    </w:p>
    <w:p w:rsidR="00347181" w:rsidRPr="0015303E" w:rsidRDefault="00347181" w:rsidP="00347181">
      <w:pPr>
        <w:pStyle w:val="Prrafodelista"/>
        <w:numPr>
          <w:ilvl w:val="2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E</w:t>
      </w:r>
      <w:r w:rsidR="003242DE" w:rsidRPr="0015303E">
        <w:rPr>
          <w:rFonts w:ascii="Arial" w:eastAsiaTheme="minorEastAsia" w:hAnsi="Arial" w:cs="Arial"/>
          <w:lang w:val="es-MX"/>
        </w:rPr>
        <w:t xml:space="preserve">l cambio en </w:t>
      </w:r>
      <w:r w:rsidR="005A7191" w:rsidRPr="0015303E">
        <w:rPr>
          <w:rFonts w:ascii="Arial" w:eastAsiaTheme="minorEastAsia" w:hAnsi="Arial" w:cs="Arial"/>
          <w:lang w:val="es-MX"/>
        </w:rPr>
        <w:t>recaudación</w:t>
      </w:r>
      <w:r w:rsidR="003242DE" w:rsidRPr="0015303E">
        <w:rPr>
          <w:rFonts w:ascii="Arial" w:eastAsiaTheme="minorEastAsia" w:hAnsi="Arial" w:cs="Arial"/>
          <w:lang w:val="es-MX"/>
        </w:rPr>
        <w:t xml:space="preserve"> </w:t>
      </w:r>
      <w:r w:rsidR="005A7191" w:rsidRPr="0015303E">
        <w:rPr>
          <w:rFonts w:ascii="Arial" w:eastAsiaTheme="minorEastAsia" w:hAnsi="Arial" w:cs="Arial"/>
          <w:lang w:val="es-MX"/>
        </w:rPr>
        <w:t>vía</w:t>
      </w:r>
      <w:r w:rsidR="003242DE" w:rsidRPr="0015303E">
        <w:rPr>
          <w:rFonts w:ascii="Arial" w:eastAsiaTheme="minorEastAsia" w:hAnsi="Arial" w:cs="Arial"/>
          <w:lang w:val="es-MX"/>
        </w:rPr>
        <w:t xml:space="preserve"> </w:t>
      </w:r>
      <w:proofErr w:type="spellStart"/>
      <w:r w:rsidR="003242DE" w:rsidRPr="0015303E">
        <w:rPr>
          <w:rFonts w:ascii="Arial" w:eastAsiaTheme="minorEastAsia" w:hAnsi="Arial" w:cs="Arial"/>
          <w:lang w:val="es-MX"/>
        </w:rPr>
        <w:t>indirect</w:t>
      </w:r>
      <w:proofErr w:type="spellEnd"/>
      <w:r w:rsidR="003242DE" w:rsidRPr="0015303E">
        <w:rPr>
          <w:rFonts w:ascii="Arial" w:eastAsiaTheme="minorEastAsia" w:hAnsi="Arial" w:cs="Arial"/>
          <w:lang w:val="es-MX"/>
        </w:rPr>
        <w:t xml:space="preserve"> </w:t>
      </w:r>
      <w:proofErr w:type="spellStart"/>
      <w:r w:rsidR="003242DE" w:rsidRPr="0015303E">
        <w:rPr>
          <w:rFonts w:ascii="Arial" w:eastAsiaTheme="minorEastAsia" w:hAnsi="Arial" w:cs="Arial"/>
          <w:lang w:val="es-MX"/>
        </w:rPr>
        <w:t>taxes</w:t>
      </w:r>
      <w:proofErr w:type="spellEnd"/>
      <w:r w:rsidR="003242DE" w:rsidRPr="0015303E">
        <w:rPr>
          <w:rFonts w:ascii="Arial" w:eastAsiaTheme="minorEastAsia" w:hAnsi="Arial" w:cs="Arial"/>
          <w:lang w:val="es-MX"/>
        </w:rPr>
        <w:t xml:space="preserve"> (</w:t>
      </w:r>
      <w:r w:rsidRPr="0015303E">
        <w:rPr>
          <w:rFonts w:ascii="Arial" w:eastAsiaTheme="minorEastAsia" w:hAnsi="Arial" w:cs="Arial"/>
          <w:lang w:val="es-MX"/>
        </w:rPr>
        <w:t>de menor</w:t>
      </w:r>
      <w:r w:rsidR="003242DE" w:rsidRPr="0015303E">
        <w:rPr>
          <w:rFonts w:ascii="Arial" w:eastAsiaTheme="minorEastAsia" w:hAnsi="Arial" w:cs="Arial"/>
          <w:lang w:val="es-MX"/>
        </w:rPr>
        <w:t xml:space="preserve"> elasticidad, lo cual tiene sentido ya que son regresivos)</w:t>
      </w:r>
      <w:r w:rsidRPr="0015303E">
        <w:rPr>
          <w:rFonts w:ascii="Arial" w:eastAsiaTheme="minorEastAsia" w:hAnsi="Arial" w:cs="Arial"/>
          <w:lang w:val="es-MX"/>
        </w:rPr>
        <w:t xml:space="preserve"> </w:t>
      </w:r>
      <w:r w:rsidRPr="0015303E">
        <w:rPr>
          <w:rFonts w:ascii="Arial" w:eastAsiaTheme="minorEastAsia" w:hAnsi="Arial" w:cs="Arial"/>
          <w:lang w:val="es-MX"/>
        </w:rPr>
        <w:sym w:font="Wingdings" w:char="F0E0"/>
      </w:r>
      <w:r w:rsidRPr="0015303E">
        <w:rPr>
          <w:rFonts w:ascii="Arial" w:eastAsiaTheme="minorEastAsia" w:hAnsi="Arial" w:cs="Arial"/>
          <w:lang w:val="es-MX"/>
        </w:rPr>
        <w:t xml:space="preserve">  </w:t>
      </w:r>
      <m:oMath>
        <m:r>
          <w:rPr>
            <w:rFonts w:ascii="Cambria Math" w:eastAsiaTheme="minorEastAsia" w:hAnsi="Cambria Math" w:cs="Arial"/>
            <w:lang w:val="es-MX"/>
          </w:rPr>
          <m:t>ε=1</m:t>
        </m:r>
      </m:oMath>
    </w:p>
    <w:p w:rsidR="00D42CCA" w:rsidRPr="0015303E" w:rsidRDefault="00347181" w:rsidP="00D42CCA">
      <w:pPr>
        <w:pStyle w:val="Prrafodelista"/>
        <w:numPr>
          <w:ilvl w:val="2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El cambio vía impuestos no tributarios y contribuciones de seguridad social </w:t>
      </w:r>
      <w:r w:rsidRPr="0015303E">
        <w:rPr>
          <w:rFonts w:ascii="Arial" w:eastAsiaTheme="minorEastAsia" w:hAnsi="Arial" w:cs="Arial"/>
          <w:lang w:val="es-MX"/>
        </w:rPr>
        <w:sym w:font="Wingdings" w:char="F0E0"/>
      </w:r>
      <w:r w:rsidRPr="0015303E">
        <w:rPr>
          <w:rFonts w:ascii="Arial" w:eastAsiaTheme="minorEastAsia" w:hAnsi="Arial" w:cs="Arial"/>
          <w:lang w:val="es-MX"/>
        </w:rPr>
        <w:t xml:space="preserve">  </w:t>
      </w:r>
      <m:oMath>
        <m:r>
          <w:rPr>
            <w:rFonts w:ascii="Cambria Math" w:eastAsiaTheme="minorEastAsia" w:hAnsi="Cambria Math" w:cs="Arial"/>
            <w:lang w:val="es-MX"/>
          </w:rPr>
          <m:t>ε&lt;1</m:t>
        </m:r>
      </m:oMath>
    </w:p>
    <w:p w:rsidR="00D42CCA" w:rsidRPr="0015303E" w:rsidRDefault="005A7191" w:rsidP="00D42CCA">
      <w:pPr>
        <w:pStyle w:val="Prrafodelista"/>
        <w:numPr>
          <w:ilvl w:val="1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Implicancias</w:t>
      </w:r>
      <w:r w:rsidR="00D42CCA" w:rsidRPr="0015303E">
        <w:rPr>
          <w:rFonts w:ascii="Arial" w:eastAsiaTheme="minorEastAsia" w:hAnsi="Arial" w:cs="Arial"/>
          <w:lang w:val="es-MX"/>
        </w:rPr>
        <w:t xml:space="preserve"> para la </w:t>
      </w:r>
      <w:r w:rsidRPr="0015303E">
        <w:rPr>
          <w:rFonts w:ascii="Arial" w:eastAsiaTheme="minorEastAsia" w:hAnsi="Arial" w:cs="Arial"/>
          <w:lang w:val="es-MX"/>
        </w:rPr>
        <w:t>gobernanza</w:t>
      </w:r>
      <w:r w:rsidR="00D42CCA" w:rsidRPr="0015303E">
        <w:rPr>
          <w:rFonts w:ascii="Arial" w:eastAsiaTheme="minorEastAsia" w:hAnsi="Arial" w:cs="Arial"/>
          <w:lang w:val="es-MX"/>
        </w:rPr>
        <w:t xml:space="preserve"> de finanzas públicas</w:t>
      </w:r>
    </w:p>
    <w:p w:rsidR="00D42CCA" w:rsidRPr="0015303E" w:rsidRDefault="00D42CCA" w:rsidP="00D42CCA">
      <w:pPr>
        <w:pStyle w:val="Prrafodelista"/>
        <w:numPr>
          <w:ilvl w:val="2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Si </w:t>
      </w:r>
      <m:oMath>
        <m:r>
          <w:rPr>
            <w:rFonts w:ascii="Cambria Math" w:eastAsiaTheme="minorEastAsia" w:hAnsi="Cambria Math" w:cs="Arial"/>
            <w:lang w:val="es-MX"/>
          </w:rPr>
          <m:t>ε=</m:t>
        </m:r>
        <m:f>
          <m:f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∆τ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∆Y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t</m:t>
                </m:r>
              </m:sub>
            </m:sSub>
          </m:den>
        </m:f>
      </m:oMath>
      <w:r w:rsidRPr="0015303E">
        <w:rPr>
          <w:rFonts w:ascii="Arial" w:eastAsiaTheme="minorEastAsia" w:hAnsi="Arial" w:cs="Arial"/>
          <w:lang w:val="es-MX"/>
        </w:rPr>
        <w:t xml:space="preserve"> para un impuesto </w:t>
      </w:r>
      <m:oMath>
        <m:r>
          <w:rPr>
            <w:rFonts w:ascii="Cambria Math" w:eastAsiaTheme="minorEastAsia" w:hAnsi="Cambria Math" w:cs="Arial"/>
            <w:lang w:val="es-MX"/>
          </w:rPr>
          <m:t>τ</m:t>
        </m:r>
      </m:oMath>
      <w:r w:rsidRPr="0015303E">
        <w:rPr>
          <w:rFonts w:ascii="Arial" w:eastAsiaTheme="minorEastAsia" w:hAnsi="Arial" w:cs="Arial"/>
          <w:lang w:val="es-MX"/>
        </w:rPr>
        <w:t xml:space="preserve">, entonces </w:t>
      </w:r>
      <m:oMath>
        <m:r>
          <w:rPr>
            <w:rFonts w:ascii="Cambria Math" w:eastAsiaTheme="minorEastAsia" w:hAnsi="Cambria Math" w:cs="Arial"/>
            <w:lang w:val="es-MX"/>
          </w:rPr>
          <m:t>∆R=ε∆τ</m:t>
        </m:r>
      </m:oMath>
    </w:p>
    <w:p w:rsidR="00D42CCA" w:rsidRPr="0015303E" w:rsidRDefault="00D42CCA" w:rsidP="00D42CCA">
      <w:pPr>
        <w:pStyle w:val="Prrafodelista"/>
        <w:numPr>
          <w:ilvl w:val="2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Escrito de otro modo,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 w:cs="Arial"/>
                <w:lang w:val="es-MX"/>
              </w:rPr>
              <m:t>τ-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MX"/>
                  </w:rPr>
                  <m:t>AC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MX"/>
          </w:rPr>
          <m:t>=ε</m:t>
        </m:r>
        <m:d>
          <m:d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 w:cs="Arial"/>
                <w:lang w:val="es-MX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e</m:t>
                </m:r>
              </m:sub>
            </m:sSub>
          </m:e>
        </m:d>
      </m:oMath>
    </w:p>
    <w:p w:rsidR="00D42CCA" w:rsidRPr="0015303E" w:rsidRDefault="00D42CCA" w:rsidP="00D42CCA">
      <w:pPr>
        <w:pStyle w:val="Prrafodelista"/>
        <w:numPr>
          <w:ilvl w:val="2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En base a esto, si tuviéramos valores 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τ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AC</m:t>
            </m:r>
          </m:sup>
        </m:sSup>
      </m:oMath>
      <w:r w:rsidRPr="0015303E">
        <w:rPr>
          <w:rFonts w:ascii="Arial" w:eastAsiaTheme="minorEastAsia" w:hAnsi="Arial" w:cs="Arial"/>
          <w:lang w:val="es-MX"/>
        </w:rPr>
        <w:t xml:space="preserve">, </w:t>
      </w:r>
      <m:oMath>
        <m:r>
          <w:rPr>
            <w:rFonts w:ascii="Cambria Math" w:eastAsiaTheme="minorEastAsia" w:hAnsi="Cambria Math" w:cs="Arial"/>
            <w:lang w:val="es-MX"/>
          </w:rPr>
          <m:t>ε</m:t>
        </m:r>
      </m:oMath>
      <w:r w:rsidRPr="0015303E">
        <w:rPr>
          <w:rFonts w:ascii="Arial" w:eastAsiaTheme="minorEastAsia" w:hAnsi="Arial" w:cs="Arial"/>
          <w:iCs/>
          <w:lang w:val="es-MX"/>
        </w:rPr>
        <w:t xml:space="preserve">, y la brecha </w:t>
      </w:r>
      <m:oMath>
        <m:r>
          <w:rPr>
            <w:rFonts w:ascii="Cambria Math" w:eastAsiaTheme="minorEastAsia" w:hAnsi="Cambria Math" w:cs="Arial"/>
            <w:lang w:val="es-MX"/>
          </w:rPr>
          <m:t>Y-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e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 xml:space="preserve">, podríamos predecir cuanto será la recaudación de </w:t>
      </w:r>
      <m:oMath>
        <m:r>
          <w:rPr>
            <w:rFonts w:ascii="Cambria Math" w:eastAsiaTheme="minorEastAsia" w:hAnsi="Cambria Math" w:cs="Arial"/>
            <w:lang w:val="es-MX"/>
          </w:rPr>
          <m:t>τ</m:t>
        </m:r>
      </m:oMath>
    </w:p>
    <w:p w:rsidR="00D42CCA" w:rsidRPr="0015303E" w:rsidRDefault="00D42CCA" w:rsidP="00D42CCA">
      <w:pPr>
        <w:pStyle w:val="Prrafodelista"/>
        <w:numPr>
          <w:ilvl w:val="2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Es posible que esta información sea presentada como parte de una tabla, en caso hay que saber que datos sustraer para realizar los cálculos:</w:t>
      </w:r>
    </w:p>
    <w:p w:rsidR="00D42CCA" w:rsidRPr="0015303E" w:rsidRDefault="00D42CCA" w:rsidP="00D42CCA">
      <w:pPr>
        <w:pStyle w:val="Prrafodelista"/>
        <w:ind w:left="2160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noProof/>
          <w:lang w:eastAsia="es-PE"/>
        </w:rPr>
        <w:drawing>
          <wp:inline distT="0" distB="0" distL="0" distR="0" wp14:anchorId="42681804" wp14:editId="2D4B607A">
            <wp:extent cx="3120155" cy="1066684"/>
            <wp:effectExtent l="0" t="0" r="4445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1259079-78B3-59F6-C1A7-656EF7510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1259079-78B3-59F6-C1A7-656EF75106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357" cy="10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CA" w:rsidRPr="0015303E" w:rsidRDefault="00D42CCA" w:rsidP="00D42CCA">
      <w:pPr>
        <w:pStyle w:val="Prrafodelista"/>
        <w:ind w:left="1440"/>
        <w:rPr>
          <w:rFonts w:ascii="Arial" w:eastAsiaTheme="minorEastAsia" w:hAnsi="Arial" w:cs="Arial"/>
          <w:lang w:val="es-MX"/>
        </w:rPr>
      </w:pPr>
    </w:p>
    <w:p w:rsidR="00F7721B" w:rsidRPr="0015303E" w:rsidRDefault="00F7721B" w:rsidP="00F7721B">
      <w:pPr>
        <w:pStyle w:val="Prrafodelista"/>
        <w:numPr>
          <w:ilvl w:val="0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Elasticidad de gastos </w:t>
      </w:r>
    </w:p>
    <w:p w:rsidR="00F7721B" w:rsidRPr="0015303E" w:rsidRDefault="00F7721B" w:rsidP="00F7721B">
      <w:pPr>
        <w:pStyle w:val="Prrafodelista"/>
        <w:numPr>
          <w:ilvl w:val="1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Mide cuanto cambia el gasto </w:t>
      </w:r>
      <w:r w:rsidR="005A7191" w:rsidRPr="0015303E">
        <w:rPr>
          <w:rFonts w:ascii="Arial" w:eastAsiaTheme="minorEastAsia" w:hAnsi="Arial" w:cs="Arial"/>
          <w:lang w:val="es-MX"/>
        </w:rPr>
        <w:t>gubernamental</w:t>
      </w:r>
      <w:r w:rsidRPr="0015303E">
        <w:rPr>
          <w:rFonts w:ascii="Arial" w:eastAsiaTheme="minorEastAsia" w:hAnsi="Arial" w:cs="Arial"/>
          <w:lang w:val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 xml:space="preserve">, en respuesta a un cambio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>:</w:t>
      </w:r>
    </w:p>
    <w:p w:rsidR="00F7721B" w:rsidRPr="0015303E" w:rsidRDefault="00F7721B" w:rsidP="00F7721B">
      <w:pPr>
        <w:pStyle w:val="Prrafodelista"/>
        <w:ind w:left="1440"/>
        <w:rPr>
          <w:rFonts w:ascii="Arial" w:eastAsiaTheme="minorEastAsia" w:hAnsi="Arial" w:cs="Arial"/>
          <w:lang w:val="es-MX"/>
        </w:rPr>
      </w:pPr>
    </w:p>
    <w:p w:rsidR="00F7721B" w:rsidRPr="0015303E" w:rsidRDefault="00F7721B" w:rsidP="00F7721B">
      <w:pPr>
        <w:pStyle w:val="Prrafodelista"/>
        <w:ind w:left="1440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eastAsiaTheme="minorEastAsia" w:hAnsi="Cambria Math" w:cs="Arial"/>
              <w:lang w:val="es-MX"/>
            </w:rPr>
            <m:t>ε=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∆G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MX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∆Y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MX"/>
                    </w:rPr>
                    <m:t>t</m:t>
                  </m:r>
                </m:sub>
              </m:sSub>
            </m:den>
          </m:f>
        </m:oMath>
      </m:oMathPara>
    </w:p>
    <w:p w:rsidR="00F7721B" w:rsidRPr="0015303E" w:rsidRDefault="00F7721B" w:rsidP="00F7721B">
      <w:pPr>
        <w:pStyle w:val="Prrafodelista"/>
        <w:numPr>
          <w:ilvl w:val="1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La elasticidad </w:t>
      </w:r>
      <m:oMath>
        <m:r>
          <w:rPr>
            <w:rFonts w:ascii="Cambria Math" w:eastAsiaTheme="minorEastAsia" w:hAnsi="Cambria Math" w:cs="Arial"/>
            <w:lang w:val="es-MX"/>
          </w:rPr>
          <m:t>ε</m:t>
        </m:r>
      </m:oMath>
      <w:r w:rsidRPr="0015303E">
        <w:rPr>
          <w:rFonts w:ascii="Arial" w:eastAsiaTheme="minorEastAsia" w:hAnsi="Arial" w:cs="Arial"/>
          <w:lang w:val="es-MX"/>
        </w:rPr>
        <w:t xml:space="preserve">, entonces, corresponde al término </w:t>
      </w:r>
      <m:oMath>
        <m:r>
          <w:rPr>
            <w:rFonts w:ascii="Cambria Math" w:eastAsiaTheme="minorEastAsia" w:hAnsi="Cambria Math" w:cs="Arial"/>
            <w:lang w:val="es-MX"/>
          </w:rPr>
          <m:t>β</m:t>
        </m:r>
      </m:oMath>
      <w:r w:rsidRPr="0015303E">
        <w:rPr>
          <w:rFonts w:ascii="Arial" w:eastAsiaTheme="minorEastAsia" w:hAnsi="Arial" w:cs="Arial"/>
          <w:lang w:val="es-MX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=α+β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 xml:space="preserve">: nos dice por cuanto debería cambiar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t</m:t>
            </m:r>
          </m:sub>
        </m:sSub>
      </m:oMath>
      <w:r w:rsidRPr="0015303E">
        <w:rPr>
          <w:rFonts w:ascii="Arial" w:eastAsiaTheme="minorEastAsia" w:hAnsi="Arial" w:cs="Arial"/>
          <w:lang w:val="es-MX"/>
        </w:rPr>
        <w:t xml:space="preserve"> cambia por una unidad</w:t>
      </w:r>
    </w:p>
    <w:p w:rsidR="00F7721B" w:rsidRPr="0015303E" w:rsidRDefault="00F7721B" w:rsidP="00F7721B">
      <w:pPr>
        <w:pStyle w:val="Prrafodelista"/>
        <w:numPr>
          <w:ilvl w:val="1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Tal como para los multiplicadores, se asume </w:t>
      </w:r>
      <w:proofErr w:type="spellStart"/>
      <w:r w:rsidRPr="0015303E">
        <w:rPr>
          <w:rFonts w:ascii="Arial" w:eastAsiaTheme="minorEastAsia" w:hAnsi="Arial" w:cs="Arial"/>
          <w:lang w:val="es-MX"/>
        </w:rPr>
        <w:t>line</w:t>
      </w:r>
      <w:r w:rsidR="005A7191" w:rsidRPr="0015303E">
        <w:rPr>
          <w:rFonts w:ascii="Arial" w:eastAsiaTheme="minorEastAsia" w:hAnsi="Arial" w:cs="Arial"/>
          <w:lang w:val="es-MX"/>
        </w:rPr>
        <w:t>a</w:t>
      </w:r>
      <w:r w:rsidRPr="0015303E">
        <w:rPr>
          <w:rFonts w:ascii="Arial" w:eastAsiaTheme="minorEastAsia" w:hAnsi="Arial" w:cs="Arial"/>
          <w:lang w:val="es-MX"/>
        </w:rPr>
        <w:t>ridad</w:t>
      </w:r>
      <w:proofErr w:type="spellEnd"/>
      <w:r w:rsidRPr="0015303E">
        <w:rPr>
          <w:rFonts w:ascii="Arial" w:eastAsiaTheme="minorEastAsia" w:hAnsi="Arial" w:cs="Arial"/>
          <w:lang w:val="es-MX"/>
        </w:rPr>
        <w:t xml:space="preserve"> </w:t>
      </w:r>
    </w:p>
    <w:p w:rsidR="00347181" w:rsidRPr="0015303E" w:rsidRDefault="00F7721B" w:rsidP="00D42CCA">
      <w:pPr>
        <w:pStyle w:val="Prrafodelista"/>
        <w:numPr>
          <w:ilvl w:val="1"/>
          <w:numId w:val="14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Los gastos suelen tener una menos elasticidad que los ingresos (cambian menos cuando hay un cambio en PBI) </w:t>
      </w:r>
      <w:r w:rsidRPr="0015303E">
        <w:rPr>
          <w:rFonts w:ascii="Arial" w:eastAsiaTheme="minorEastAsia" w:hAnsi="Arial" w:cs="Arial"/>
          <w:lang w:val="es-MX"/>
        </w:rPr>
        <w:sym w:font="Wingdings" w:char="F0E0"/>
      </w:r>
      <w:r w:rsidRPr="0015303E">
        <w:rPr>
          <w:rFonts w:ascii="Arial" w:eastAsiaTheme="minorEastAsia" w:hAnsi="Arial" w:cs="Arial"/>
          <w:lang w:val="es-MX"/>
        </w:rPr>
        <w:t xml:space="preserve"> el cambio en gasto suele requerir decisiones, mientras el cambio en recaudación/ingresos sucede de manera automática y directa en respuesta a un cambio en PBI, y es acentuada por la naturaleza progresiva de los impuestos. </w:t>
      </w:r>
    </w:p>
    <w:p w:rsidR="00F7721B" w:rsidRPr="0015303E" w:rsidRDefault="00F7721B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F7721B">
      <w:pPr>
        <w:rPr>
          <w:rFonts w:ascii="Arial" w:eastAsiaTheme="minorEastAsia" w:hAnsi="Arial" w:cs="Arial"/>
          <w:b/>
          <w:lang w:val="es-MX"/>
        </w:rPr>
      </w:pPr>
      <w:r w:rsidRPr="0015303E">
        <w:rPr>
          <w:rFonts w:ascii="Arial" w:eastAsiaTheme="minorEastAsia" w:hAnsi="Arial" w:cs="Arial"/>
          <w:b/>
          <w:lang w:val="es-MX"/>
        </w:rPr>
        <w:lastRenderedPageBreak/>
        <w:t>GRÁFICOS</w:t>
      </w:r>
    </w:p>
    <w:p w:rsidR="0015303E" w:rsidRPr="0015303E" w:rsidRDefault="0015303E" w:rsidP="00F7721B">
      <w:pPr>
        <w:rPr>
          <w:rFonts w:ascii="Arial" w:eastAsiaTheme="minorEastAsia" w:hAnsi="Arial" w:cs="Arial"/>
          <w:lang w:val="es-MX"/>
        </w:rPr>
      </w:pPr>
      <w:r w:rsidRPr="0015303E">
        <w:rPr>
          <w:rFonts w:ascii="Arial" w:hAnsi="Arial" w:cs="Arial"/>
          <w:noProof/>
          <w:lang w:eastAsia="es-PE"/>
        </w:rPr>
        <w:drawing>
          <wp:inline distT="0" distB="0" distL="0" distR="0" wp14:anchorId="5203771B" wp14:editId="23C3C7A4">
            <wp:extent cx="6132520" cy="3621142"/>
            <wp:effectExtent l="0" t="0" r="190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5303E" w:rsidRPr="0015303E" w:rsidRDefault="0015303E" w:rsidP="0015303E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lang w:val="es-MX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Impuestos directos: </w:t>
      </w:r>
      <w:r w:rsidRPr="0015303E">
        <w:rPr>
          <w:rFonts w:ascii="Arial" w:eastAsia="Times New Roman" w:hAnsi="Arial" w:cs="Arial"/>
          <w:color w:val="000000"/>
          <w:lang w:eastAsia="es-PE"/>
        </w:rPr>
        <w:t>debería ser 15%, pero es 6.1%; hay muchos problemas: informalidad y evasión</w:t>
      </w:r>
    </w:p>
    <w:p w:rsidR="0015303E" w:rsidRPr="0015303E" w:rsidRDefault="0015303E" w:rsidP="0015303E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="Times New Roman" w:hAnsi="Arial" w:cs="Arial"/>
          <w:color w:val="000000"/>
          <w:lang w:eastAsia="es-PE"/>
        </w:rPr>
        <w:t>Nuestra estructura tributaria está diseñada para recaudar lo que puedas</w:t>
      </w:r>
    </w:p>
    <w:p w:rsidR="0015303E" w:rsidRPr="0015303E" w:rsidRDefault="0015303E" w:rsidP="0015303E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Pico de ingresos (2007-2014): s</w:t>
      </w:r>
      <w:r w:rsidRPr="0015303E">
        <w:rPr>
          <w:rFonts w:ascii="Arial" w:eastAsiaTheme="minorEastAsia" w:hAnsi="Arial" w:cs="Arial"/>
          <w:lang w:val="es-MX"/>
        </w:rPr>
        <w:t xml:space="preserve">e observa un aumento sostenido, superando el 21% del PBI, en gran parte por mayores ingresos tributarios (sobre todo IGV e impuestos directos), posiblemente impulsados por el auge de los </w:t>
      </w:r>
      <w:proofErr w:type="spellStart"/>
      <w:r w:rsidRPr="0015303E">
        <w:rPr>
          <w:rFonts w:ascii="Arial" w:eastAsiaTheme="minorEastAsia" w:hAnsi="Arial" w:cs="Arial"/>
          <w:lang w:val="es-MX"/>
        </w:rPr>
        <w:t>commodities</w:t>
      </w:r>
      <w:proofErr w:type="spellEnd"/>
      <w:r w:rsidRPr="0015303E">
        <w:rPr>
          <w:rFonts w:ascii="Arial" w:eastAsiaTheme="minorEastAsia" w:hAnsi="Arial" w:cs="Arial"/>
          <w:lang w:val="es-MX"/>
        </w:rPr>
        <w:t>.</w:t>
      </w:r>
    </w:p>
    <w:p w:rsidR="0015303E" w:rsidRPr="0015303E" w:rsidRDefault="0015303E" w:rsidP="0015303E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Caída posterior (2015-2020): los ingresos disminuyeron</w:t>
      </w:r>
      <w:r w:rsidRPr="0015303E">
        <w:rPr>
          <w:rFonts w:ascii="Arial" w:eastAsiaTheme="minorEastAsia" w:hAnsi="Arial" w:cs="Arial"/>
          <w:lang w:val="es-MX"/>
        </w:rPr>
        <w:t>, especialmente los tributarios, llegando a niveles de 17-18% del PBI.</w:t>
      </w:r>
    </w:p>
    <w:p w:rsidR="0015303E" w:rsidRPr="0015303E" w:rsidRDefault="0015303E" w:rsidP="0015303E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2021-2022: a</w:t>
      </w:r>
      <w:r w:rsidRPr="0015303E">
        <w:rPr>
          <w:rFonts w:ascii="Arial" w:eastAsiaTheme="minorEastAsia" w:hAnsi="Arial" w:cs="Arial"/>
          <w:lang w:val="es-MX"/>
        </w:rPr>
        <w:t>umento temporal por precios altos de exportación y reactivación económica tras la pandemia.</w:t>
      </w:r>
    </w:p>
    <w:p w:rsidR="0015303E" w:rsidRPr="0015303E" w:rsidRDefault="0015303E" w:rsidP="0015303E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IGV (verde) es el componente más fuerte y constante.</w:t>
      </w:r>
    </w:p>
    <w:p w:rsidR="0015303E" w:rsidRPr="0015303E" w:rsidRDefault="0015303E" w:rsidP="0015303E">
      <w:pPr>
        <w:rPr>
          <w:rFonts w:ascii="Arial" w:eastAsiaTheme="minorEastAsia" w:hAnsi="Arial" w:cs="Arial"/>
          <w:lang w:val="es-MX"/>
        </w:rPr>
      </w:pPr>
    </w:p>
    <w:p w:rsidR="0015303E" w:rsidRPr="0015303E" w:rsidRDefault="0015303E" w:rsidP="0015303E">
      <w:pPr>
        <w:rPr>
          <w:rFonts w:ascii="Arial" w:eastAsiaTheme="minorEastAsia" w:hAnsi="Arial" w:cs="Arial"/>
          <w:lang w:val="es-MX"/>
        </w:rPr>
      </w:pPr>
      <w:r w:rsidRPr="0015303E">
        <w:rPr>
          <w:rFonts w:ascii="Arial" w:hAnsi="Arial" w:cs="Arial"/>
          <w:noProof/>
          <w:lang w:eastAsia="es-PE"/>
        </w:rPr>
        <w:drawing>
          <wp:inline distT="0" distB="0" distL="0" distR="0" wp14:anchorId="01943C49" wp14:editId="542F3106">
            <wp:extent cx="5918200" cy="2921000"/>
            <wp:effectExtent l="0" t="0" r="63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5303E" w:rsidRPr="0015303E" w:rsidRDefault="0015303E" w:rsidP="0015303E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Durante la mayor parte del periodo (2003-2019), el gasto total del gobierno general se mantuvo relativamente estable entre 15% y 17% del PBI.</w:t>
      </w:r>
    </w:p>
    <w:p w:rsidR="0015303E" w:rsidRPr="0015303E" w:rsidRDefault="0015303E" w:rsidP="0015303E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lastRenderedPageBreak/>
        <w:t>En el año 2020, se observa un pico significativo, alcanzando aproximadamente 22% del PBI.</w:t>
      </w:r>
    </w:p>
    <w:p w:rsidR="0015303E" w:rsidRPr="0015303E" w:rsidRDefault="0015303E" w:rsidP="0015303E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Esto coincide con la pandemia del COVID-19, cuando el gobierno incrementó notablemente el gasto público para atender la emergencia sanitaria y económica.</w:t>
      </w:r>
    </w:p>
    <w:p w:rsidR="0015303E" w:rsidRPr="0015303E" w:rsidRDefault="0015303E" w:rsidP="0015303E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El componente que más crece ese año es el de subsidios y otras transferencias, lo que refleja las ayudas directas a hogares, empresas, etc.</w:t>
      </w:r>
    </w:p>
    <w:p w:rsidR="0015303E" w:rsidRPr="0015303E" w:rsidRDefault="0015303E" w:rsidP="0015303E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 xml:space="preserve">Después del pico pandémico, el gasto se va reduciendo gradualmente, pero se mantiene ligeramente por encima de los niveles </w:t>
      </w:r>
      <w:proofErr w:type="spellStart"/>
      <w:r w:rsidRPr="0015303E">
        <w:rPr>
          <w:rFonts w:ascii="Arial" w:eastAsiaTheme="minorEastAsia" w:hAnsi="Arial" w:cs="Arial"/>
          <w:lang w:val="es-MX"/>
        </w:rPr>
        <w:t>prepandemia</w:t>
      </w:r>
      <w:proofErr w:type="spellEnd"/>
      <w:r w:rsidRPr="0015303E">
        <w:rPr>
          <w:rFonts w:ascii="Arial" w:eastAsiaTheme="minorEastAsia" w:hAnsi="Arial" w:cs="Arial"/>
          <w:lang w:val="es-MX"/>
        </w:rPr>
        <w:t>, especialmente en el componente de subsidios, que no regresa del todo a su nivel anterior.</w:t>
      </w:r>
    </w:p>
    <w:p w:rsidR="0015303E" w:rsidRDefault="0015303E" w:rsidP="0015303E">
      <w:p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hAnsi="Arial" w:cs="Arial"/>
          <w:noProof/>
          <w:lang w:eastAsia="es-PE"/>
        </w:rPr>
        <w:drawing>
          <wp:inline distT="0" distB="0" distL="0" distR="0" wp14:anchorId="4CF17C59" wp14:editId="0E10C7D2">
            <wp:extent cx="5492712" cy="3071256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5303E" w:rsidRDefault="0015303E" w:rsidP="0015303E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Tendencia general:</w:t>
      </w:r>
    </w:p>
    <w:p w:rsidR="0015303E" w:rsidRPr="0015303E" w:rsidRDefault="0015303E" w:rsidP="0015303E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La posición fiscal se ha ido deteriorando progresivamente desde 2011.</w:t>
      </w:r>
    </w:p>
    <w:p w:rsidR="0015303E" w:rsidRDefault="0015303E" w:rsidP="0015303E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Intereses:</w:t>
      </w:r>
    </w:p>
    <w:p w:rsidR="0015303E" w:rsidRDefault="0015303E" w:rsidP="0015303E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El pago de intereses se redujo en los primeros años, reflejando buena gestión de deuda.</w:t>
      </w:r>
    </w:p>
    <w:p w:rsidR="0015303E" w:rsidRDefault="0015303E" w:rsidP="0015303E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5303E">
        <w:rPr>
          <w:rFonts w:ascii="Arial" w:eastAsiaTheme="minorEastAsia" w:hAnsi="Arial" w:cs="Arial"/>
          <w:lang w:val="es-MX"/>
        </w:rPr>
        <w:t>Desde 2016, con más déficit y deuda, los intereses vuelven a aumentar como porcentaje del PBI.</w:t>
      </w:r>
    </w:p>
    <w:p w:rsidR="00E711E6" w:rsidRDefault="00E711E6" w:rsidP="00E711E6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2008: punto de quiebre</w:t>
      </w:r>
    </w:p>
    <w:p w:rsidR="00E711E6" w:rsidRDefault="00E711E6" w:rsidP="00E711E6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Se inicia el descalabro fiscal por la crisis financiera global.</w:t>
      </w:r>
    </w:p>
    <w:p w:rsidR="00E711E6" w:rsidRPr="00E711E6" w:rsidRDefault="00E711E6" w:rsidP="00E711E6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Caída del come</w:t>
      </w:r>
      <w:bookmarkStart w:id="0" w:name="_GoBack"/>
      <w:bookmarkEnd w:id="0"/>
      <w:r w:rsidRPr="00E711E6">
        <w:rPr>
          <w:rFonts w:ascii="Arial" w:eastAsiaTheme="minorEastAsia" w:hAnsi="Arial" w:cs="Arial"/>
          <w:lang w:val="es-MX"/>
        </w:rPr>
        <w:t>rcio y de ingresos públicos, pese a una economía aún en crecimiento.</w:t>
      </w:r>
    </w:p>
    <w:p w:rsidR="00E711E6" w:rsidRPr="00E711E6" w:rsidRDefault="00E711E6" w:rsidP="00E711E6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 xml:space="preserve">2009-2010: respuesta </w:t>
      </w:r>
      <w:proofErr w:type="spellStart"/>
      <w:r w:rsidRPr="00E711E6">
        <w:rPr>
          <w:rFonts w:ascii="Arial" w:eastAsiaTheme="minorEastAsia" w:hAnsi="Arial" w:cs="Arial"/>
          <w:lang w:val="es-MX"/>
        </w:rPr>
        <w:t>contracíclica</w:t>
      </w:r>
      <w:proofErr w:type="spellEnd"/>
    </w:p>
    <w:p w:rsidR="00E711E6" w:rsidRPr="00E711E6" w:rsidRDefault="00E711E6" w:rsidP="00E711E6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El gobierno aumenta el gasto fuertemente para enfrentar la crisis.</w:t>
      </w:r>
    </w:p>
    <w:p w:rsidR="00E711E6" w:rsidRPr="00E711E6" w:rsidRDefault="00E711E6" w:rsidP="00E711E6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Se genera un déficit notable como parte de la política fiscal activa.</w:t>
      </w:r>
    </w:p>
    <w:p w:rsidR="00E711E6" w:rsidRPr="00E711E6" w:rsidRDefault="00E711E6" w:rsidP="00E711E6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2011–2016: inestabilidad fiscal</w:t>
      </w:r>
    </w:p>
    <w:p w:rsidR="00E711E6" w:rsidRPr="00E711E6" w:rsidRDefault="00E711E6" w:rsidP="00E711E6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Periodo de quiebre de la disciplina fiscal.</w:t>
      </w:r>
    </w:p>
    <w:p w:rsidR="00E711E6" w:rsidRPr="00E711E6" w:rsidRDefault="00E711E6" w:rsidP="00E711E6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Se mantiene el gasto sin ajuste suficiente en ingresos → déficits primarios persistentes.</w:t>
      </w:r>
    </w:p>
    <w:p w:rsidR="00E711E6" w:rsidRPr="00E711E6" w:rsidRDefault="00E711E6" w:rsidP="00E711E6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Desde 2016: mayor conciencia del deterioro</w:t>
      </w:r>
    </w:p>
    <w:p w:rsidR="00E711E6" w:rsidRPr="00E711E6" w:rsidRDefault="00E711E6" w:rsidP="00E711E6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Se reconoce el problema fiscal, pero el déficit no se corrige del todo.</w:t>
      </w:r>
    </w:p>
    <w:p w:rsidR="0015303E" w:rsidRDefault="00E711E6" w:rsidP="0015303E">
      <w:pPr>
        <w:pStyle w:val="Prrafodelista"/>
        <w:numPr>
          <w:ilvl w:val="1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E711E6">
        <w:rPr>
          <w:rFonts w:ascii="Arial" w:eastAsiaTheme="minorEastAsia" w:hAnsi="Arial" w:cs="Arial"/>
          <w:lang w:val="es-MX"/>
        </w:rPr>
        <w:t>Al subir el déficit, también sube la deuda y el pago de intereses, lo que agrava la situación.</w:t>
      </w:r>
    </w:p>
    <w:p w:rsidR="001B611B" w:rsidRPr="001B611B" w:rsidRDefault="001B611B" w:rsidP="001B611B">
      <w:pPr>
        <w:pStyle w:val="Prrafodelista"/>
        <w:numPr>
          <w:ilvl w:val="0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B611B">
        <w:rPr>
          <w:rFonts w:ascii="Arial" w:eastAsiaTheme="minorEastAsia" w:hAnsi="Arial" w:cs="Arial"/>
          <w:lang w:val="es-MX"/>
        </w:rPr>
        <w:t>2020: impacto de la pandemia</w:t>
      </w:r>
    </w:p>
    <w:p w:rsidR="001B611B" w:rsidRPr="001B611B" w:rsidRDefault="001B611B" w:rsidP="001B611B">
      <w:pPr>
        <w:pStyle w:val="Prrafodelista"/>
        <w:numPr>
          <w:ilvl w:val="2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B611B">
        <w:rPr>
          <w:rFonts w:ascii="Arial" w:eastAsiaTheme="minorEastAsia" w:hAnsi="Arial" w:cs="Arial"/>
          <w:lang w:val="es-MX"/>
        </w:rPr>
        <w:t>Se dispara el déficit fiscal, con el mayor deterioro en todo el periodo.</w:t>
      </w:r>
    </w:p>
    <w:p w:rsidR="001B611B" w:rsidRPr="001B611B" w:rsidRDefault="001B611B" w:rsidP="001B611B">
      <w:pPr>
        <w:pStyle w:val="Prrafodelista"/>
        <w:numPr>
          <w:ilvl w:val="2"/>
          <w:numId w:val="5"/>
        </w:numPr>
        <w:jc w:val="both"/>
        <w:rPr>
          <w:rFonts w:ascii="Arial" w:eastAsiaTheme="minorEastAsia" w:hAnsi="Arial" w:cs="Arial"/>
          <w:lang w:val="es-MX"/>
        </w:rPr>
      </w:pPr>
      <w:r w:rsidRPr="001B611B">
        <w:rPr>
          <w:rFonts w:ascii="Arial" w:eastAsiaTheme="minorEastAsia" w:hAnsi="Arial" w:cs="Arial"/>
          <w:lang w:val="es-MX"/>
        </w:rPr>
        <w:t>El resultado primario cae fuertemente por el aumento del gasto público en salud, bonos, reactivación, etc.</w:t>
      </w:r>
    </w:p>
    <w:p w:rsidR="0015303E" w:rsidRPr="0015303E" w:rsidRDefault="0015303E" w:rsidP="0015303E">
      <w:pPr>
        <w:jc w:val="both"/>
        <w:rPr>
          <w:rFonts w:ascii="Arial" w:eastAsiaTheme="minorEastAsia" w:hAnsi="Arial" w:cs="Arial"/>
          <w:lang w:val="es-MX"/>
        </w:rPr>
      </w:pPr>
      <w:r>
        <w:rPr>
          <w:noProof/>
          <w:lang w:eastAsia="es-PE"/>
        </w:rPr>
        <w:lastRenderedPageBreak/>
        <w:drawing>
          <wp:inline distT="0" distB="0" distL="0" distR="0" wp14:anchorId="06C86DBF" wp14:editId="4619C133">
            <wp:extent cx="6419036" cy="3283917"/>
            <wp:effectExtent l="0" t="0" r="127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15303E" w:rsidRPr="0015303E" w:rsidSect="004D2256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BA2" w:rsidRDefault="00E31BA2" w:rsidP="004D2256">
      <w:pPr>
        <w:spacing w:after="0" w:line="240" w:lineRule="auto"/>
      </w:pPr>
      <w:r>
        <w:separator/>
      </w:r>
    </w:p>
  </w:endnote>
  <w:endnote w:type="continuationSeparator" w:id="0">
    <w:p w:rsidR="00E31BA2" w:rsidRDefault="00E31BA2" w:rsidP="004D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BA2" w:rsidRDefault="00E31BA2" w:rsidP="004D2256">
      <w:pPr>
        <w:spacing w:after="0" w:line="240" w:lineRule="auto"/>
      </w:pPr>
      <w:r>
        <w:separator/>
      </w:r>
    </w:p>
  </w:footnote>
  <w:footnote w:type="continuationSeparator" w:id="0">
    <w:p w:rsidR="00E31BA2" w:rsidRDefault="00E31BA2" w:rsidP="004D2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3E" w:rsidRPr="004D2256" w:rsidRDefault="0015303E" w:rsidP="004D2256">
    <w:pPr>
      <w:pStyle w:val="Encabezado"/>
      <w:jc w:val="center"/>
      <w:rPr>
        <w:rFonts w:ascii="Helvetica" w:hAnsi="Helvetica"/>
        <w:lang w:val="es-ES"/>
      </w:rPr>
    </w:pPr>
    <w:r w:rsidRPr="004D2256">
      <w:rPr>
        <w:rFonts w:ascii="Helvetica" w:hAnsi="Helvetica"/>
        <w:lang w:val="es-ES"/>
      </w:rPr>
      <w:t>CUENTAS FISCALES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41F2"/>
    <w:multiLevelType w:val="hybridMultilevel"/>
    <w:tmpl w:val="3AF433B4"/>
    <w:lvl w:ilvl="0" w:tplc="2A460C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468C"/>
    <w:multiLevelType w:val="hybridMultilevel"/>
    <w:tmpl w:val="C056292E"/>
    <w:lvl w:ilvl="0" w:tplc="529EE3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1134"/>
    <w:multiLevelType w:val="multilevel"/>
    <w:tmpl w:val="5B149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145044"/>
    <w:multiLevelType w:val="hybridMultilevel"/>
    <w:tmpl w:val="223A7E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55F8D"/>
    <w:multiLevelType w:val="multilevel"/>
    <w:tmpl w:val="D40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E247EA"/>
    <w:multiLevelType w:val="hybridMultilevel"/>
    <w:tmpl w:val="2834A4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7CBE"/>
    <w:multiLevelType w:val="hybridMultilevel"/>
    <w:tmpl w:val="B6A207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2745E"/>
    <w:multiLevelType w:val="hybridMultilevel"/>
    <w:tmpl w:val="279866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36053"/>
    <w:multiLevelType w:val="hybridMultilevel"/>
    <w:tmpl w:val="0186ACE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960F7"/>
    <w:multiLevelType w:val="hybridMultilevel"/>
    <w:tmpl w:val="55C4D0A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11D6F"/>
    <w:multiLevelType w:val="hybridMultilevel"/>
    <w:tmpl w:val="1B226D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D57FD"/>
    <w:multiLevelType w:val="hybridMultilevel"/>
    <w:tmpl w:val="E20CA52A"/>
    <w:lvl w:ilvl="0" w:tplc="CE24D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3654A"/>
    <w:multiLevelType w:val="hybridMultilevel"/>
    <w:tmpl w:val="4DEA6A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E5F14"/>
    <w:multiLevelType w:val="hybridMultilevel"/>
    <w:tmpl w:val="0046FE8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5096B"/>
    <w:multiLevelType w:val="hybridMultilevel"/>
    <w:tmpl w:val="0046FE8A"/>
    <w:lvl w:ilvl="0" w:tplc="040A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5"/>
  </w:num>
  <w:num w:numId="12">
    <w:abstractNumId w:val="14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65"/>
    <w:rsid w:val="00030272"/>
    <w:rsid w:val="000B0E5E"/>
    <w:rsid w:val="0015303E"/>
    <w:rsid w:val="001B611B"/>
    <w:rsid w:val="0026153D"/>
    <w:rsid w:val="00281810"/>
    <w:rsid w:val="002B2965"/>
    <w:rsid w:val="002B3B15"/>
    <w:rsid w:val="002C1032"/>
    <w:rsid w:val="002C5B37"/>
    <w:rsid w:val="002D50E8"/>
    <w:rsid w:val="00303976"/>
    <w:rsid w:val="003112D4"/>
    <w:rsid w:val="003242DE"/>
    <w:rsid w:val="00343843"/>
    <w:rsid w:val="00347181"/>
    <w:rsid w:val="003554A2"/>
    <w:rsid w:val="003874B5"/>
    <w:rsid w:val="0045318A"/>
    <w:rsid w:val="004D2256"/>
    <w:rsid w:val="004E3FCD"/>
    <w:rsid w:val="00554B51"/>
    <w:rsid w:val="00557CB4"/>
    <w:rsid w:val="005832BF"/>
    <w:rsid w:val="005A7191"/>
    <w:rsid w:val="005C79A7"/>
    <w:rsid w:val="005F1773"/>
    <w:rsid w:val="00616D6D"/>
    <w:rsid w:val="0064135D"/>
    <w:rsid w:val="00647693"/>
    <w:rsid w:val="00671BFD"/>
    <w:rsid w:val="006B5940"/>
    <w:rsid w:val="00734EFB"/>
    <w:rsid w:val="00751D2A"/>
    <w:rsid w:val="00760BEA"/>
    <w:rsid w:val="007B1792"/>
    <w:rsid w:val="007F4A9E"/>
    <w:rsid w:val="00820606"/>
    <w:rsid w:val="0086007C"/>
    <w:rsid w:val="008A1F03"/>
    <w:rsid w:val="008B4089"/>
    <w:rsid w:val="008B76EC"/>
    <w:rsid w:val="008F6BFD"/>
    <w:rsid w:val="008F7106"/>
    <w:rsid w:val="0090219F"/>
    <w:rsid w:val="009C26D9"/>
    <w:rsid w:val="00AD770D"/>
    <w:rsid w:val="00AE4C8B"/>
    <w:rsid w:val="00BD7B7D"/>
    <w:rsid w:val="00BF0092"/>
    <w:rsid w:val="00C200F6"/>
    <w:rsid w:val="00C232BC"/>
    <w:rsid w:val="00C26F4E"/>
    <w:rsid w:val="00C477E2"/>
    <w:rsid w:val="00C509F3"/>
    <w:rsid w:val="00CA2FAE"/>
    <w:rsid w:val="00CD678E"/>
    <w:rsid w:val="00D37E0C"/>
    <w:rsid w:val="00D42CCA"/>
    <w:rsid w:val="00D510D1"/>
    <w:rsid w:val="00D64787"/>
    <w:rsid w:val="00E07C8C"/>
    <w:rsid w:val="00E242ED"/>
    <w:rsid w:val="00E31BA2"/>
    <w:rsid w:val="00E418F8"/>
    <w:rsid w:val="00E43E89"/>
    <w:rsid w:val="00E711E6"/>
    <w:rsid w:val="00E77053"/>
    <w:rsid w:val="00F23AF7"/>
    <w:rsid w:val="00F34BAB"/>
    <w:rsid w:val="00F522BE"/>
    <w:rsid w:val="00F7721B"/>
    <w:rsid w:val="00F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5811EC-C736-4921-AB80-B6A980C2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2965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2B29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5318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D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256"/>
  </w:style>
  <w:style w:type="paragraph" w:styleId="Piedepgina">
    <w:name w:val="footer"/>
    <w:basedOn w:val="Normal"/>
    <w:link w:val="PiedepginaCar"/>
    <w:uiPriority w:val="99"/>
    <w:unhideWhenUsed/>
    <w:rsid w:val="004D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256"/>
  </w:style>
  <w:style w:type="paragraph" w:styleId="NormalWeb">
    <w:name w:val="Normal (Web)"/>
    <w:basedOn w:val="Normal"/>
    <w:uiPriority w:val="99"/>
    <w:semiHidden/>
    <w:unhideWhenUsed/>
    <w:rsid w:val="004D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urso\Downloads\Material\Ejercicios\02.%20CUENTAS%20FISCALES\E3.%20EJERCICIO%20CUENTAS%20FISCALES%20(BCRP%202025)%20-%20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urso\Downloads\Material\Ejercicios\02.%20CUENTAS%20FISCALES\E3.%20EJERCICIO%20CUENTAS%20FISCALES%20(BCRP%202025)%20-%20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urso\Downloads\Material\Ejercicios\02.%20CUENTAS%20FISCALES\E3.%20EJERCICIO%20CUENTAS%20FISCALES%20(BCRP%202025)%20-%20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urso\Downloads\Material\Ejercicios\02.%20CUENTAS%20FISCALES\E3.%20EJERCICIO%20CUENTAS%20FISCALES%20(BCRP%202025)%20-%20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rgbClr val="FFFF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>
                <a:solidFill>
                  <a:srgbClr val="FFFF00"/>
                </a:solidFill>
              </a:rPr>
              <a:t>PERÚ: INGRESOS DEL GOBIERNO GENERAL</a:t>
            </a:r>
          </a:p>
          <a:p>
            <a:pPr>
              <a:defRPr>
                <a:solidFill>
                  <a:srgbClr val="FFFF00"/>
                </a:solidFill>
              </a:defRPr>
            </a:pPr>
            <a:r>
              <a:rPr lang="es-PE" sz="1200" i="1">
                <a:solidFill>
                  <a:srgbClr val="FFFF00"/>
                </a:solidFill>
              </a:rPr>
              <a:t>(en</a:t>
            </a:r>
            <a:r>
              <a:rPr lang="es-PE" sz="1200" i="1" baseline="0">
                <a:solidFill>
                  <a:srgbClr val="FFFF00"/>
                </a:solidFill>
              </a:rPr>
              <a:t> porcentaje del PBI)</a:t>
            </a:r>
            <a:endParaRPr lang="es-PE" sz="1200" i="1">
              <a:solidFill>
                <a:srgbClr val="FFFF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rgbClr val="FFFF0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stacked"/>
        <c:varyColors val="0"/>
        <c:ser>
          <c:idx val="9"/>
          <c:order val="1"/>
          <c:tx>
            <c:strRef>
              <c:f>'INDICADORES FISCALES'!$A$10</c:f>
              <c:strCache>
                <c:ptCount val="1"/>
                <c:pt idx="0">
                  <c:v>Impuestos directos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hade val="51000"/>
                    <a:satMod val="130000"/>
                  </a:schemeClr>
                </a:gs>
                <a:gs pos="80000">
                  <a:schemeClr val="accent4">
                    <a:lumMod val="60000"/>
                    <a:shade val="93000"/>
                    <a:satMod val="130000"/>
                  </a:schemeClr>
                </a:gs>
                <a:gs pos="100000">
                  <a:schemeClr val="accent4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FISCALES'!$B$5:$Z$5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'INDICADORES FISCALES'!$B$10:$Z$10</c:f>
              <c:numCache>
                <c:formatCode>_(* #,##0.0_);_(* \(#,##0.0\);_(* "-"??_);_(@_)</c:formatCode>
                <c:ptCount val="25"/>
                <c:pt idx="0">
                  <c:v>2.9167931988531817</c:v>
                </c:pt>
                <c:pt idx="1">
                  <c:v>3.1458855021666432</c:v>
                </c:pt>
                <c:pt idx="2">
                  <c:v>3.1681727216099147</c:v>
                </c:pt>
                <c:pt idx="3">
                  <c:v>3.9152044630492528</c:v>
                </c:pt>
                <c:pt idx="4">
                  <c:v>3.9993082788190373</c:v>
                </c:pt>
                <c:pt idx="5">
                  <c:v>4.5728419352163829</c:v>
                </c:pt>
                <c:pt idx="6">
                  <c:v>6.4314626083232378</c:v>
                </c:pt>
                <c:pt idx="7">
                  <c:v>7.1466370244922475</c:v>
                </c:pt>
                <c:pt idx="8">
                  <c:v>6.8050067393194498</c:v>
                </c:pt>
                <c:pt idx="9">
                  <c:v>5.5431633889610694</c:v>
                </c:pt>
                <c:pt idx="10">
                  <c:v>6.1202120717617783</c:v>
                </c:pt>
                <c:pt idx="11">
                  <c:v>7.1247799590430194</c:v>
                </c:pt>
                <c:pt idx="12">
                  <c:v>7.3128858489051503</c:v>
                </c:pt>
                <c:pt idx="13">
                  <c:v>6.654390216324356</c:v>
                </c:pt>
                <c:pt idx="14">
                  <c:v>6.9416644298682151</c:v>
                </c:pt>
                <c:pt idx="15">
                  <c:v>5.6565525302317194</c:v>
                </c:pt>
                <c:pt idx="16">
                  <c:v>5.6147277260870165</c:v>
                </c:pt>
                <c:pt idx="17">
                  <c:v>5.2044321441303154</c:v>
                </c:pt>
                <c:pt idx="18">
                  <c:v>5.5605443832904777</c:v>
                </c:pt>
                <c:pt idx="19">
                  <c:v>5.6609662116228057</c:v>
                </c:pt>
                <c:pt idx="20">
                  <c:v>5.2885045121262522</c:v>
                </c:pt>
                <c:pt idx="21">
                  <c:v>6.2504613564984544</c:v>
                </c:pt>
                <c:pt idx="22">
                  <c:v>7.4608054866187796</c:v>
                </c:pt>
                <c:pt idx="23">
                  <c:v>6.2725703258364529</c:v>
                </c:pt>
                <c:pt idx="24">
                  <c:v>6.0569139212708487</c:v>
                </c:pt>
              </c:numCache>
            </c:numRef>
          </c:val>
        </c:ser>
        <c:ser>
          <c:idx val="11"/>
          <c:order val="3"/>
          <c:tx>
            <c:strRef>
              <c:f>'INDICADORES FISCALES'!$A$12</c:f>
              <c:strCache>
                <c:ptCount val="1"/>
                <c:pt idx="0">
                  <c:v>IGV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hade val="51000"/>
                    <a:satMod val="130000"/>
                  </a:schemeClr>
                </a:gs>
                <a:gs pos="80000">
                  <a:schemeClr val="accent6">
                    <a:lumMod val="60000"/>
                    <a:shade val="93000"/>
                    <a:satMod val="130000"/>
                  </a:schemeClr>
                </a:gs>
                <a:gs pos="100000">
                  <a:schemeClr val="accent6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FISCALES'!$B$5:$Z$5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'INDICADORES FISCALES'!$B$12:$Z$12</c:f>
              <c:numCache>
                <c:formatCode>_(* #,##0.0_);_(* \(#,##0.0\);_(* "-"??_);_(@_)</c:formatCode>
                <c:ptCount val="25"/>
                <c:pt idx="0">
                  <c:v>6.8311450189178373</c:v>
                </c:pt>
                <c:pt idx="1">
                  <c:v>6.6012836809338467</c:v>
                </c:pt>
                <c:pt idx="2">
                  <c:v>6.647702994144379</c:v>
                </c:pt>
                <c:pt idx="3">
                  <c:v>6.932900402070957</c:v>
                </c:pt>
                <c:pt idx="4">
                  <c:v>7.1791766137408564</c:v>
                </c:pt>
                <c:pt idx="5">
                  <c:v>7.4809064017963358</c:v>
                </c:pt>
                <c:pt idx="6">
                  <c:v>7.5152139476669806</c:v>
                </c:pt>
                <c:pt idx="7">
                  <c:v>7.9008055585224568</c:v>
                </c:pt>
                <c:pt idx="8">
                  <c:v>8.9020044620262642</c:v>
                </c:pt>
                <c:pt idx="9">
                  <c:v>8.0423243955864887</c:v>
                </c:pt>
                <c:pt idx="10">
                  <c:v>8.4292807950418691</c:v>
                </c:pt>
                <c:pt idx="11">
                  <c:v>8.5646574782111919</c:v>
                </c:pt>
                <c:pt idx="12">
                  <c:v>8.6398070519419878</c:v>
                </c:pt>
                <c:pt idx="13">
                  <c:v>8.7150938334527961</c:v>
                </c:pt>
                <c:pt idx="14">
                  <c:v>8.7039338193656981</c:v>
                </c:pt>
                <c:pt idx="15">
                  <c:v>8.411540804292029</c:v>
                </c:pt>
                <c:pt idx="16">
                  <c:v>7.9501226901213862</c:v>
                </c:pt>
                <c:pt idx="17">
                  <c:v>7.7372260353037552</c:v>
                </c:pt>
                <c:pt idx="18">
                  <c:v>8.1094100927078028</c:v>
                </c:pt>
                <c:pt idx="19">
                  <c:v>8.1674941367901734</c:v>
                </c:pt>
                <c:pt idx="20">
                  <c:v>7.6735116976608451</c:v>
                </c:pt>
                <c:pt idx="21">
                  <c:v>8.8953409408159292</c:v>
                </c:pt>
                <c:pt idx="22">
                  <c:v>9.4223184792756083</c:v>
                </c:pt>
                <c:pt idx="23">
                  <c:v>8.3333323298278028</c:v>
                </c:pt>
                <c:pt idx="24">
                  <c:v>8.1473785375518784</c:v>
                </c:pt>
              </c:numCache>
            </c:numRef>
          </c:val>
        </c:ser>
        <c:ser>
          <c:idx val="12"/>
          <c:order val="4"/>
          <c:tx>
            <c:strRef>
              <c:f>'INDICADORES FISCALES'!$A$13</c:f>
              <c:strCache>
                <c:ptCount val="1"/>
                <c:pt idx="0">
                  <c:v>ISC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1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1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FISCALES'!$B$5:$Z$5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'INDICADORES FISCALES'!$B$13:$Z$13</c:f>
              <c:numCache>
                <c:formatCode>_(* #,##0.0_);_(* \(#,##0.0\);_(* "-"??_);_(@_)</c:formatCode>
                <c:ptCount val="25"/>
                <c:pt idx="0">
                  <c:v>1.9469548997302151</c:v>
                </c:pt>
                <c:pt idx="1">
                  <c:v>1.9897019917723739</c:v>
                </c:pt>
                <c:pt idx="2">
                  <c:v>2.2051989814178441</c:v>
                </c:pt>
                <c:pt idx="3">
                  <c:v>2.2230535055047533</c:v>
                </c:pt>
                <c:pt idx="4">
                  <c:v>1.9800070219201822</c:v>
                </c:pt>
                <c:pt idx="5">
                  <c:v>1.6618663147903656</c:v>
                </c:pt>
                <c:pt idx="6">
                  <c:v>1.4117417708718678</c:v>
                </c:pt>
                <c:pt idx="7">
                  <c:v>1.3422341939073112</c:v>
                </c:pt>
                <c:pt idx="8">
                  <c:v>0.97495959708597935</c:v>
                </c:pt>
                <c:pt idx="9">
                  <c:v>1.1292573871224973</c:v>
                </c:pt>
                <c:pt idx="10">
                  <c:v>1.1073569539033223</c:v>
                </c:pt>
                <c:pt idx="11">
                  <c:v>0.99966690194233132</c:v>
                </c:pt>
                <c:pt idx="12">
                  <c:v>0.96472341165765807</c:v>
                </c:pt>
                <c:pt idx="13">
                  <c:v>0.99829894691125154</c:v>
                </c:pt>
                <c:pt idx="14">
                  <c:v>0.88760628250940687</c:v>
                </c:pt>
                <c:pt idx="15">
                  <c:v>0.8945353185161703</c:v>
                </c:pt>
                <c:pt idx="16">
                  <c:v>0.89041922940121165</c:v>
                </c:pt>
                <c:pt idx="17">
                  <c:v>0.89420234838527501</c:v>
                </c:pt>
                <c:pt idx="18">
                  <c:v>0.91696444661141152</c:v>
                </c:pt>
                <c:pt idx="19">
                  <c:v>1.056745817898171</c:v>
                </c:pt>
                <c:pt idx="20">
                  <c:v>0.95892523748778569</c:v>
                </c:pt>
                <c:pt idx="21">
                  <c:v>1.0408602853726552</c:v>
                </c:pt>
                <c:pt idx="22">
                  <c:v>0.96305329823752706</c:v>
                </c:pt>
                <c:pt idx="23">
                  <c:v>0.93151991272051815</c:v>
                </c:pt>
                <c:pt idx="24">
                  <c:v>0.82130791318757657</c:v>
                </c:pt>
              </c:numCache>
            </c:numRef>
          </c:val>
        </c:ser>
        <c:ser>
          <c:idx val="13"/>
          <c:order val="5"/>
          <c:tx>
            <c:strRef>
              <c:f>'INDICADORES FISCALES'!$A$14</c:f>
              <c:strCache>
                <c:ptCount val="1"/>
                <c:pt idx="0">
                  <c:v>Otros ingresos tributarios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2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2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FISCALES'!$B$5:$Z$5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'INDICADORES FISCALES'!$B$14:$Z$14</c:f>
              <c:numCache>
                <c:formatCode>_(* #,##0.0_);_(* \(#,##0.0\);_(* "-"??_);_(@_)</c:formatCode>
                <c:ptCount val="25"/>
                <c:pt idx="0">
                  <c:v>-5.9261434333953027E-2</c:v>
                </c:pt>
                <c:pt idx="1">
                  <c:v>-7.9357085582924189E-2</c:v>
                </c:pt>
                <c:pt idx="2">
                  <c:v>-0.30995762430856821</c:v>
                </c:pt>
                <c:pt idx="3">
                  <c:v>-0.52570685732767042</c:v>
                </c:pt>
                <c:pt idx="4">
                  <c:v>-0.29606264627831269</c:v>
                </c:pt>
                <c:pt idx="5">
                  <c:v>-0.15854353185735034</c:v>
                </c:pt>
                <c:pt idx="6">
                  <c:v>-8.5765419920317942E-2</c:v>
                </c:pt>
                <c:pt idx="7">
                  <c:v>-0.33265003406391441</c:v>
                </c:pt>
                <c:pt idx="8">
                  <c:v>-0.39837511391315739</c:v>
                </c:pt>
                <c:pt idx="9">
                  <c:v>-0.43931892490322172</c:v>
                </c:pt>
                <c:pt idx="10">
                  <c:v>-0.43855459631384625</c:v>
                </c:pt>
                <c:pt idx="11">
                  <c:v>-0.61124431856414652</c:v>
                </c:pt>
                <c:pt idx="12">
                  <c:v>-0.32696849701662878</c:v>
                </c:pt>
                <c:pt idx="13">
                  <c:v>1.9147350426449734E-2</c:v>
                </c:pt>
                <c:pt idx="14">
                  <c:v>3.8226314549987483E-2</c:v>
                </c:pt>
                <c:pt idx="15">
                  <c:v>-0.14522459706246227</c:v>
                </c:pt>
                <c:pt idx="16">
                  <c:v>-0.79370867398569289</c:v>
                </c:pt>
                <c:pt idx="17">
                  <c:v>-0.81573531062523563</c:v>
                </c:pt>
                <c:pt idx="18">
                  <c:v>-0.43043366989561915</c:v>
                </c:pt>
                <c:pt idx="19">
                  <c:v>-0.43616183106079787</c:v>
                </c:pt>
                <c:pt idx="20">
                  <c:v>-0.84550129660004891</c:v>
                </c:pt>
                <c:pt idx="21">
                  <c:v>-4.9127470797426437E-2</c:v>
                </c:pt>
                <c:pt idx="22">
                  <c:v>-0.83395151624716146</c:v>
                </c:pt>
                <c:pt idx="23">
                  <c:v>-0.6135384416465578</c:v>
                </c:pt>
                <c:pt idx="24">
                  <c:v>-0.43700885351722707</c:v>
                </c:pt>
              </c:numCache>
            </c:numRef>
          </c:val>
        </c:ser>
        <c:ser>
          <c:idx val="14"/>
          <c:order val="6"/>
          <c:tx>
            <c:strRef>
              <c:f>'INDICADORES FISCALES'!$A$15</c:f>
              <c:strCache>
                <c:ptCount val="1"/>
                <c:pt idx="0">
                  <c:v>No tributarios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3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3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FISCALES'!$B$5:$Z$5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'INDICADORES FISCALES'!$B$15:$Z$15</c:f>
              <c:numCache>
                <c:formatCode>_(* #,##0.0_);_(* \(#,##0.0\);_(* "-"??_);_(@_)</c:formatCode>
                <c:ptCount val="25"/>
                <c:pt idx="0">
                  <c:v>5.6348306394342602</c:v>
                </c:pt>
                <c:pt idx="1">
                  <c:v>4.713016118356057</c:v>
                </c:pt>
                <c:pt idx="2">
                  <c:v>5.0718434470441451</c:v>
                </c:pt>
                <c:pt idx="3">
                  <c:v>4.5494592878456999</c:v>
                </c:pt>
                <c:pt idx="4">
                  <c:v>4.3063157530231448</c:v>
                </c:pt>
                <c:pt idx="5">
                  <c:v>4.6151048155352834</c:v>
                </c:pt>
                <c:pt idx="6">
                  <c:v>4.7798881041900358</c:v>
                </c:pt>
                <c:pt idx="7">
                  <c:v>5.0155019400105108</c:v>
                </c:pt>
                <c:pt idx="8">
                  <c:v>5.3452135275276573</c:v>
                </c:pt>
                <c:pt idx="9">
                  <c:v>5.1248611453030462</c:v>
                </c:pt>
                <c:pt idx="10">
                  <c:v>5.1611520560735213</c:v>
                </c:pt>
                <c:pt idx="11">
                  <c:v>5.3258897905018063</c:v>
                </c:pt>
                <c:pt idx="12">
                  <c:v>5.4067943415393032</c:v>
                </c:pt>
                <c:pt idx="13">
                  <c:v>5.3465247982327817</c:v>
                </c:pt>
                <c:pt idx="14">
                  <c:v>5.26094141011699</c:v>
                </c:pt>
                <c:pt idx="15">
                  <c:v>4.9329868601591924</c:v>
                </c:pt>
                <c:pt idx="16">
                  <c:v>4.5832084774775543</c:v>
                </c:pt>
                <c:pt idx="17">
                  <c:v>4.6695021437882405</c:v>
                </c:pt>
                <c:pt idx="18">
                  <c:v>4.7058151970120541</c:v>
                </c:pt>
                <c:pt idx="19">
                  <c:v>4.896177796483558</c:v>
                </c:pt>
                <c:pt idx="20">
                  <c:v>4.4827714120934692</c:v>
                </c:pt>
                <c:pt idx="21">
                  <c:v>4.6388028036119726</c:v>
                </c:pt>
                <c:pt idx="22">
                  <c:v>4.8956603267705168</c:v>
                </c:pt>
                <c:pt idx="23">
                  <c:v>4.6767951308249929</c:v>
                </c:pt>
                <c:pt idx="24">
                  <c:v>4.3788828723759394</c:v>
                </c:pt>
              </c:numCache>
            </c:numRef>
          </c:val>
        </c:ser>
        <c:ser>
          <c:idx val="15"/>
          <c:order val="7"/>
          <c:tx>
            <c:strRef>
              <c:f>'INDICADORES FISCALES'!$A$16</c:f>
              <c:strCache>
                <c:ptCount val="1"/>
                <c:pt idx="0">
                  <c:v>Donaciones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4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4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FISCALES'!$B$5:$Z$5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'INDICADORES FISCALES'!$B$16:$Z$16</c:f>
              <c:numCache>
                <c:formatCode>_(* #,##0.0_);_(* \(#,##0.0\);_(* "-"??_);_(@_)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9118304"/>
        <c:axId val="529117520"/>
        <c:extLst>
          <c:ext xmlns:c15="http://schemas.microsoft.com/office/drawing/2012/chart" uri="{02D57815-91ED-43cb-92C2-25804820EDAC}">
            <c15:filteredBarSeries>
              <c15:ser>
                <c:idx val="8"/>
                <c:order val="0"/>
                <c:tx>
                  <c:strRef>
                    <c:extLst>
                      <c:ext uri="{02D57815-91ED-43cb-92C2-25804820EDAC}">
                        <c15:formulaRef>
                          <c15:sqref>'INDICADORES FISCALES'!$A$9</c15:sqref>
                        </c15:formulaRef>
                      </c:ext>
                    </c:extLst>
                    <c:strCache>
                      <c:ptCount val="1"/>
                      <c:pt idx="0">
                        <c:v>Tributarios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lumMod val="60000"/>
                          <a:shade val="51000"/>
                          <a:satMod val="130000"/>
                        </a:schemeClr>
                      </a:gs>
                      <a:gs pos="80000">
                        <a:schemeClr val="accent3">
                          <a:lumMod val="60000"/>
                          <a:shade val="93000"/>
                          <a:satMod val="130000"/>
                        </a:schemeClr>
                      </a:gs>
                      <a:gs pos="100000">
                        <a:schemeClr val="accent3">
                          <a:lumMod val="60000"/>
                          <a:shade val="94000"/>
                          <a:satMod val="135000"/>
                        </a:schemeClr>
                      </a:gs>
                    </a:gsLst>
                    <a:lin ang="16200000" scaled="0"/>
                  </a:gradFill>
                  <a:ln>
                    <a:noFill/>
                  </a:ln>
                  <a:effectLst>
                    <a:outerShdw blurRad="40000" dist="23000" dir="5400000" rotWithShape="0">
                      <a:srgbClr val="000000">
                        <a:alpha val="35000"/>
                      </a:srgbClr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threePt" dir="t">
                      <a:rot lat="0" lon="0" rev="1200000"/>
                    </a:lightRig>
                  </a:scene3d>
                  <a:sp3d>
                    <a:bevelT w="63500" h="25400"/>
                  </a:sp3d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'INDICADORES FISCALES'!$B$5:$Z$5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  <c:pt idx="3">
                        <c:v>2003</c:v>
                      </c:pt>
                      <c:pt idx="4">
                        <c:v>2004</c:v>
                      </c:pt>
                      <c:pt idx="5">
                        <c:v>2005</c:v>
                      </c:pt>
                      <c:pt idx="6">
                        <c:v>2006</c:v>
                      </c:pt>
                      <c:pt idx="7">
                        <c:v>2007</c:v>
                      </c:pt>
                      <c:pt idx="8">
                        <c:v>2008</c:v>
                      </c:pt>
                      <c:pt idx="9">
                        <c:v>2009</c:v>
                      </c:pt>
                      <c:pt idx="10">
                        <c:v>2010</c:v>
                      </c:pt>
                      <c:pt idx="11">
                        <c:v>2011</c:v>
                      </c:pt>
                      <c:pt idx="12">
                        <c:v>2012</c:v>
                      </c:pt>
                      <c:pt idx="13">
                        <c:v>2013</c:v>
                      </c:pt>
                      <c:pt idx="14">
                        <c:v>2014</c:v>
                      </c:pt>
                      <c:pt idx="15">
                        <c:v>2015</c:v>
                      </c:pt>
                      <c:pt idx="16">
                        <c:v>2016</c:v>
                      </c:pt>
                      <c:pt idx="17">
                        <c:v>2017</c:v>
                      </c:pt>
                      <c:pt idx="18">
                        <c:v>2018</c:v>
                      </c:pt>
                      <c:pt idx="19">
                        <c:v>2019</c:v>
                      </c:pt>
                      <c:pt idx="20">
                        <c:v>2020</c:v>
                      </c:pt>
                      <c:pt idx="21">
                        <c:v>2021</c:v>
                      </c:pt>
                      <c:pt idx="22">
                        <c:v>2022</c:v>
                      </c:pt>
                      <c:pt idx="23">
                        <c:v>2023</c:v>
                      </c:pt>
                      <c:pt idx="24">
                        <c:v>2024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'INDICADORES FISCALES'!$B$9:$Z$9</c15:sqref>
                        </c15:formulaRef>
                      </c:ext>
                    </c:extLst>
                    <c:numCache>
                      <c:formatCode>_(* #,##0.0_);_(* \(#,##0.0\);_(* "-"??_);_(@_)</c:formatCode>
                      <c:ptCount val="25"/>
                      <c:pt idx="0">
                        <c:v>13.296596983470078</c:v>
                      </c:pt>
                      <c:pt idx="1">
                        <c:v>13.2143600627497</c:v>
                      </c:pt>
                      <c:pt idx="2">
                        <c:v>13.019667410530635</c:v>
                      </c:pt>
                      <c:pt idx="3">
                        <c:v>13.79766694681722</c:v>
                      </c:pt>
                      <c:pt idx="4">
                        <c:v>14.07839014564361</c:v>
                      </c:pt>
                      <c:pt idx="5">
                        <c:v>14.841718115724326</c:v>
                      </c:pt>
                      <c:pt idx="6">
                        <c:v>16.266896157126279</c:v>
                      </c:pt>
                      <c:pt idx="7">
                        <c:v>16.744552674806897</c:v>
                      </c:pt>
                      <c:pt idx="8">
                        <c:v>16.822076135121534</c:v>
                      </c:pt>
                      <c:pt idx="9">
                        <c:v>14.682135838692798</c:v>
                      </c:pt>
                      <c:pt idx="10">
                        <c:v>15.645955030120948</c:v>
                      </c:pt>
                      <c:pt idx="11">
                        <c:v>16.370315631745928</c:v>
                      </c:pt>
                      <c:pt idx="12">
                        <c:v>16.889815053309654</c:v>
                      </c:pt>
                      <c:pt idx="13">
                        <c:v>16.697832687338728</c:v>
                      </c:pt>
                      <c:pt idx="14">
                        <c:v>16.880821460843411</c:v>
                      </c:pt>
                      <c:pt idx="15">
                        <c:v>15.106298034342791</c:v>
                      </c:pt>
                      <c:pt idx="16">
                        <c:v>13.903833701796502</c:v>
                      </c:pt>
                      <c:pt idx="17">
                        <c:v>13.225097608391659</c:v>
                      </c:pt>
                      <c:pt idx="18">
                        <c:v>14.350914605003833</c:v>
                      </c:pt>
                      <c:pt idx="19">
                        <c:v>14.632251002200904</c:v>
                      </c:pt>
                      <c:pt idx="20">
                        <c:v>13.235989693781264</c:v>
                      </c:pt>
                      <c:pt idx="21">
                        <c:v>16.304407476228853</c:v>
                      </c:pt>
                      <c:pt idx="22">
                        <c:v>17.204955269566241</c:v>
                      </c:pt>
                      <c:pt idx="23">
                        <c:v>15.078418880363447</c:v>
                      </c:pt>
                      <c:pt idx="24">
                        <c:v>14.732196124442144</c:v>
                      </c:pt>
                    </c:numCache>
                  </c:numRef>
                </c:val>
              </c15:ser>
            </c15:filteredBarSeries>
            <c15:filteredBarSeries>
              <c15:ser>
                <c:idx val="10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'INDICADORES FISCALES'!$A$11</c15:sqref>
                        </c15:formulaRef>
                      </c:ext>
                    </c:extLst>
                    <c:strCache>
                      <c:ptCount val="1"/>
                      <c:pt idx="0">
                        <c:v>Impuestos indirectos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lumMod val="60000"/>
                          <a:shade val="51000"/>
                          <a:satMod val="130000"/>
                        </a:schemeClr>
                      </a:gs>
                      <a:gs pos="80000">
                        <a:schemeClr val="accent5">
                          <a:lumMod val="60000"/>
                          <a:shade val="93000"/>
                          <a:satMod val="130000"/>
                        </a:schemeClr>
                      </a:gs>
                      <a:gs pos="100000">
                        <a:schemeClr val="accent5">
                          <a:lumMod val="60000"/>
                          <a:shade val="94000"/>
                          <a:satMod val="135000"/>
                        </a:schemeClr>
                      </a:gs>
                    </a:gsLst>
                    <a:lin ang="16200000" scaled="0"/>
                  </a:gradFill>
                  <a:ln>
                    <a:noFill/>
                  </a:ln>
                  <a:effectLst>
                    <a:outerShdw blurRad="40000" dist="23000" dir="5400000" rotWithShape="0">
                      <a:srgbClr val="000000">
                        <a:alpha val="35000"/>
                      </a:srgbClr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threePt" dir="t">
                      <a:rot lat="0" lon="0" rev="1200000"/>
                    </a:lightRig>
                  </a:scene3d>
                  <a:sp3d>
                    <a:bevelT w="63500" h="25400"/>
                  </a:sp3d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'INDICADORES FISCALES'!$B$5:$Z$5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  <c:pt idx="3">
                        <c:v>2003</c:v>
                      </c:pt>
                      <c:pt idx="4">
                        <c:v>2004</c:v>
                      </c:pt>
                      <c:pt idx="5">
                        <c:v>2005</c:v>
                      </c:pt>
                      <c:pt idx="6">
                        <c:v>2006</c:v>
                      </c:pt>
                      <c:pt idx="7">
                        <c:v>2007</c:v>
                      </c:pt>
                      <c:pt idx="8">
                        <c:v>2008</c:v>
                      </c:pt>
                      <c:pt idx="9">
                        <c:v>2009</c:v>
                      </c:pt>
                      <c:pt idx="10">
                        <c:v>2010</c:v>
                      </c:pt>
                      <c:pt idx="11">
                        <c:v>2011</c:v>
                      </c:pt>
                      <c:pt idx="12">
                        <c:v>2012</c:v>
                      </c:pt>
                      <c:pt idx="13">
                        <c:v>2013</c:v>
                      </c:pt>
                      <c:pt idx="14">
                        <c:v>2014</c:v>
                      </c:pt>
                      <c:pt idx="15">
                        <c:v>2015</c:v>
                      </c:pt>
                      <c:pt idx="16">
                        <c:v>2016</c:v>
                      </c:pt>
                      <c:pt idx="17">
                        <c:v>2017</c:v>
                      </c:pt>
                      <c:pt idx="18">
                        <c:v>2018</c:v>
                      </c:pt>
                      <c:pt idx="19">
                        <c:v>2019</c:v>
                      </c:pt>
                      <c:pt idx="20">
                        <c:v>2020</c:v>
                      </c:pt>
                      <c:pt idx="21">
                        <c:v>2021</c:v>
                      </c:pt>
                      <c:pt idx="22">
                        <c:v>2022</c:v>
                      </c:pt>
                      <c:pt idx="23">
                        <c:v>2023</c:v>
                      </c:pt>
                      <c:pt idx="24">
                        <c:v>2024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'INDICADORES FISCALES'!$B$11:$Z$11</c15:sqref>
                        </c15:formulaRef>
                      </c:ext>
                    </c:extLst>
                    <c:numCache>
                      <c:formatCode>_(* #,##0.0_);_(* \(#,##0.0\);_(* "-"??_);_(@_)</c:formatCode>
                      <c:ptCount val="25"/>
                      <c:pt idx="0">
                        <c:v>10.439065218950848</c:v>
                      </c:pt>
                      <c:pt idx="1">
                        <c:v>10.147831646165981</c:v>
                      </c:pt>
                      <c:pt idx="2">
                        <c:v>10.16145231322929</c:v>
                      </c:pt>
                      <c:pt idx="3">
                        <c:v>10.408169341095636</c:v>
                      </c:pt>
                      <c:pt idx="4">
                        <c:v>10.375144513102885</c:v>
                      </c:pt>
                      <c:pt idx="5">
                        <c:v>10.427419712365293</c:v>
                      </c:pt>
                      <c:pt idx="6">
                        <c:v>9.9211989687233597</c:v>
                      </c:pt>
                      <c:pt idx="7">
                        <c:v>9.9305656843785624</c:v>
                      </c:pt>
                      <c:pt idx="8">
                        <c:v>10.415444509715241</c:v>
                      </c:pt>
                      <c:pt idx="9">
                        <c:v>9.5782913746349472</c:v>
                      </c:pt>
                      <c:pt idx="10">
                        <c:v>9.9642975546730135</c:v>
                      </c:pt>
                      <c:pt idx="11">
                        <c:v>9.8567799912670555</c:v>
                      </c:pt>
                      <c:pt idx="12">
                        <c:v>9.9038977014211316</c:v>
                      </c:pt>
                      <c:pt idx="13">
                        <c:v>10.024295120587926</c:v>
                      </c:pt>
                      <c:pt idx="14">
                        <c:v>9.9009307164252096</c:v>
                      </c:pt>
                      <c:pt idx="15">
                        <c:v>9.5949701011735371</c:v>
                      </c:pt>
                      <c:pt idx="16">
                        <c:v>9.0828146496951803</c:v>
                      </c:pt>
                      <c:pt idx="17">
                        <c:v>8.8364007748865809</c:v>
                      </c:pt>
                      <c:pt idx="18">
                        <c:v>9.2208038916089752</c:v>
                      </c:pt>
                      <c:pt idx="19">
                        <c:v>9.4074466216388952</c:v>
                      </c:pt>
                      <c:pt idx="20">
                        <c:v>8.7929864782550595</c:v>
                      </c:pt>
                      <c:pt idx="21">
                        <c:v>10.103073590527826</c:v>
                      </c:pt>
                      <c:pt idx="22">
                        <c:v>10.578101299194621</c:v>
                      </c:pt>
                      <c:pt idx="23">
                        <c:v>9.4193869961735519</c:v>
                      </c:pt>
                      <c:pt idx="24">
                        <c:v>9.1122910566885231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52911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29117520"/>
        <c:crosses val="autoZero"/>
        <c:auto val="1"/>
        <c:lblAlgn val="ctr"/>
        <c:lblOffset val="100"/>
        <c:noMultiLvlLbl val="0"/>
      </c:catAx>
      <c:valAx>
        <c:axId val="52911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* #,##0.0_);_(* \(#,##0.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2911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rgbClr val="FFFF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 sz="1800" b="1" i="0" baseline="0">
                <a:solidFill>
                  <a:srgbClr val="FFFF00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PERÚ: GASTOS DEL GOBIERNO GENERAL</a:t>
            </a:r>
            <a:endParaRPr lang="es-PE">
              <a:solidFill>
                <a:srgbClr val="FFFF00"/>
              </a:solidFill>
              <a:effectLst/>
            </a:endParaRPr>
          </a:p>
          <a:p>
            <a:pPr>
              <a:defRPr>
                <a:solidFill>
                  <a:srgbClr val="FFFF00"/>
                </a:solidFill>
              </a:defRPr>
            </a:pPr>
            <a:r>
              <a:rPr lang="es-PE" sz="1200" b="1" i="1" baseline="0">
                <a:solidFill>
                  <a:srgbClr val="FFFF00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(en porcentaje del PBI)</a:t>
            </a:r>
            <a:endParaRPr lang="es-PE" sz="1100">
              <a:solidFill>
                <a:srgbClr val="FFFF0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rgbClr val="FFFF0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'INDICADORES FISCALES'!$A$19</c:f>
              <c:strCache>
                <c:ptCount val="1"/>
                <c:pt idx="0">
                  <c:v>Sueldos y salarios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FISCALES'!$E$5:$Z$5</c:f>
              <c:numCache>
                <c:formatCode>General</c:formatCode>
                <c:ptCount val="22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  <c:pt idx="18">
                  <c:v>2021</c:v>
                </c:pt>
                <c:pt idx="19">
                  <c:v>2022</c:v>
                </c:pt>
                <c:pt idx="20">
                  <c:v>2023</c:v>
                </c:pt>
                <c:pt idx="21">
                  <c:v>2024</c:v>
                </c:pt>
              </c:numCache>
            </c:numRef>
          </c:cat>
          <c:val>
            <c:numRef>
              <c:f>'INDICADORES FISCALES'!$E$19:$Z$19</c:f>
              <c:numCache>
                <c:formatCode>_(* #,##0.0_);_(* \(#,##0.0\);_(* "-"??_);_(@_)</c:formatCode>
                <c:ptCount val="22"/>
                <c:pt idx="0">
                  <c:v>6.0859991336604375</c:v>
                </c:pt>
                <c:pt idx="1">
                  <c:v>5.890038287019939</c:v>
                </c:pt>
                <c:pt idx="2">
                  <c:v>6.0496978926456642</c:v>
                </c:pt>
                <c:pt idx="3">
                  <c:v>5.5608001129979421</c:v>
                </c:pt>
                <c:pt idx="4">
                  <c:v>5.2129691569293044</c:v>
                </c:pt>
                <c:pt idx="5">
                  <c:v>5.0746251250896615</c:v>
                </c:pt>
                <c:pt idx="6">
                  <c:v>5.3436100106204591</c:v>
                </c:pt>
                <c:pt idx="7">
                  <c:v>4.9338288835267026</c:v>
                </c:pt>
                <c:pt idx="8">
                  <c:v>4.8395675030975998</c:v>
                </c:pt>
                <c:pt idx="9">
                  <c:v>4.9541857790447805</c:v>
                </c:pt>
                <c:pt idx="10">
                  <c:v>5.3510474511422856</c:v>
                </c:pt>
                <c:pt idx="11">
                  <c:v>5.8897516020850533</c:v>
                </c:pt>
                <c:pt idx="12">
                  <c:v>5.7711620558455916</c:v>
                </c:pt>
                <c:pt idx="13">
                  <c:v>5.8919932576206495</c:v>
                </c:pt>
                <c:pt idx="14">
                  <c:v>6.0415572796116095</c:v>
                </c:pt>
                <c:pt idx="15">
                  <c:v>6.1712759170488729</c:v>
                </c:pt>
                <c:pt idx="16">
                  <c:v>6.3214193367036833</c:v>
                </c:pt>
                <c:pt idx="17">
                  <c:v>7.3501661744428253</c:v>
                </c:pt>
                <c:pt idx="18">
                  <c:v>6.1762881956286861</c:v>
                </c:pt>
                <c:pt idx="19">
                  <c:v>5.9286613103699688</c:v>
                </c:pt>
                <c:pt idx="20">
                  <c:v>6.2535040300860452</c:v>
                </c:pt>
                <c:pt idx="21">
                  <c:v>6.2709642670482584</c:v>
                </c:pt>
              </c:numCache>
            </c:numRef>
          </c:val>
        </c:ser>
        <c:ser>
          <c:idx val="1"/>
          <c:order val="1"/>
          <c:tx>
            <c:strRef>
              <c:f>'INDICADORES FISCALES'!$A$20</c:f>
              <c:strCache>
                <c:ptCount val="1"/>
                <c:pt idx="0">
                  <c:v>Bienes y servicios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FISCALES'!$E$5:$Z$5</c:f>
              <c:numCache>
                <c:formatCode>General</c:formatCode>
                <c:ptCount val="22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  <c:pt idx="18">
                  <c:v>2021</c:v>
                </c:pt>
                <c:pt idx="19">
                  <c:v>2022</c:v>
                </c:pt>
                <c:pt idx="20">
                  <c:v>2023</c:v>
                </c:pt>
                <c:pt idx="21">
                  <c:v>2024</c:v>
                </c:pt>
              </c:numCache>
            </c:numRef>
          </c:cat>
          <c:val>
            <c:numRef>
              <c:f>'INDICADORES FISCALES'!$E$20:$Z$20</c:f>
              <c:numCache>
                <c:formatCode>_(* #,##0.0_);_(* \(#,##0.0\);_(* "-"??_);_(@_)</c:formatCode>
                <c:ptCount val="22"/>
                <c:pt idx="0">
                  <c:v>4.7943009346960039</c:v>
                </c:pt>
                <c:pt idx="1">
                  <c:v>4.7141321928485098</c:v>
                </c:pt>
                <c:pt idx="2">
                  <c:v>4.959705480551265</c:v>
                </c:pt>
                <c:pt idx="3">
                  <c:v>4.6738285660685577</c:v>
                </c:pt>
                <c:pt idx="4">
                  <c:v>4.546953530986884</c:v>
                </c:pt>
                <c:pt idx="5">
                  <c:v>4.5884284956616899</c:v>
                </c:pt>
                <c:pt idx="6">
                  <c:v>5.2762718610084924</c:v>
                </c:pt>
                <c:pt idx="7">
                  <c:v>5.3846466891981839</c:v>
                </c:pt>
                <c:pt idx="8">
                  <c:v>5.0713285345877113</c:v>
                </c:pt>
                <c:pt idx="9">
                  <c:v>5.5923763544210452</c:v>
                </c:pt>
                <c:pt idx="10">
                  <c:v>5.7295709159987496</c:v>
                </c:pt>
                <c:pt idx="11">
                  <c:v>6.0462242234045505</c:v>
                </c:pt>
                <c:pt idx="12">
                  <c:v>6.5832735112386382</c:v>
                </c:pt>
                <c:pt idx="13">
                  <c:v>6.091762496613824</c:v>
                </c:pt>
                <c:pt idx="14">
                  <c:v>5.9049987061787474</c:v>
                </c:pt>
                <c:pt idx="15">
                  <c:v>5.6482214963790476</c:v>
                </c:pt>
                <c:pt idx="16">
                  <c:v>5.8263053116364176</c:v>
                </c:pt>
                <c:pt idx="17">
                  <c:v>6.9334265589390851</c:v>
                </c:pt>
                <c:pt idx="18">
                  <c:v>6.7672720779963225</c:v>
                </c:pt>
                <c:pt idx="19">
                  <c:v>6.438724260051421</c:v>
                </c:pt>
                <c:pt idx="20">
                  <c:v>6.2724000786374035</c:v>
                </c:pt>
                <c:pt idx="21">
                  <c:v>5.8425855257479933</c:v>
                </c:pt>
              </c:numCache>
            </c:numRef>
          </c:val>
        </c:ser>
        <c:ser>
          <c:idx val="2"/>
          <c:order val="2"/>
          <c:tx>
            <c:strRef>
              <c:f>'INDICADORES FISCALES'!$A$21</c:f>
              <c:strCache>
                <c:ptCount val="1"/>
                <c:pt idx="0">
                  <c:v>Intereses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FISCALES'!$E$5:$Z$5</c:f>
              <c:numCache>
                <c:formatCode>General</c:formatCode>
                <c:ptCount val="22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  <c:pt idx="18">
                  <c:v>2021</c:v>
                </c:pt>
                <c:pt idx="19">
                  <c:v>2022</c:v>
                </c:pt>
                <c:pt idx="20">
                  <c:v>2023</c:v>
                </c:pt>
                <c:pt idx="21">
                  <c:v>2024</c:v>
                </c:pt>
              </c:numCache>
            </c:numRef>
          </c:cat>
          <c:val>
            <c:numRef>
              <c:f>'INDICADORES FISCALES'!$E$21:$Z$21</c:f>
              <c:numCache>
                <c:formatCode>_(* #,##0.0_);_(* \(#,##0.0\);_(* "-"??_);_(@_)</c:formatCode>
                <c:ptCount val="22"/>
                <c:pt idx="0">
                  <c:v>2.2151264709690968</c:v>
                </c:pt>
                <c:pt idx="1">
                  <c:v>2.1262436412381995</c:v>
                </c:pt>
                <c:pt idx="2">
                  <c:v>2.0297863618066594</c:v>
                </c:pt>
                <c:pt idx="3">
                  <c:v>1.9392462888990758</c:v>
                </c:pt>
                <c:pt idx="4">
                  <c:v>1.8490258749435524</c:v>
                </c:pt>
                <c:pt idx="5">
                  <c:v>1.6203364272400482</c:v>
                </c:pt>
                <c:pt idx="6">
                  <c:v>1.3341653691337032</c:v>
                </c:pt>
                <c:pt idx="7">
                  <c:v>1.1836124089685918</c:v>
                </c:pt>
                <c:pt idx="8">
                  <c:v>1.1499486647142545</c:v>
                </c:pt>
                <c:pt idx="9">
                  <c:v>1.0706310761952265</c:v>
                </c:pt>
                <c:pt idx="10">
                  <c:v>1.0861597260500639</c:v>
                </c:pt>
                <c:pt idx="11">
                  <c:v>1.0459099173548925</c:v>
                </c:pt>
                <c:pt idx="12">
                  <c:v>1.0069354526789265</c:v>
                </c:pt>
                <c:pt idx="13">
                  <c:v>1.0425316282496446</c:v>
                </c:pt>
                <c:pt idx="14">
                  <c:v>1.105574363374179</c:v>
                </c:pt>
                <c:pt idx="15">
                  <c:v>1.2296069370780358</c:v>
                </c:pt>
                <c:pt idx="16">
                  <c:v>1.2690324616852575</c:v>
                </c:pt>
                <c:pt idx="17">
                  <c:v>1.4907650264499703</c:v>
                </c:pt>
                <c:pt idx="18">
                  <c:v>1.3947161463541564</c:v>
                </c:pt>
                <c:pt idx="19">
                  <c:v>1.4624774056651655</c:v>
                </c:pt>
                <c:pt idx="20">
                  <c:v>1.5478544026189747</c:v>
                </c:pt>
                <c:pt idx="21">
                  <c:v>1.5441562836189862</c:v>
                </c:pt>
              </c:numCache>
            </c:numRef>
          </c:val>
        </c:ser>
        <c:ser>
          <c:idx val="3"/>
          <c:order val="3"/>
          <c:tx>
            <c:strRef>
              <c:f>'INDICADORES FISCALES'!$A$22</c:f>
              <c:strCache>
                <c:ptCount val="1"/>
                <c:pt idx="0">
                  <c:v>Subsidios y otras transferencias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FISCALES'!$E$5:$Z$5</c:f>
              <c:numCache>
                <c:formatCode>General</c:formatCode>
                <c:ptCount val="22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  <c:pt idx="18">
                  <c:v>2021</c:v>
                </c:pt>
                <c:pt idx="19">
                  <c:v>2022</c:v>
                </c:pt>
                <c:pt idx="20">
                  <c:v>2023</c:v>
                </c:pt>
                <c:pt idx="21">
                  <c:v>2024</c:v>
                </c:pt>
              </c:numCache>
            </c:numRef>
          </c:cat>
          <c:val>
            <c:numRef>
              <c:f>'INDICADORES FISCALES'!$E$22:$Z$22</c:f>
              <c:numCache>
                <c:formatCode>_(* #,##0.0_);_(* \(#,##0.0\);_(* "-"??_);_(@_)</c:formatCode>
                <c:ptCount val="22"/>
                <c:pt idx="0">
                  <c:v>4.2964700649348604</c:v>
                </c:pt>
                <c:pt idx="1">
                  <c:v>4.1895003771027497</c:v>
                </c:pt>
                <c:pt idx="2">
                  <c:v>4.2096630772582584</c:v>
                </c:pt>
                <c:pt idx="3">
                  <c:v>3.5886385870486244</c:v>
                </c:pt>
                <c:pt idx="4">
                  <c:v>3.9098575570163252</c:v>
                </c:pt>
                <c:pt idx="5">
                  <c:v>4.0968814429335714</c:v>
                </c:pt>
                <c:pt idx="6">
                  <c:v>3.590856061982286</c:v>
                </c:pt>
                <c:pt idx="7">
                  <c:v>3.3222098420404222</c:v>
                </c:pt>
                <c:pt idx="8">
                  <c:v>3.4886236146440099</c:v>
                </c:pt>
                <c:pt idx="9">
                  <c:v>2.9936948907981908</c:v>
                </c:pt>
                <c:pt idx="10">
                  <c:v>3.1974975614598682</c:v>
                </c:pt>
                <c:pt idx="11">
                  <c:v>3.5131467022456446</c:v>
                </c:pt>
                <c:pt idx="12">
                  <c:v>3.3883800597600557</c:v>
                </c:pt>
                <c:pt idx="13">
                  <c:v>3.1220370255194729</c:v>
                </c:pt>
                <c:pt idx="14">
                  <c:v>3.1723699625814068</c:v>
                </c:pt>
                <c:pt idx="15">
                  <c:v>3.2949196127615461</c:v>
                </c:pt>
                <c:pt idx="16">
                  <c:v>3.2038268878142415</c:v>
                </c:pt>
                <c:pt idx="17">
                  <c:v>5.8503929839214956</c:v>
                </c:pt>
                <c:pt idx="18">
                  <c:v>4.1681282123810472</c:v>
                </c:pt>
                <c:pt idx="19">
                  <c:v>3.5979436928066844</c:v>
                </c:pt>
                <c:pt idx="20">
                  <c:v>3.0948944668226752</c:v>
                </c:pt>
                <c:pt idx="21">
                  <c:v>2.8441205666478062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7526104"/>
        <c:axId val="675836480"/>
      </c:barChart>
      <c:catAx>
        <c:axId val="527526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75836480"/>
        <c:crosses val="autoZero"/>
        <c:auto val="1"/>
        <c:lblAlgn val="ctr"/>
        <c:lblOffset val="100"/>
        <c:noMultiLvlLbl val="0"/>
      </c:catAx>
      <c:valAx>
        <c:axId val="67583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* #,##0.0_);_(* \(#,##0.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27526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rgbClr val="FFFF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>
                <a:solidFill>
                  <a:srgbClr val="FFFF00"/>
                </a:solidFill>
              </a:rPr>
              <a:t>PERÚ:</a:t>
            </a:r>
            <a:r>
              <a:rPr lang="es-PE" baseline="0">
                <a:solidFill>
                  <a:srgbClr val="FFFF00"/>
                </a:solidFill>
              </a:rPr>
              <a:t> RESULTADO DEL GOBIERNO GENERAL</a:t>
            </a:r>
          </a:p>
          <a:p>
            <a:pPr>
              <a:defRPr>
                <a:solidFill>
                  <a:srgbClr val="FFFF00"/>
                </a:solidFill>
              </a:defRPr>
            </a:pPr>
            <a:r>
              <a:rPr lang="es-PE" sz="1200" baseline="0">
                <a:solidFill>
                  <a:srgbClr val="FFFF00"/>
                </a:solidFill>
              </a:rPr>
              <a:t>(en porcentaje del PBI)</a:t>
            </a:r>
            <a:endParaRPr lang="es-PE" sz="1200">
              <a:solidFill>
                <a:srgbClr val="FFFF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rgbClr val="FFFF0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'INDICADORES FISCALES'!$A$24</c:f>
              <c:strCache>
                <c:ptCount val="1"/>
                <c:pt idx="0">
                  <c:v>Resultado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FISCALES'!$B$5:$Z$5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'INDICADORES FISCALES'!$B$24:$Z$24</c:f>
              <c:numCache>
                <c:formatCode>_(* #,##0.0_);_(* \(#,##0.0\);_(* "-"??_);_(@_)</c:formatCode>
                <c:ptCount val="25"/>
                <c:pt idx="0">
                  <c:v>-2.8452939580882806</c:v>
                </c:pt>
                <c:pt idx="1">
                  <c:v>-2.9860652775098937</c:v>
                </c:pt>
                <c:pt idx="2">
                  <c:v>-2.1397494483550745</c:v>
                </c:pt>
                <c:pt idx="3">
                  <c:v>-1.6567490301419894</c:v>
                </c:pt>
                <c:pt idx="4">
                  <c:v>-1.240728097908546</c:v>
                </c:pt>
                <c:pt idx="5">
                  <c:v>-0.59013695333275917</c:v>
                </c:pt>
                <c:pt idx="6">
                  <c:v>2.2057817627789174</c:v>
                </c:pt>
                <c:pt idx="7">
                  <c:v>2.9024041810505476</c:v>
                </c:pt>
                <c:pt idx="8">
                  <c:v>2.5224037726900392</c:v>
                </c:pt>
                <c:pt idx="9">
                  <c:v>-1.4772562766682178</c:v>
                </c:pt>
                <c:pt idx="10">
                  <c:v>-1.327161109418065E-2</c:v>
                </c:pt>
                <c:pt idx="11">
                  <c:v>2.0437534304662894</c:v>
                </c:pt>
                <c:pt idx="12">
                  <c:v>2.0704248414830557</c:v>
                </c:pt>
                <c:pt idx="13">
                  <c:v>0.75395010543872354</c:v>
                </c:pt>
                <c:pt idx="14">
                  <c:v>-0.18904608095880104</c:v>
                </c:pt>
                <c:pt idx="15">
                  <c:v>-2.0167521185905608</c:v>
                </c:pt>
                <c:pt idx="16">
                  <c:v>-2.1466314382330784</c:v>
                </c:pt>
                <c:pt idx="17">
                  <c:v>-2.826837883778988</c:v>
                </c:pt>
                <c:pt idx="18">
                  <c:v>-1.9635134268220296</c:v>
                </c:pt>
                <c:pt idx="19">
                  <c:v>-1.3882364004423937</c:v>
                </c:pt>
                <c:pt idx="20">
                  <c:v>-8.3085922571353272</c:v>
                </c:pt>
                <c:pt idx="21">
                  <c:v>-2.5417400996493384</c:v>
                </c:pt>
                <c:pt idx="22">
                  <c:v>-1.4312241354813031</c:v>
                </c:pt>
                <c:pt idx="23">
                  <c:v>-2.8319789421806374</c:v>
                </c:pt>
                <c:pt idx="24">
                  <c:v>-3.6186998948752951</c:v>
                </c:pt>
              </c:numCache>
            </c:numRef>
          </c:val>
        </c:ser>
        <c:ser>
          <c:idx val="1"/>
          <c:order val="1"/>
          <c:tx>
            <c:strRef>
              <c:f>'INDICADORES FISCALES'!$A$25</c:f>
              <c:strCache>
                <c:ptCount val="1"/>
                <c:pt idx="0">
                  <c:v>Intereses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'INDICADORES FISCALES'!$B$5:$Z$5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'INDICADORES FISCALES'!$B$25:$Z$25</c:f>
              <c:numCache>
                <c:formatCode>_(* #,##0.0_);_(* \(#,##0.0\);_(* "-"??_);_(@_)</c:formatCode>
                <c:ptCount val="25"/>
                <c:pt idx="0">
                  <c:v>-2.5581316406493575</c:v>
                </c:pt>
                <c:pt idx="1">
                  <c:v>-2.3240003221072985</c:v>
                </c:pt>
                <c:pt idx="2">
                  <c:v>-2.2082430538145865</c:v>
                </c:pt>
                <c:pt idx="3">
                  <c:v>-2.2151264709690972</c:v>
                </c:pt>
                <c:pt idx="4">
                  <c:v>-2.1262436412381995</c:v>
                </c:pt>
                <c:pt idx="5">
                  <c:v>-2.0297863618066594</c:v>
                </c:pt>
                <c:pt idx="6">
                  <c:v>-1.939246288899076</c:v>
                </c:pt>
                <c:pt idx="7">
                  <c:v>-1.8490258749435524</c:v>
                </c:pt>
                <c:pt idx="8">
                  <c:v>-1.6203364272400482</c:v>
                </c:pt>
                <c:pt idx="9">
                  <c:v>-1.3341653691337032</c:v>
                </c:pt>
                <c:pt idx="10">
                  <c:v>-1.1836124089685915</c:v>
                </c:pt>
                <c:pt idx="11">
                  <c:v>-1.1499486647142541</c:v>
                </c:pt>
                <c:pt idx="12">
                  <c:v>-1.0706310761952267</c:v>
                </c:pt>
                <c:pt idx="13">
                  <c:v>-1.0861597260500639</c:v>
                </c:pt>
                <c:pt idx="14">
                  <c:v>-1.0459099173548925</c:v>
                </c:pt>
                <c:pt idx="15">
                  <c:v>-1.0069354526789267</c:v>
                </c:pt>
                <c:pt idx="16">
                  <c:v>-1.0425316282496446</c:v>
                </c:pt>
                <c:pt idx="17">
                  <c:v>-1.1055743633741788</c:v>
                </c:pt>
                <c:pt idx="18">
                  <c:v>-1.2296069370780358</c:v>
                </c:pt>
                <c:pt idx="19">
                  <c:v>-1.2690324616852575</c:v>
                </c:pt>
                <c:pt idx="20">
                  <c:v>-1.4907650264499708</c:v>
                </c:pt>
                <c:pt idx="21">
                  <c:v>-1.3947161463541566</c:v>
                </c:pt>
                <c:pt idx="22">
                  <c:v>-1.4624774056651655</c:v>
                </c:pt>
                <c:pt idx="23">
                  <c:v>-1.5478544026189744</c:v>
                </c:pt>
                <c:pt idx="24">
                  <c:v>-1.5441562836189866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6999496"/>
        <c:axId val="527000672"/>
      </c:barChart>
      <c:lineChart>
        <c:grouping val="standard"/>
        <c:varyColors val="0"/>
        <c:ser>
          <c:idx val="2"/>
          <c:order val="2"/>
          <c:tx>
            <c:strRef>
              <c:f>'INDICADORES FISCALES'!$A$26</c:f>
              <c:strCache>
                <c:ptCount val="1"/>
                <c:pt idx="0">
                  <c:v>Resultado primario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'INDICADORES FISCALES'!$B$26:$Z$26</c:f>
              <c:numCache>
                <c:formatCode>_(* #,##0.0_);_(* \(#,##0.0\);_(* "-"??_);_(@_)</c:formatCode>
                <c:ptCount val="25"/>
                <c:pt idx="0">
                  <c:v>-0.28716231743892312</c:v>
                </c:pt>
                <c:pt idx="1">
                  <c:v>-0.66206495540259513</c:v>
                </c:pt>
                <c:pt idx="2">
                  <c:v>6.8493605459512094E-2</c:v>
                </c:pt>
                <c:pt idx="3">
                  <c:v>0.55837744082710794</c:v>
                </c:pt>
                <c:pt idx="4">
                  <c:v>0.88551554332965354</c:v>
                </c:pt>
                <c:pt idx="5">
                  <c:v>1.4396494084739002</c:v>
                </c:pt>
                <c:pt idx="6">
                  <c:v>4.1450280516779934</c:v>
                </c:pt>
                <c:pt idx="7">
                  <c:v>4.7514300559941001</c:v>
                </c:pt>
                <c:pt idx="8">
                  <c:v>4.1427401999300875</c:v>
                </c:pt>
                <c:pt idx="9">
                  <c:v>-0.14309090753451451</c:v>
                </c:pt>
                <c:pt idx="10">
                  <c:v>1.1703407978744109</c:v>
                </c:pt>
                <c:pt idx="11">
                  <c:v>3.1937020951805435</c:v>
                </c:pt>
                <c:pt idx="12">
                  <c:v>3.1410559176782824</c:v>
                </c:pt>
                <c:pt idx="13">
                  <c:v>1.8401098314887874</c:v>
                </c:pt>
                <c:pt idx="14">
                  <c:v>0.85686383639609132</c:v>
                </c:pt>
                <c:pt idx="15">
                  <c:v>-1.0098166659116341</c:v>
                </c:pt>
                <c:pt idx="16">
                  <c:v>-1.1040998099834338</c:v>
                </c:pt>
                <c:pt idx="17">
                  <c:v>-1.7212635204048092</c:v>
                </c:pt>
                <c:pt idx="18">
                  <c:v>-0.73390648974399375</c:v>
                </c:pt>
                <c:pt idx="19">
                  <c:v>-0.11920393875713628</c:v>
                </c:pt>
                <c:pt idx="20">
                  <c:v>-6.8178272306853565</c:v>
                </c:pt>
                <c:pt idx="21">
                  <c:v>-1.1470239532951818</c:v>
                </c:pt>
                <c:pt idx="22">
                  <c:v>3.1253270183862425E-2</c:v>
                </c:pt>
                <c:pt idx="23">
                  <c:v>-1.2841245395616629</c:v>
                </c:pt>
                <c:pt idx="24">
                  <c:v>-2.0745436112563085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7006160"/>
        <c:axId val="527001848"/>
      </c:lineChart>
      <c:catAx>
        <c:axId val="526999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27000672"/>
        <c:crosses val="autoZero"/>
        <c:auto val="1"/>
        <c:lblAlgn val="ctr"/>
        <c:lblOffset val="100"/>
        <c:noMultiLvlLbl val="0"/>
      </c:catAx>
      <c:valAx>
        <c:axId val="52700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* #,##0.0_);_(* \(#,##0.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26999496"/>
        <c:crosses val="autoZero"/>
        <c:crossBetween val="between"/>
      </c:valAx>
      <c:valAx>
        <c:axId val="527001848"/>
        <c:scaling>
          <c:orientation val="minMax"/>
        </c:scaling>
        <c:delete val="0"/>
        <c:axPos val="r"/>
        <c:numFmt formatCode="_(* #,##0.0_);_(* \(#,##0.0\);_(* &quot;-&quot;??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27006160"/>
        <c:crosses val="max"/>
        <c:crossBetween val="between"/>
      </c:valAx>
      <c:catAx>
        <c:axId val="527006160"/>
        <c:scaling>
          <c:orientation val="minMax"/>
        </c:scaling>
        <c:delete val="1"/>
        <c:axPos val="b"/>
        <c:majorTickMark val="out"/>
        <c:minorTickMark val="none"/>
        <c:tickLblPos val="nextTo"/>
        <c:crossAx val="5270018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1" i="0" u="none" strike="noStrike" kern="1200" spc="100" baseline="0">
                <a:solidFill>
                  <a:srgbClr val="FFFF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100" baseline="0">
                <a:solidFill>
                  <a:srgbClr val="FFFF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PERÚ. AHORRO E INVERSIÓN DEL GOBIERNO GENERAL</a:t>
            </a:r>
          </a:p>
          <a:p>
            <a:pPr algn="ctr" rtl="0">
              <a:defRPr lang="en-US" sz="1400">
                <a:solidFill>
                  <a:srgbClr val="FFFF00"/>
                </a:solidFill>
              </a:defRPr>
            </a:pPr>
            <a:r>
              <a:rPr lang="en-US" sz="1400" b="1" i="0" u="none" strike="noStrike" kern="1200" spc="100" baseline="0">
                <a:solidFill>
                  <a:srgbClr val="FFFF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(en porcentaje del PBI)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1" i="0" u="none" strike="noStrike" kern="1200" spc="100" baseline="0">
              <a:solidFill>
                <a:srgbClr val="FFFF0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Hoja1!$A$4</c:f>
              <c:strCache>
                <c:ptCount val="1"/>
                <c:pt idx="0">
                  <c:v>Ahorro del GG (% del PBI)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Hoja1!$B$3:$Z$3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Hoja1!$B$4:$Z$4</c:f>
              <c:numCache>
                <c:formatCode>0.00</c:formatCode>
                <c:ptCount val="25"/>
                <c:pt idx="0">
                  <c:v>0.70858699645251311</c:v>
                </c:pt>
                <c:pt idx="1">
                  <c:v>1.3406691599676581E-2</c:v>
                </c:pt>
                <c:pt idx="2">
                  <c:v>0.53281121998173619</c:v>
                </c:pt>
                <c:pt idx="3">
                  <c:v>0.9552296304025204</c:v>
                </c:pt>
                <c:pt idx="4">
                  <c:v>1.4647914004573537</c:v>
                </c:pt>
                <c:pt idx="5">
                  <c:v>2.2079701189977587</c:v>
                </c:pt>
                <c:pt idx="6">
                  <c:v>5.2842707063021148</c:v>
                </c:pt>
                <c:pt idx="7">
                  <c:v>6.2412484949413409</c:v>
                </c:pt>
                <c:pt idx="8">
                  <c:v>6.7870181717242257</c:v>
                </c:pt>
                <c:pt idx="9">
                  <c:v>4.2620936812509029</c:v>
                </c:pt>
                <c:pt idx="10">
                  <c:v>5.9828092624605711</c:v>
                </c:pt>
                <c:pt idx="11">
                  <c:v>7.1467371052041608</c:v>
                </c:pt>
                <c:pt idx="12">
                  <c:v>7.6857212943897109</c:v>
                </c:pt>
                <c:pt idx="13">
                  <c:v>6.6800818309205408</c:v>
                </c:pt>
                <c:pt idx="14">
                  <c:v>5.646730425870258</c:v>
                </c:pt>
                <c:pt idx="15">
                  <c:v>3.2895338149787707</c:v>
                </c:pt>
                <c:pt idx="16">
                  <c:v>2.3387177712704701</c:v>
                </c:pt>
                <c:pt idx="17">
                  <c:v>1.6700994404339538</c:v>
                </c:pt>
                <c:pt idx="18">
                  <c:v>2.7127058387483882</c:v>
                </c:pt>
                <c:pt idx="19">
                  <c:v>2.9078448008448632</c:v>
                </c:pt>
                <c:pt idx="20">
                  <c:v>-3.9059896378786432</c:v>
                </c:pt>
                <c:pt idx="21">
                  <c:v>2.4368056474806119</c:v>
                </c:pt>
                <c:pt idx="22">
                  <c:v>4.6728089274435201</c:v>
                </c:pt>
                <c:pt idx="23">
                  <c:v>2.5865610330233433</c:v>
                </c:pt>
                <c:pt idx="24">
                  <c:v>2.6092523537550405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Hoja1!$A$5</c:f>
              <c:strCache>
                <c:ptCount val="1"/>
                <c:pt idx="0">
                  <c:v>Inversión del GG (% del PBI)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Hoja1!$B$3:$Z$3</c:f>
              <c:numCache>
                <c:formatCode>General</c:formatCode>
                <c:ptCount val="2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  <c:pt idx="24">
                  <c:v>2024</c:v>
                </c:pt>
              </c:numCache>
            </c:numRef>
          </c:cat>
          <c:val>
            <c:numRef>
              <c:f>Hoja1!$B$5:$Z$5</c:f>
              <c:numCache>
                <c:formatCode>0.00</c:formatCode>
                <c:ptCount val="25"/>
                <c:pt idx="0">
                  <c:v>3.8709136311708567</c:v>
                </c:pt>
                <c:pt idx="1">
                  <c:v>3.1623662387841547</c:v>
                </c:pt>
                <c:pt idx="2">
                  <c:v>2.8825930483856457</c:v>
                </c:pt>
                <c:pt idx="3">
                  <c:v>2.8006520281938543</c:v>
                </c:pt>
                <c:pt idx="4">
                  <c:v>2.8023308800829874</c:v>
                </c:pt>
                <c:pt idx="5">
                  <c:v>2.9666387156128273</c:v>
                </c:pt>
                <c:pt idx="6">
                  <c:v>3.2373509610713529</c:v>
                </c:pt>
                <c:pt idx="7">
                  <c:v>3.464381061452706</c:v>
                </c:pt>
                <c:pt idx="8">
                  <c:v>4.3833213412010528</c:v>
                </c:pt>
                <c:pt idx="9">
                  <c:v>5.8506246966023534</c:v>
                </c:pt>
                <c:pt idx="10">
                  <c:v>6.1828732457976852</c:v>
                </c:pt>
                <c:pt idx="11">
                  <c:v>5.1590641266109589</c:v>
                </c:pt>
                <c:pt idx="12">
                  <c:v>5.6641473471465966</c:v>
                </c:pt>
                <c:pt idx="13">
                  <c:v>6.0944998920943787</c:v>
                </c:pt>
                <c:pt idx="14">
                  <c:v>5.9484514963425372</c:v>
                </c:pt>
                <c:pt idx="15">
                  <c:v>5.4034818914213441</c:v>
                </c:pt>
                <c:pt idx="16">
                  <c:v>4.6273331244442515</c:v>
                </c:pt>
                <c:pt idx="17">
                  <c:v>4.6793506337483102</c:v>
                </c:pt>
                <c:pt idx="18">
                  <c:v>4.8309232538243405</c:v>
                </c:pt>
                <c:pt idx="19">
                  <c:v>4.504391402189003</c:v>
                </c:pt>
                <c:pt idx="20">
                  <c:v>4.4668028653966125</c:v>
                </c:pt>
                <c:pt idx="21">
                  <c:v>5.0076224567017791</c:v>
                </c:pt>
                <c:pt idx="22">
                  <c:v>6.0710601015405308</c:v>
                </c:pt>
                <c:pt idx="23">
                  <c:v>5.3102140873650612</c:v>
                </c:pt>
                <c:pt idx="24">
                  <c:v>6.2105041056440955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002632"/>
        <c:axId val="527005768"/>
      </c:lineChart>
      <c:catAx>
        <c:axId val="527002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27005768"/>
        <c:crosses val="autoZero"/>
        <c:auto val="1"/>
        <c:lblAlgn val="ctr"/>
        <c:lblOffset val="100"/>
        <c:noMultiLvlLbl val="0"/>
      </c:catAx>
      <c:valAx>
        <c:axId val="52700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27002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1959</Words>
  <Characters>10779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Aracely Matos López</dc:creator>
  <cp:keywords/>
  <dc:description/>
  <cp:lastModifiedBy>Amy Aracely</cp:lastModifiedBy>
  <cp:revision>66</cp:revision>
  <cp:lastPrinted>2025-03-23T04:30:00Z</cp:lastPrinted>
  <dcterms:created xsi:type="dcterms:W3CDTF">2025-03-20T14:38:00Z</dcterms:created>
  <dcterms:modified xsi:type="dcterms:W3CDTF">2025-03-23T04:56:00Z</dcterms:modified>
</cp:coreProperties>
</file>