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F6BBA" w14:textId="415F1F58" w:rsidR="0040715B" w:rsidRDefault="008751A8">
      <w:pPr>
        <w:pStyle w:val="Puesto"/>
        <w:spacing w:before="77" w:line="470" w:lineRule="atLeast"/>
        <w:ind w:left="2948" w:right="2466" w:firstLine="884"/>
      </w:pPr>
      <w:r>
        <w:rPr>
          <w:noProof/>
          <w:lang w:val="es-PE" w:eastAsia="es-PE"/>
        </w:rPr>
        <w:drawing>
          <wp:anchor distT="0" distB="0" distL="0" distR="0" simplePos="0" relativeHeight="15728640" behindDoc="0" locked="0" layoutInCell="1" allowOverlap="1" wp14:anchorId="044C1DE2" wp14:editId="77230FDC">
            <wp:simplePos x="0" y="0"/>
            <wp:positionH relativeFrom="page">
              <wp:posOffset>922021</wp:posOffset>
            </wp:positionH>
            <wp:positionV relativeFrom="paragraph">
              <wp:posOffset>-3921</wp:posOffset>
            </wp:positionV>
            <wp:extent cx="561973" cy="48761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3" cy="48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NOTA</w:t>
      </w:r>
      <w:r>
        <w:rPr>
          <w:spacing w:val="-2"/>
          <w:u w:val="thick"/>
        </w:rPr>
        <w:t xml:space="preserve"> </w:t>
      </w:r>
      <w:r>
        <w:rPr>
          <w:u w:val="thick"/>
        </w:rPr>
        <w:t>INFORMATIVA</w:t>
      </w:r>
      <w:r>
        <w:t xml:space="preserve"> </w:t>
      </w:r>
      <w:r>
        <w:rPr>
          <w:spacing w:val="-4"/>
        </w:rPr>
        <w:t>PROGRAMA</w:t>
      </w:r>
      <w:r>
        <w:rPr>
          <w:spacing w:val="-12"/>
        </w:rPr>
        <w:t xml:space="preserve"> </w:t>
      </w:r>
      <w:r>
        <w:rPr>
          <w:spacing w:val="-4"/>
        </w:rPr>
        <w:t>MONETARIO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 w:rsidR="004378AB">
        <w:rPr>
          <w:spacing w:val="-4"/>
        </w:rPr>
        <w:t>ENERO</w:t>
      </w:r>
      <w:r>
        <w:rPr>
          <w:spacing w:val="-20"/>
        </w:rPr>
        <w:t xml:space="preserve"> </w:t>
      </w:r>
      <w:r>
        <w:rPr>
          <w:spacing w:val="-4"/>
        </w:rPr>
        <w:t>2025</w:t>
      </w:r>
    </w:p>
    <w:p w14:paraId="7AF483E0" w14:textId="3660D918" w:rsidR="0040715B" w:rsidRPr="00950248" w:rsidRDefault="00950248">
      <w:pPr>
        <w:pStyle w:val="Puesto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8751A8" w:rsidRPr="00950248">
        <w:rPr>
          <w:color w:val="000000" w:themeColor="text1"/>
        </w:rPr>
        <w:t>BCRP</w:t>
      </w:r>
      <w:r w:rsidR="008751A8" w:rsidRPr="00950248">
        <w:rPr>
          <w:color w:val="000000" w:themeColor="text1"/>
          <w:spacing w:val="-12"/>
        </w:rPr>
        <w:t xml:space="preserve"> </w:t>
      </w:r>
      <w:r w:rsidR="00FE1F68" w:rsidRPr="00950248">
        <w:rPr>
          <w:color w:val="000000" w:themeColor="text1"/>
        </w:rPr>
        <w:t>E</w:t>
      </w:r>
      <w:r w:rsidR="00685494" w:rsidRPr="00950248">
        <w:rPr>
          <w:color w:val="000000" w:themeColor="text1"/>
        </w:rPr>
        <w:t>LEVA</w:t>
      </w:r>
      <w:r w:rsidR="008751A8" w:rsidRPr="00950248">
        <w:rPr>
          <w:color w:val="000000" w:themeColor="text1"/>
          <w:spacing w:val="-15"/>
        </w:rPr>
        <w:t xml:space="preserve"> </w:t>
      </w:r>
      <w:r w:rsidR="008751A8" w:rsidRPr="00950248">
        <w:rPr>
          <w:color w:val="000000" w:themeColor="text1"/>
        </w:rPr>
        <w:t>LA</w:t>
      </w:r>
      <w:r w:rsidR="008751A8" w:rsidRPr="00950248">
        <w:rPr>
          <w:color w:val="000000" w:themeColor="text1"/>
          <w:spacing w:val="-14"/>
        </w:rPr>
        <w:t xml:space="preserve"> </w:t>
      </w:r>
      <w:r w:rsidR="008751A8" w:rsidRPr="00950248">
        <w:rPr>
          <w:color w:val="000000" w:themeColor="text1"/>
        </w:rPr>
        <w:t>TASA</w:t>
      </w:r>
      <w:r w:rsidR="008751A8" w:rsidRPr="00950248">
        <w:rPr>
          <w:color w:val="000000" w:themeColor="text1"/>
          <w:spacing w:val="-14"/>
        </w:rPr>
        <w:t xml:space="preserve"> </w:t>
      </w:r>
      <w:r w:rsidR="008751A8" w:rsidRPr="00950248">
        <w:rPr>
          <w:color w:val="000000" w:themeColor="text1"/>
        </w:rPr>
        <w:t>DE</w:t>
      </w:r>
      <w:r w:rsidR="008751A8" w:rsidRPr="00950248">
        <w:rPr>
          <w:color w:val="000000" w:themeColor="text1"/>
          <w:spacing w:val="-13"/>
        </w:rPr>
        <w:t xml:space="preserve"> </w:t>
      </w:r>
      <w:r w:rsidR="008751A8" w:rsidRPr="00950248">
        <w:rPr>
          <w:color w:val="000000" w:themeColor="text1"/>
        </w:rPr>
        <w:t>INTERÉS</w:t>
      </w:r>
      <w:r w:rsidR="008751A8" w:rsidRPr="00950248">
        <w:rPr>
          <w:color w:val="000000" w:themeColor="text1"/>
          <w:spacing w:val="-14"/>
        </w:rPr>
        <w:t xml:space="preserve"> </w:t>
      </w:r>
      <w:r w:rsidR="008751A8" w:rsidRPr="00950248">
        <w:rPr>
          <w:color w:val="000000" w:themeColor="text1"/>
        </w:rPr>
        <w:t>DE</w:t>
      </w:r>
      <w:r w:rsidR="008751A8" w:rsidRPr="00950248">
        <w:rPr>
          <w:color w:val="000000" w:themeColor="text1"/>
          <w:spacing w:val="-13"/>
        </w:rPr>
        <w:t xml:space="preserve"> </w:t>
      </w:r>
      <w:r w:rsidR="008751A8" w:rsidRPr="00950248">
        <w:rPr>
          <w:color w:val="000000" w:themeColor="text1"/>
        </w:rPr>
        <w:t>REFERENCIA</w:t>
      </w:r>
      <w:r w:rsidR="008751A8" w:rsidRPr="00950248">
        <w:rPr>
          <w:color w:val="000000" w:themeColor="text1"/>
          <w:spacing w:val="-12"/>
        </w:rPr>
        <w:t xml:space="preserve"> </w:t>
      </w:r>
      <w:r w:rsidR="00885DC8">
        <w:rPr>
          <w:color w:val="000000" w:themeColor="text1"/>
        </w:rPr>
        <w:t>A 4</w:t>
      </w:r>
      <w:r w:rsidR="008751A8" w:rsidRPr="00950248">
        <w:rPr>
          <w:color w:val="000000" w:themeColor="text1"/>
          <w:spacing w:val="-2"/>
        </w:rPr>
        <w:t>,</w:t>
      </w:r>
      <w:r w:rsidR="00885DC8">
        <w:rPr>
          <w:color w:val="000000" w:themeColor="text1"/>
          <w:spacing w:val="-2"/>
        </w:rPr>
        <w:t>00</w:t>
      </w:r>
      <w:r w:rsidR="008751A8" w:rsidRPr="00950248">
        <w:rPr>
          <w:color w:val="000000" w:themeColor="text1"/>
          <w:spacing w:val="-2"/>
        </w:rPr>
        <w:t>%</w:t>
      </w:r>
    </w:p>
    <w:p w14:paraId="117434C2" w14:textId="77777777" w:rsidR="0040715B" w:rsidRDefault="0040715B">
      <w:pPr>
        <w:pStyle w:val="Textoindependiente"/>
        <w:spacing w:before="105"/>
        <w:jc w:val="left"/>
        <w:rPr>
          <w:rFonts w:ascii="Arial"/>
          <w:b/>
        </w:rPr>
      </w:pPr>
    </w:p>
    <w:p w14:paraId="3218A276" w14:textId="3D5630DE" w:rsidR="0040715B" w:rsidRPr="00885DC8" w:rsidRDefault="00885DC8">
      <w:pPr>
        <w:pStyle w:val="Prrafodelista"/>
        <w:numPr>
          <w:ilvl w:val="0"/>
          <w:numId w:val="1"/>
        </w:numPr>
        <w:tabs>
          <w:tab w:val="left" w:pos="537"/>
          <w:tab w:val="left" w:pos="539"/>
        </w:tabs>
        <w:rPr>
          <w:color w:val="000000" w:themeColor="text1"/>
          <w:sz w:val="19"/>
        </w:rPr>
      </w:pPr>
      <w:r w:rsidRPr="00885DC8">
        <w:rPr>
          <w:sz w:val="19"/>
        </w:rPr>
        <w:t xml:space="preserve">El Directorio del Banco Central de Reserva del Perú (BCRP) acordó </w:t>
      </w:r>
      <w:r>
        <w:rPr>
          <w:sz w:val="19"/>
        </w:rPr>
        <w:t>elevar</w:t>
      </w:r>
      <w:r w:rsidRPr="00885DC8">
        <w:rPr>
          <w:sz w:val="19"/>
        </w:rPr>
        <w:t xml:space="preserve"> la tasa de interés de referencia en 25 puntos básicos a </w:t>
      </w:r>
      <w:r>
        <w:rPr>
          <w:sz w:val="19"/>
        </w:rPr>
        <w:t>4</w:t>
      </w:r>
      <w:r w:rsidRPr="00885DC8">
        <w:rPr>
          <w:sz w:val="19"/>
        </w:rPr>
        <w:t>,00 por ciento.</w:t>
      </w:r>
      <w:r w:rsidR="004378AB">
        <w:rPr>
          <w:sz w:val="19"/>
        </w:rPr>
        <w:t xml:space="preserve"> </w:t>
      </w:r>
      <w:r w:rsidR="008751A8" w:rsidRPr="00885DC8">
        <w:rPr>
          <w:color w:val="000000" w:themeColor="text1"/>
          <w:sz w:val="19"/>
        </w:rPr>
        <w:t>Futuros ajustes en la tasa de referencia estarán condicionados a la nueva información sobre la inflación y sus determinantes.</w:t>
      </w:r>
    </w:p>
    <w:p w14:paraId="761D543E" w14:textId="77777777" w:rsidR="0040715B" w:rsidRDefault="0040715B">
      <w:pPr>
        <w:pStyle w:val="Textoindependiente"/>
        <w:spacing w:before="10"/>
        <w:jc w:val="left"/>
      </w:pPr>
    </w:p>
    <w:p w14:paraId="5E35C462" w14:textId="77777777" w:rsidR="0040715B" w:rsidRDefault="008751A8">
      <w:pPr>
        <w:pStyle w:val="Prrafodelista"/>
        <w:numPr>
          <w:ilvl w:val="0"/>
          <w:numId w:val="1"/>
        </w:numPr>
        <w:tabs>
          <w:tab w:val="left" w:pos="539"/>
        </w:tabs>
        <w:ind w:right="0"/>
        <w:rPr>
          <w:sz w:val="19"/>
        </w:rPr>
      </w:pPr>
      <w:r>
        <w:rPr>
          <w:sz w:val="19"/>
        </w:rPr>
        <w:t>La</w:t>
      </w:r>
      <w:r>
        <w:rPr>
          <w:spacing w:val="-10"/>
          <w:sz w:val="19"/>
        </w:rPr>
        <w:t xml:space="preserve"> </w:t>
      </w:r>
      <w:r>
        <w:rPr>
          <w:sz w:val="19"/>
        </w:rPr>
        <w:t>decisión</w:t>
      </w:r>
      <w:r>
        <w:rPr>
          <w:spacing w:val="-8"/>
          <w:sz w:val="19"/>
        </w:rPr>
        <w:t xml:space="preserve"> </w:t>
      </w:r>
      <w:r>
        <w:rPr>
          <w:sz w:val="19"/>
        </w:rPr>
        <w:t>de</w:t>
      </w:r>
      <w:r>
        <w:rPr>
          <w:spacing w:val="-8"/>
          <w:sz w:val="19"/>
        </w:rPr>
        <w:t xml:space="preserve"> </w:t>
      </w:r>
      <w:r>
        <w:rPr>
          <w:sz w:val="19"/>
        </w:rPr>
        <w:t>mantener</w:t>
      </w:r>
      <w:r>
        <w:rPr>
          <w:spacing w:val="-11"/>
          <w:sz w:val="19"/>
        </w:rPr>
        <w:t xml:space="preserve"> </w:t>
      </w:r>
      <w:r>
        <w:rPr>
          <w:sz w:val="19"/>
        </w:rPr>
        <w:t>la</w:t>
      </w:r>
      <w:r>
        <w:rPr>
          <w:spacing w:val="-8"/>
          <w:sz w:val="19"/>
        </w:rPr>
        <w:t xml:space="preserve"> </w:t>
      </w:r>
      <w:r>
        <w:rPr>
          <w:sz w:val="19"/>
        </w:rPr>
        <w:t>tasa</w:t>
      </w:r>
      <w:r>
        <w:rPr>
          <w:spacing w:val="-9"/>
          <w:sz w:val="19"/>
        </w:rPr>
        <w:t xml:space="preserve"> </w:t>
      </w:r>
      <w:r>
        <w:rPr>
          <w:sz w:val="19"/>
        </w:rPr>
        <w:t>de</w:t>
      </w:r>
      <w:r>
        <w:rPr>
          <w:spacing w:val="-10"/>
          <w:sz w:val="19"/>
        </w:rPr>
        <w:t xml:space="preserve"> </w:t>
      </w:r>
      <w:r>
        <w:rPr>
          <w:sz w:val="19"/>
        </w:rPr>
        <w:t>referencia</w:t>
      </w:r>
      <w:r>
        <w:rPr>
          <w:spacing w:val="-9"/>
          <w:sz w:val="19"/>
        </w:rPr>
        <w:t xml:space="preserve"> </w:t>
      </w:r>
      <w:r>
        <w:rPr>
          <w:sz w:val="19"/>
        </w:rPr>
        <w:t>tomó</w:t>
      </w:r>
      <w:r>
        <w:rPr>
          <w:spacing w:val="-10"/>
          <w:sz w:val="19"/>
        </w:rPr>
        <w:t xml:space="preserve"> </w:t>
      </w:r>
      <w:r>
        <w:rPr>
          <w:sz w:val="19"/>
        </w:rPr>
        <w:t>en</w:t>
      </w:r>
      <w:r>
        <w:rPr>
          <w:spacing w:val="-8"/>
          <w:sz w:val="19"/>
        </w:rPr>
        <w:t xml:space="preserve"> </w:t>
      </w:r>
      <w:r>
        <w:rPr>
          <w:sz w:val="19"/>
        </w:rPr>
        <w:t>cuenta</w:t>
      </w:r>
      <w:r>
        <w:rPr>
          <w:spacing w:val="-9"/>
          <w:sz w:val="19"/>
        </w:rPr>
        <w:t xml:space="preserve"> </w:t>
      </w:r>
      <w:r>
        <w:rPr>
          <w:sz w:val="19"/>
        </w:rPr>
        <w:t>la</w:t>
      </w:r>
      <w:r>
        <w:rPr>
          <w:spacing w:val="-10"/>
          <w:sz w:val="19"/>
        </w:rPr>
        <w:t xml:space="preserve"> </w:t>
      </w:r>
      <w:r>
        <w:rPr>
          <w:sz w:val="19"/>
        </w:rPr>
        <w:t>información</w:t>
      </w:r>
      <w:r>
        <w:rPr>
          <w:spacing w:val="-8"/>
          <w:sz w:val="19"/>
        </w:rPr>
        <w:t xml:space="preserve"> </w:t>
      </w:r>
      <w:r>
        <w:rPr>
          <w:sz w:val="19"/>
        </w:rPr>
        <w:t>y</w:t>
      </w:r>
      <w:r>
        <w:rPr>
          <w:spacing w:val="-9"/>
          <w:sz w:val="19"/>
        </w:rPr>
        <w:t xml:space="preserve"> </w:t>
      </w:r>
      <w:r>
        <w:rPr>
          <w:sz w:val="19"/>
        </w:rPr>
        <w:t>las</w:t>
      </w:r>
      <w:r>
        <w:rPr>
          <w:spacing w:val="-9"/>
          <w:sz w:val="19"/>
        </w:rPr>
        <w:t xml:space="preserve"> </w:t>
      </w:r>
      <w:r>
        <w:rPr>
          <w:sz w:val="19"/>
        </w:rPr>
        <w:t>proyecciones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siguientes:</w:t>
      </w:r>
    </w:p>
    <w:p w14:paraId="4FBBD92A" w14:textId="77777777" w:rsidR="0040715B" w:rsidRDefault="0040715B">
      <w:pPr>
        <w:pStyle w:val="Textoindependiente"/>
        <w:spacing w:before="10"/>
        <w:jc w:val="left"/>
      </w:pPr>
    </w:p>
    <w:p w14:paraId="792CC324" w14:textId="03A2145A" w:rsidR="0040715B" w:rsidRPr="00F04792" w:rsidRDefault="00022B96" w:rsidP="002B0367">
      <w:pPr>
        <w:pStyle w:val="Prrafodelista"/>
        <w:numPr>
          <w:ilvl w:val="1"/>
          <w:numId w:val="1"/>
        </w:numPr>
        <w:tabs>
          <w:tab w:val="left" w:pos="962"/>
          <w:tab w:val="left" w:pos="964"/>
        </w:tabs>
        <w:rPr>
          <w:sz w:val="19"/>
        </w:rPr>
      </w:pPr>
      <w:r>
        <w:rPr>
          <w:sz w:val="19"/>
        </w:rPr>
        <w:t>Para el último trimestre del 2024</w:t>
      </w:r>
      <w:r w:rsidR="004266CC">
        <w:rPr>
          <w:sz w:val="19"/>
        </w:rPr>
        <w:t>,</w:t>
      </w:r>
      <w:r w:rsidR="008751A8">
        <w:rPr>
          <w:spacing w:val="-4"/>
          <w:sz w:val="19"/>
        </w:rPr>
        <w:t xml:space="preserve"> </w:t>
      </w:r>
      <w:r w:rsidR="008751A8">
        <w:rPr>
          <w:sz w:val="19"/>
        </w:rPr>
        <w:t>la</w:t>
      </w:r>
      <w:r w:rsidR="008751A8">
        <w:rPr>
          <w:spacing w:val="-2"/>
          <w:sz w:val="19"/>
        </w:rPr>
        <w:t xml:space="preserve"> </w:t>
      </w:r>
      <w:r w:rsidR="008751A8">
        <w:rPr>
          <w:sz w:val="19"/>
        </w:rPr>
        <w:t>tasa</w:t>
      </w:r>
      <w:r w:rsidR="00C062DA">
        <w:rPr>
          <w:spacing w:val="-4"/>
          <w:sz w:val="19"/>
        </w:rPr>
        <w:t xml:space="preserve"> trimestral</w:t>
      </w:r>
      <w:r w:rsidR="008751A8">
        <w:rPr>
          <w:spacing w:val="-3"/>
          <w:sz w:val="19"/>
        </w:rPr>
        <w:t xml:space="preserve"> </w:t>
      </w:r>
      <w:r w:rsidR="008751A8">
        <w:rPr>
          <w:sz w:val="19"/>
        </w:rPr>
        <w:t>de</w:t>
      </w:r>
      <w:r w:rsidR="008751A8">
        <w:rPr>
          <w:spacing w:val="-4"/>
          <w:sz w:val="19"/>
        </w:rPr>
        <w:t xml:space="preserve"> </w:t>
      </w:r>
      <w:r w:rsidR="008751A8">
        <w:rPr>
          <w:sz w:val="19"/>
        </w:rPr>
        <w:t>inflación</w:t>
      </w:r>
      <w:r w:rsidR="008751A8">
        <w:rPr>
          <w:spacing w:val="-4"/>
          <w:sz w:val="19"/>
        </w:rPr>
        <w:t xml:space="preserve"> </w:t>
      </w:r>
      <w:r w:rsidR="008751A8">
        <w:rPr>
          <w:sz w:val="19"/>
        </w:rPr>
        <w:t>total</w:t>
      </w:r>
      <w:r w:rsidR="008751A8">
        <w:rPr>
          <w:spacing w:val="-4"/>
          <w:sz w:val="19"/>
        </w:rPr>
        <w:t xml:space="preserve"> </w:t>
      </w:r>
      <w:r>
        <w:rPr>
          <w:spacing w:val="-4"/>
          <w:sz w:val="19"/>
        </w:rPr>
        <w:t xml:space="preserve">fue de </w:t>
      </w:r>
      <w:r w:rsidR="002B0367">
        <w:rPr>
          <w:spacing w:val="-4"/>
          <w:sz w:val="19"/>
        </w:rPr>
        <w:t>3,7</w:t>
      </w:r>
      <w:r w:rsidR="00C062DA">
        <w:rPr>
          <w:spacing w:val="-4"/>
          <w:sz w:val="19"/>
        </w:rPr>
        <w:t xml:space="preserve"> por ciento </w:t>
      </w:r>
      <w:r w:rsidR="008751A8">
        <w:rPr>
          <w:sz w:val="19"/>
        </w:rPr>
        <w:t>y</w:t>
      </w:r>
      <w:r w:rsidR="008751A8">
        <w:rPr>
          <w:spacing w:val="-4"/>
          <w:sz w:val="19"/>
        </w:rPr>
        <w:t xml:space="preserve"> </w:t>
      </w:r>
      <w:r w:rsidR="008751A8">
        <w:rPr>
          <w:sz w:val="19"/>
        </w:rPr>
        <w:t>la</w:t>
      </w:r>
      <w:r w:rsidR="008751A8">
        <w:rPr>
          <w:spacing w:val="-4"/>
          <w:sz w:val="19"/>
        </w:rPr>
        <w:t xml:space="preserve"> </w:t>
      </w:r>
      <w:r>
        <w:rPr>
          <w:spacing w:val="-4"/>
          <w:sz w:val="19"/>
        </w:rPr>
        <w:t>de</w:t>
      </w:r>
      <w:r w:rsidR="008751A8">
        <w:rPr>
          <w:spacing w:val="-2"/>
          <w:sz w:val="19"/>
        </w:rPr>
        <w:t xml:space="preserve"> </w:t>
      </w:r>
      <w:r w:rsidR="008751A8">
        <w:rPr>
          <w:sz w:val="19"/>
        </w:rPr>
        <w:t>sin</w:t>
      </w:r>
      <w:r w:rsidR="008751A8">
        <w:rPr>
          <w:spacing w:val="-4"/>
          <w:sz w:val="19"/>
        </w:rPr>
        <w:t xml:space="preserve"> </w:t>
      </w:r>
      <w:r w:rsidR="008751A8">
        <w:rPr>
          <w:sz w:val="19"/>
        </w:rPr>
        <w:t>alimentos</w:t>
      </w:r>
      <w:r w:rsidR="008751A8">
        <w:rPr>
          <w:spacing w:val="-4"/>
          <w:sz w:val="19"/>
        </w:rPr>
        <w:t xml:space="preserve"> </w:t>
      </w:r>
      <w:r w:rsidR="008751A8">
        <w:rPr>
          <w:sz w:val="19"/>
        </w:rPr>
        <w:t>y</w:t>
      </w:r>
      <w:r w:rsidR="008751A8">
        <w:rPr>
          <w:spacing w:val="-4"/>
          <w:sz w:val="19"/>
        </w:rPr>
        <w:t xml:space="preserve"> </w:t>
      </w:r>
      <w:r w:rsidR="008751A8">
        <w:rPr>
          <w:sz w:val="19"/>
        </w:rPr>
        <w:t>energía</w:t>
      </w:r>
      <w:r w:rsidR="008751A8">
        <w:rPr>
          <w:spacing w:val="-4"/>
          <w:sz w:val="19"/>
        </w:rPr>
        <w:t xml:space="preserve"> </w:t>
      </w:r>
      <w:r w:rsidR="00C062DA">
        <w:rPr>
          <w:sz w:val="19"/>
        </w:rPr>
        <w:t>fue de</w:t>
      </w:r>
      <w:r w:rsidR="008751A8">
        <w:rPr>
          <w:spacing w:val="-4"/>
          <w:sz w:val="19"/>
        </w:rPr>
        <w:t xml:space="preserve"> </w:t>
      </w:r>
      <w:r w:rsidR="002B0367">
        <w:rPr>
          <w:sz w:val="19"/>
        </w:rPr>
        <w:t xml:space="preserve">2,7 </w:t>
      </w:r>
      <w:r w:rsidR="008751A8">
        <w:rPr>
          <w:sz w:val="19"/>
        </w:rPr>
        <w:t>por</w:t>
      </w:r>
      <w:r w:rsidR="008751A8">
        <w:rPr>
          <w:spacing w:val="-3"/>
          <w:sz w:val="19"/>
        </w:rPr>
        <w:t xml:space="preserve"> </w:t>
      </w:r>
      <w:r w:rsidR="008751A8">
        <w:rPr>
          <w:sz w:val="19"/>
        </w:rPr>
        <w:t>ciento.</w:t>
      </w:r>
      <w:r w:rsidR="008751A8">
        <w:rPr>
          <w:spacing w:val="-2"/>
          <w:sz w:val="19"/>
        </w:rPr>
        <w:t xml:space="preserve"> </w:t>
      </w:r>
      <w:r w:rsidR="008751A8">
        <w:rPr>
          <w:sz w:val="19"/>
        </w:rPr>
        <w:t xml:space="preserve">La tasa de inflación a doce meses </w:t>
      </w:r>
      <w:r w:rsidR="008B7A5D">
        <w:rPr>
          <w:sz w:val="19"/>
        </w:rPr>
        <w:t xml:space="preserve">se incrementó de 3,8 por ciento en </w:t>
      </w:r>
      <w:r>
        <w:rPr>
          <w:sz w:val="19"/>
        </w:rPr>
        <w:t xml:space="preserve">el tercer trimestre del </w:t>
      </w:r>
      <w:r w:rsidRPr="00F04792">
        <w:rPr>
          <w:sz w:val="19"/>
        </w:rPr>
        <w:t>2024</w:t>
      </w:r>
      <w:r w:rsidR="008B7A5D" w:rsidRPr="00F04792">
        <w:rPr>
          <w:sz w:val="19"/>
        </w:rPr>
        <w:t xml:space="preserve"> a 4,1 por ciento en </w:t>
      </w:r>
      <w:r w:rsidRPr="00F04792">
        <w:rPr>
          <w:sz w:val="19"/>
        </w:rPr>
        <w:t>el cuarto trimestre</w:t>
      </w:r>
      <w:r w:rsidR="002B0367" w:rsidRPr="00F04792">
        <w:rPr>
          <w:sz w:val="19"/>
        </w:rPr>
        <w:t xml:space="preserve"> del mismo año, debido a un choque positivo en la brecha producto de 1,3 por ciento</w:t>
      </w:r>
      <w:r w:rsidR="008751A8" w:rsidRPr="00F04792">
        <w:rPr>
          <w:sz w:val="19"/>
        </w:rPr>
        <w:t>.</w:t>
      </w:r>
      <w:r w:rsidR="008751A8" w:rsidRPr="00F04792">
        <w:rPr>
          <w:spacing w:val="-4"/>
          <w:sz w:val="19"/>
        </w:rPr>
        <w:t xml:space="preserve"> </w:t>
      </w:r>
      <w:r w:rsidR="008751A8" w:rsidRPr="00F04792">
        <w:rPr>
          <w:sz w:val="19"/>
        </w:rPr>
        <w:t>La</w:t>
      </w:r>
      <w:r w:rsidR="008751A8" w:rsidRPr="00F04792">
        <w:rPr>
          <w:spacing w:val="-4"/>
          <w:sz w:val="19"/>
        </w:rPr>
        <w:t xml:space="preserve"> </w:t>
      </w:r>
      <w:r w:rsidR="008751A8" w:rsidRPr="00F04792">
        <w:rPr>
          <w:sz w:val="19"/>
        </w:rPr>
        <w:t>tasa</w:t>
      </w:r>
      <w:r w:rsidR="008751A8" w:rsidRPr="00F04792">
        <w:rPr>
          <w:spacing w:val="-4"/>
          <w:sz w:val="19"/>
        </w:rPr>
        <w:t xml:space="preserve"> </w:t>
      </w:r>
      <w:r w:rsidR="008751A8" w:rsidRPr="00F04792">
        <w:rPr>
          <w:sz w:val="19"/>
        </w:rPr>
        <w:t>de</w:t>
      </w:r>
      <w:r w:rsidR="008751A8" w:rsidRPr="00F04792">
        <w:rPr>
          <w:spacing w:val="-4"/>
          <w:sz w:val="19"/>
        </w:rPr>
        <w:t xml:space="preserve"> </w:t>
      </w:r>
      <w:r w:rsidR="008751A8" w:rsidRPr="00F04792">
        <w:rPr>
          <w:sz w:val="19"/>
        </w:rPr>
        <w:t>inflación</w:t>
      </w:r>
      <w:r w:rsidR="008751A8" w:rsidRPr="00F04792">
        <w:rPr>
          <w:spacing w:val="-4"/>
          <w:sz w:val="19"/>
        </w:rPr>
        <w:t xml:space="preserve"> </w:t>
      </w:r>
      <w:r w:rsidR="008751A8" w:rsidRPr="00F04792">
        <w:rPr>
          <w:sz w:val="19"/>
        </w:rPr>
        <w:t>sin</w:t>
      </w:r>
      <w:r w:rsidR="008751A8" w:rsidRPr="00F04792">
        <w:rPr>
          <w:spacing w:val="-4"/>
          <w:sz w:val="19"/>
        </w:rPr>
        <w:t xml:space="preserve"> </w:t>
      </w:r>
      <w:r w:rsidR="008751A8" w:rsidRPr="00F04792">
        <w:rPr>
          <w:sz w:val="19"/>
        </w:rPr>
        <w:t>alimentos</w:t>
      </w:r>
      <w:r w:rsidR="008751A8" w:rsidRPr="00F04792">
        <w:rPr>
          <w:spacing w:val="-4"/>
          <w:sz w:val="19"/>
        </w:rPr>
        <w:t xml:space="preserve"> </w:t>
      </w:r>
      <w:r w:rsidR="008751A8" w:rsidRPr="00F04792">
        <w:rPr>
          <w:sz w:val="19"/>
        </w:rPr>
        <w:t>y</w:t>
      </w:r>
      <w:r w:rsidR="008751A8" w:rsidRPr="00F04792">
        <w:rPr>
          <w:spacing w:val="-4"/>
          <w:sz w:val="19"/>
        </w:rPr>
        <w:t xml:space="preserve"> </w:t>
      </w:r>
      <w:r w:rsidR="008751A8" w:rsidRPr="00F04792">
        <w:rPr>
          <w:sz w:val="19"/>
        </w:rPr>
        <w:t>energía</w:t>
      </w:r>
      <w:r w:rsidR="008751A8" w:rsidRPr="00F04792">
        <w:rPr>
          <w:spacing w:val="-4"/>
          <w:sz w:val="19"/>
        </w:rPr>
        <w:t xml:space="preserve"> </w:t>
      </w:r>
      <w:r w:rsidR="008751A8" w:rsidRPr="00F04792">
        <w:rPr>
          <w:sz w:val="19"/>
        </w:rPr>
        <w:t>a</w:t>
      </w:r>
      <w:r w:rsidR="008751A8" w:rsidRPr="00F04792">
        <w:rPr>
          <w:spacing w:val="-2"/>
          <w:sz w:val="19"/>
        </w:rPr>
        <w:t xml:space="preserve"> </w:t>
      </w:r>
      <w:r w:rsidR="008751A8" w:rsidRPr="00F04792">
        <w:rPr>
          <w:sz w:val="19"/>
        </w:rPr>
        <w:t>doce</w:t>
      </w:r>
      <w:r w:rsidR="008751A8" w:rsidRPr="00F04792">
        <w:rPr>
          <w:spacing w:val="-4"/>
          <w:sz w:val="19"/>
        </w:rPr>
        <w:t xml:space="preserve"> </w:t>
      </w:r>
      <w:r w:rsidR="008751A8" w:rsidRPr="00F04792">
        <w:rPr>
          <w:sz w:val="19"/>
        </w:rPr>
        <w:t>meses</w:t>
      </w:r>
      <w:r w:rsidR="008751A8" w:rsidRPr="00F04792">
        <w:rPr>
          <w:spacing w:val="-4"/>
          <w:sz w:val="19"/>
        </w:rPr>
        <w:t xml:space="preserve"> </w:t>
      </w:r>
      <w:r w:rsidR="008751A8" w:rsidRPr="00F04792">
        <w:rPr>
          <w:sz w:val="19"/>
        </w:rPr>
        <w:t>se</w:t>
      </w:r>
      <w:r w:rsidR="008751A8" w:rsidRPr="00F04792">
        <w:rPr>
          <w:spacing w:val="-4"/>
          <w:sz w:val="19"/>
        </w:rPr>
        <w:t xml:space="preserve"> </w:t>
      </w:r>
      <w:r w:rsidR="008B7A5D" w:rsidRPr="00F04792">
        <w:rPr>
          <w:spacing w:val="-4"/>
          <w:sz w:val="19"/>
        </w:rPr>
        <w:t>incrementó</w:t>
      </w:r>
      <w:r w:rsidR="008751A8" w:rsidRPr="00F04792">
        <w:rPr>
          <w:spacing w:val="-4"/>
          <w:sz w:val="19"/>
        </w:rPr>
        <w:t xml:space="preserve"> </w:t>
      </w:r>
      <w:r w:rsidR="008751A8" w:rsidRPr="00F04792">
        <w:rPr>
          <w:sz w:val="19"/>
        </w:rPr>
        <w:t>de</w:t>
      </w:r>
      <w:r w:rsidR="008751A8" w:rsidRPr="00F04792">
        <w:rPr>
          <w:spacing w:val="-4"/>
          <w:sz w:val="19"/>
        </w:rPr>
        <w:t xml:space="preserve"> </w:t>
      </w:r>
      <w:r w:rsidRPr="00F04792">
        <w:rPr>
          <w:sz w:val="19"/>
        </w:rPr>
        <w:t>3,42 por ciento en el tercer trimestre</w:t>
      </w:r>
      <w:r w:rsidR="008B7A5D" w:rsidRPr="00F04792">
        <w:rPr>
          <w:sz w:val="19"/>
        </w:rPr>
        <w:t xml:space="preserve"> </w:t>
      </w:r>
      <w:r w:rsidRPr="00F04792">
        <w:rPr>
          <w:sz w:val="19"/>
        </w:rPr>
        <w:t xml:space="preserve">del 2024 </w:t>
      </w:r>
      <w:r w:rsidR="008B7A5D" w:rsidRPr="00F04792">
        <w:rPr>
          <w:sz w:val="19"/>
        </w:rPr>
        <w:t>a 3,47</w:t>
      </w:r>
      <w:r w:rsidRPr="00F04792">
        <w:rPr>
          <w:sz w:val="19"/>
        </w:rPr>
        <w:t xml:space="preserve"> por ciento en el cuarto trimestre del mismo año</w:t>
      </w:r>
      <w:r w:rsidR="008751A8" w:rsidRPr="00F04792">
        <w:rPr>
          <w:sz w:val="19"/>
        </w:rPr>
        <w:t xml:space="preserve">, </w:t>
      </w:r>
      <w:r w:rsidRPr="00F04792">
        <w:rPr>
          <w:sz w:val="19"/>
        </w:rPr>
        <w:t>por encima del límite superior del rango meta.</w:t>
      </w:r>
    </w:p>
    <w:p w14:paraId="454721E8" w14:textId="136ACC50" w:rsidR="0040715B" w:rsidRPr="00F04792" w:rsidRDefault="008751A8">
      <w:pPr>
        <w:pStyle w:val="Prrafodelista"/>
        <w:numPr>
          <w:ilvl w:val="1"/>
          <w:numId w:val="1"/>
        </w:numPr>
        <w:tabs>
          <w:tab w:val="left" w:pos="962"/>
          <w:tab w:val="left" w:pos="964"/>
        </w:tabs>
        <w:ind w:right="251"/>
        <w:rPr>
          <w:sz w:val="19"/>
        </w:rPr>
      </w:pPr>
      <w:r w:rsidRPr="00F04792">
        <w:rPr>
          <w:sz w:val="19"/>
        </w:rPr>
        <w:t>Las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expectativas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de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inflación</w:t>
      </w:r>
      <w:r w:rsidRPr="00F04792">
        <w:rPr>
          <w:spacing w:val="-4"/>
          <w:sz w:val="19"/>
        </w:rPr>
        <w:t xml:space="preserve"> </w:t>
      </w:r>
      <w:r w:rsidRPr="00F04792">
        <w:rPr>
          <w:sz w:val="19"/>
        </w:rPr>
        <w:t>a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doce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meses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se</w:t>
      </w:r>
      <w:r w:rsidRPr="00F04792">
        <w:rPr>
          <w:spacing w:val="-5"/>
          <w:sz w:val="19"/>
        </w:rPr>
        <w:t xml:space="preserve"> </w:t>
      </w:r>
      <w:r w:rsidR="002B0367" w:rsidRPr="00F04792">
        <w:rPr>
          <w:sz w:val="19"/>
        </w:rPr>
        <w:t>incrementaron</w:t>
      </w:r>
      <w:r w:rsidRPr="00F04792">
        <w:rPr>
          <w:spacing w:val="-6"/>
          <w:sz w:val="19"/>
        </w:rPr>
        <w:t xml:space="preserve"> </w:t>
      </w:r>
      <w:r w:rsidRPr="00F04792">
        <w:rPr>
          <w:sz w:val="19"/>
        </w:rPr>
        <w:t>de</w:t>
      </w:r>
      <w:r w:rsidRPr="00F04792">
        <w:rPr>
          <w:spacing w:val="-6"/>
          <w:sz w:val="19"/>
        </w:rPr>
        <w:t xml:space="preserve"> </w:t>
      </w:r>
      <w:r w:rsidR="002B0367" w:rsidRPr="00F04792">
        <w:rPr>
          <w:sz w:val="19"/>
        </w:rPr>
        <w:t>3,2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por</w:t>
      </w:r>
      <w:r w:rsidRPr="00F04792">
        <w:rPr>
          <w:spacing w:val="-4"/>
          <w:sz w:val="19"/>
        </w:rPr>
        <w:t xml:space="preserve"> </w:t>
      </w:r>
      <w:r w:rsidRPr="00F04792">
        <w:rPr>
          <w:sz w:val="19"/>
        </w:rPr>
        <w:t>ciento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en</w:t>
      </w:r>
      <w:r w:rsidRPr="00F04792">
        <w:rPr>
          <w:spacing w:val="-5"/>
          <w:sz w:val="19"/>
        </w:rPr>
        <w:t xml:space="preserve"> </w:t>
      </w:r>
      <w:r w:rsidR="002B0367" w:rsidRPr="00F04792">
        <w:rPr>
          <w:spacing w:val="-5"/>
          <w:sz w:val="19"/>
        </w:rPr>
        <w:t>el tercer trimestre del 2024</w:t>
      </w:r>
      <w:r w:rsidRPr="00F04792">
        <w:rPr>
          <w:spacing w:val="-6"/>
          <w:sz w:val="19"/>
        </w:rPr>
        <w:t xml:space="preserve"> </w:t>
      </w:r>
      <w:r w:rsidRPr="00F04792">
        <w:rPr>
          <w:sz w:val="19"/>
        </w:rPr>
        <w:t>a</w:t>
      </w:r>
      <w:r w:rsidRPr="00F04792">
        <w:rPr>
          <w:spacing w:val="-5"/>
          <w:sz w:val="19"/>
        </w:rPr>
        <w:t xml:space="preserve"> </w:t>
      </w:r>
      <w:r w:rsidR="002B0367" w:rsidRPr="00F04792">
        <w:rPr>
          <w:sz w:val="19"/>
        </w:rPr>
        <w:t>3,4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por</w:t>
      </w:r>
      <w:r w:rsidRPr="00F04792">
        <w:rPr>
          <w:spacing w:val="-4"/>
          <w:sz w:val="19"/>
        </w:rPr>
        <w:t xml:space="preserve"> </w:t>
      </w:r>
      <w:r w:rsidR="002B0367" w:rsidRPr="00F04792">
        <w:rPr>
          <w:sz w:val="19"/>
        </w:rPr>
        <w:t>ciento en el cuarto trimestre del mismo año</w:t>
      </w:r>
      <w:r w:rsidRPr="00F04792">
        <w:rPr>
          <w:sz w:val="19"/>
        </w:rPr>
        <w:t xml:space="preserve">, </w:t>
      </w:r>
      <w:r w:rsidR="002B0367" w:rsidRPr="00F04792">
        <w:rPr>
          <w:sz w:val="19"/>
        </w:rPr>
        <w:t>manteniéndose por encima del rango meta</w:t>
      </w:r>
      <w:r w:rsidRPr="00F04792">
        <w:rPr>
          <w:sz w:val="19"/>
        </w:rPr>
        <w:t>.</w:t>
      </w:r>
    </w:p>
    <w:p w14:paraId="54EC956D" w14:textId="5E141E5B" w:rsidR="0040715B" w:rsidRPr="00F04792" w:rsidRDefault="008751A8">
      <w:pPr>
        <w:pStyle w:val="Prrafodelista"/>
        <w:numPr>
          <w:ilvl w:val="1"/>
          <w:numId w:val="1"/>
        </w:numPr>
        <w:tabs>
          <w:tab w:val="left" w:pos="960"/>
          <w:tab w:val="left" w:pos="963"/>
        </w:tabs>
        <w:ind w:left="963" w:right="248"/>
        <w:rPr>
          <w:sz w:val="19"/>
        </w:rPr>
      </w:pPr>
      <w:r w:rsidRPr="00F04792">
        <w:rPr>
          <w:sz w:val="19"/>
        </w:rPr>
        <w:t>Se</w:t>
      </w:r>
      <w:r w:rsidRPr="00F04792">
        <w:rPr>
          <w:spacing w:val="-2"/>
          <w:sz w:val="19"/>
        </w:rPr>
        <w:t xml:space="preserve"> </w:t>
      </w:r>
      <w:r w:rsidRPr="00F04792">
        <w:rPr>
          <w:sz w:val="19"/>
        </w:rPr>
        <w:t>proyecta</w:t>
      </w:r>
      <w:r w:rsidRPr="00F04792">
        <w:rPr>
          <w:spacing w:val="-2"/>
          <w:sz w:val="19"/>
        </w:rPr>
        <w:t xml:space="preserve"> </w:t>
      </w:r>
      <w:r w:rsidRPr="00F04792">
        <w:rPr>
          <w:sz w:val="19"/>
        </w:rPr>
        <w:t>que</w:t>
      </w:r>
      <w:r w:rsidRPr="00F04792">
        <w:rPr>
          <w:spacing w:val="-2"/>
          <w:sz w:val="19"/>
        </w:rPr>
        <w:t xml:space="preserve"> </w:t>
      </w:r>
      <w:r w:rsidRPr="00F04792">
        <w:rPr>
          <w:sz w:val="19"/>
        </w:rPr>
        <w:t>la</w:t>
      </w:r>
      <w:r w:rsidRPr="00F04792">
        <w:rPr>
          <w:spacing w:val="-2"/>
          <w:sz w:val="19"/>
        </w:rPr>
        <w:t xml:space="preserve"> </w:t>
      </w:r>
      <w:r w:rsidRPr="00F04792">
        <w:rPr>
          <w:sz w:val="19"/>
        </w:rPr>
        <w:t>inflación</w:t>
      </w:r>
      <w:r w:rsidRPr="00F04792">
        <w:rPr>
          <w:spacing w:val="-1"/>
          <w:sz w:val="19"/>
        </w:rPr>
        <w:t xml:space="preserve"> </w:t>
      </w:r>
      <w:r w:rsidRPr="00F04792">
        <w:rPr>
          <w:sz w:val="19"/>
        </w:rPr>
        <w:t>interanual</w:t>
      </w:r>
      <w:r w:rsidR="002B0367" w:rsidRPr="00F04792">
        <w:rPr>
          <w:sz w:val="19"/>
        </w:rPr>
        <w:t>, en setiembre,</w:t>
      </w:r>
      <w:r w:rsidRPr="00F04792">
        <w:rPr>
          <w:spacing w:val="-3"/>
          <w:sz w:val="19"/>
        </w:rPr>
        <w:t xml:space="preserve"> </w:t>
      </w:r>
      <w:r w:rsidR="002B0367" w:rsidRPr="00F04792">
        <w:rPr>
          <w:sz w:val="19"/>
        </w:rPr>
        <w:t xml:space="preserve">se aproxime </w:t>
      </w:r>
      <w:r w:rsidRPr="00F04792">
        <w:rPr>
          <w:sz w:val="19"/>
        </w:rPr>
        <w:t>al</w:t>
      </w:r>
      <w:r w:rsidRPr="00F04792">
        <w:rPr>
          <w:spacing w:val="-3"/>
          <w:sz w:val="19"/>
        </w:rPr>
        <w:t xml:space="preserve"> </w:t>
      </w:r>
      <w:r w:rsidRPr="00F04792">
        <w:rPr>
          <w:sz w:val="19"/>
        </w:rPr>
        <w:t>límite</w:t>
      </w:r>
      <w:r w:rsidRPr="00F04792">
        <w:rPr>
          <w:spacing w:val="-2"/>
          <w:sz w:val="19"/>
        </w:rPr>
        <w:t xml:space="preserve"> </w:t>
      </w:r>
      <w:r w:rsidR="00A332AD" w:rsidRPr="00F04792">
        <w:rPr>
          <w:sz w:val="19"/>
        </w:rPr>
        <w:t>superior</w:t>
      </w:r>
      <w:r w:rsidRPr="00F04792">
        <w:rPr>
          <w:spacing w:val="-2"/>
          <w:sz w:val="19"/>
        </w:rPr>
        <w:t xml:space="preserve"> </w:t>
      </w:r>
      <w:r w:rsidRPr="00F04792">
        <w:rPr>
          <w:sz w:val="19"/>
        </w:rPr>
        <w:t>del</w:t>
      </w:r>
      <w:r w:rsidRPr="00F04792">
        <w:rPr>
          <w:spacing w:val="-3"/>
          <w:sz w:val="19"/>
        </w:rPr>
        <w:t xml:space="preserve"> </w:t>
      </w:r>
      <w:r w:rsidRPr="00F04792">
        <w:rPr>
          <w:sz w:val="19"/>
        </w:rPr>
        <w:t>rango</w:t>
      </w:r>
      <w:r w:rsidRPr="00F04792">
        <w:rPr>
          <w:spacing w:val="-2"/>
          <w:sz w:val="19"/>
        </w:rPr>
        <w:t xml:space="preserve"> </w:t>
      </w:r>
      <w:r w:rsidRPr="00F04792">
        <w:rPr>
          <w:sz w:val="19"/>
        </w:rPr>
        <w:t>meta</w:t>
      </w:r>
      <w:r w:rsidRPr="00F04792">
        <w:rPr>
          <w:spacing w:val="-2"/>
          <w:sz w:val="19"/>
        </w:rPr>
        <w:t xml:space="preserve"> </w:t>
      </w:r>
      <w:r w:rsidRPr="00F04792">
        <w:rPr>
          <w:sz w:val="19"/>
        </w:rPr>
        <w:t>conforme continúe</w:t>
      </w:r>
      <w:r w:rsidRPr="00F04792">
        <w:rPr>
          <w:spacing w:val="-12"/>
          <w:sz w:val="19"/>
        </w:rPr>
        <w:t xml:space="preserve"> </w:t>
      </w:r>
      <w:r w:rsidRPr="00F04792">
        <w:rPr>
          <w:sz w:val="19"/>
        </w:rPr>
        <w:t>el</w:t>
      </w:r>
      <w:r w:rsidRPr="00F04792">
        <w:rPr>
          <w:spacing w:val="-12"/>
          <w:sz w:val="19"/>
        </w:rPr>
        <w:t xml:space="preserve"> </w:t>
      </w:r>
      <w:r w:rsidRPr="00F04792">
        <w:rPr>
          <w:sz w:val="19"/>
        </w:rPr>
        <w:t>proceso</w:t>
      </w:r>
      <w:r w:rsidRPr="00F04792">
        <w:rPr>
          <w:spacing w:val="-12"/>
          <w:sz w:val="19"/>
        </w:rPr>
        <w:t xml:space="preserve"> </w:t>
      </w:r>
      <w:r w:rsidRPr="00F04792">
        <w:rPr>
          <w:sz w:val="19"/>
        </w:rPr>
        <w:t>de</w:t>
      </w:r>
      <w:r w:rsidRPr="00F04792">
        <w:rPr>
          <w:spacing w:val="-12"/>
          <w:sz w:val="19"/>
        </w:rPr>
        <w:t xml:space="preserve"> </w:t>
      </w:r>
      <w:r w:rsidR="002B0367" w:rsidRPr="00F04792">
        <w:rPr>
          <w:sz w:val="19"/>
        </w:rPr>
        <w:t xml:space="preserve">caída de inflación importada, dada una apreciación </w:t>
      </w:r>
      <w:r w:rsidR="00F04792" w:rsidRPr="00F04792">
        <w:rPr>
          <w:sz w:val="19"/>
        </w:rPr>
        <w:t>de nuestra moneda</w:t>
      </w:r>
      <w:r w:rsidR="002B0367" w:rsidRPr="00F04792">
        <w:rPr>
          <w:sz w:val="19"/>
        </w:rPr>
        <w:t xml:space="preserve">. </w:t>
      </w:r>
      <w:r w:rsidRPr="00F04792">
        <w:rPr>
          <w:sz w:val="19"/>
        </w:rPr>
        <w:t>Asimismo, se estima que la infla</w:t>
      </w:r>
      <w:r w:rsidR="00A332AD" w:rsidRPr="00F04792">
        <w:rPr>
          <w:sz w:val="19"/>
        </w:rPr>
        <w:t xml:space="preserve">ción sin alimentos y energía </w:t>
      </w:r>
      <w:r w:rsidR="0028207D">
        <w:rPr>
          <w:sz w:val="19"/>
        </w:rPr>
        <w:t>decaiga y llegue</w:t>
      </w:r>
      <w:r w:rsidR="00A332AD" w:rsidRPr="00F04792">
        <w:rPr>
          <w:sz w:val="19"/>
        </w:rPr>
        <w:t xml:space="preserve"> al rango meta alrededor de julio</w:t>
      </w:r>
      <w:r w:rsidRPr="00F04792">
        <w:rPr>
          <w:sz w:val="19"/>
        </w:rPr>
        <w:t>.</w:t>
      </w:r>
      <w:r w:rsidR="002B0367" w:rsidRPr="00F04792">
        <w:rPr>
          <w:sz w:val="19"/>
        </w:rPr>
        <w:t xml:space="preserve"> </w:t>
      </w:r>
    </w:p>
    <w:p w14:paraId="132D4FC4" w14:textId="56C48962" w:rsidR="0040715B" w:rsidRPr="00F04792" w:rsidRDefault="002B0367">
      <w:pPr>
        <w:pStyle w:val="Prrafodelista"/>
        <w:numPr>
          <w:ilvl w:val="1"/>
          <w:numId w:val="1"/>
        </w:numPr>
        <w:tabs>
          <w:tab w:val="left" w:pos="963"/>
        </w:tabs>
        <w:ind w:left="963" w:hanging="284"/>
        <w:rPr>
          <w:sz w:val="19"/>
        </w:rPr>
      </w:pPr>
      <w:r w:rsidRPr="00F04792">
        <w:rPr>
          <w:sz w:val="19"/>
        </w:rPr>
        <w:t>En el cuarto trimestre del 2024</w:t>
      </w:r>
      <w:r w:rsidR="008751A8" w:rsidRPr="00F04792">
        <w:rPr>
          <w:sz w:val="19"/>
        </w:rPr>
        <w:t>, se aprecia una recuperación en la mayoría de los indicadores de</w:t>
      </w:r>
      <w:r w:rsidR="008751A8">
        <w:rPr>
          <w:sz w:val="19"/>
        </w:rPr>
        <w:t xml:space="preserve"> </w:t>
      </w:r>
      <w:r w:rsidR="0028207D">
        <w:rPr>
          <w:sz w:val="19"/>
        </w:rPr>
        <w:t>la actividad económica</w:t>
      </w:r>
      <w:r w:rsidR="008751A8" w:rsidRPr="00F04792">
        <w:rPr>
          <w:sz w:val="19"/>
        </w:rPr>
        <w:t>.</w:t>
      </w:r>
      <w:r w:rsidR="008751A8" w:rsidRPr="00F04792">
        <w:rPr>
          <w:spacing w:val="-7"/>
          <w:sz w:val="19"/>
        </w:rPr>
        <w:t xml:space="preserve"> </w:t>
      </w:r>
      <w:r w:rsidR="00F04792" w:rsidRPr="00F04792">
        <w:rPr>
          <w:sz w:val="19"/>
        </w:rPr>
        <w:t xml:space="preserve">Sin embargo, los indicadores de optimismo de actividad económica no apuntan a una mejora futura de la </w:t>
      </w:r>
      <w:r w:rsidR="00F04792">
        <w:rPr>
          <w:sz w:val="19"/>
        </w:rPr>
        <w:t>b</w:t>
      </w:r>
      <w:r w:rsidR="0028207D">
        <w:rPr>
          <w:sz w:val="19"/>
        </w:rPr>
        <w:t>recha producto dada la transitoriedad de esta recuperación.</w:t>
      </w:r>
      <w:bookmarkStart w:id="0" w:name="_GoBack"/>
      <w:bookmarkEnd w:id="0"/>
    </w:p>
    <w:p w14:paraId="4C59CB86" w14:textId="23B0ECF5" w:rsidR="0040715B" w:rsidRPr="00F04792" w:rsidRDefault="00F04792">
      <w:pPr>
        <w:pStyle w:val="Prrafodelista"/>
        <w:numPr>
          <w:ilvl w:val="1"/>
          <w:numId w:val="1"/>
        </w:numPr>
        <w:tabs>
          <w:tab w:val="left" w:pos="962"/>
          <w:tab w:val="left" w:pos="964"/>
        </w:tabs>
        <w:rPr>
          <w:sz w:val="19"/>
        </w:rPr>
      </w:pPr>
      <w:r w:rsidRPr="00F04792">
        <w:rPr>
          <w:sz w:val="19"/>
        </w:rPr>
        <w:t xml:space="preserve">Si bien existen razones para que la inflación esperada y a la inflación disminuyan, se espera que la depreciación de la moneda no sea tan contundente como la que se proyecta. Así mismo, </w:t>
      </w:r>
      <w:r w:rsidR="0028207D">
        <w:rPr>
          <w:sz w:val="19"/>
        </w:rPr>
        <w:t>se esperan</w:t>
      </w:r>
      <w:r w:rsidRPr="00F04792">
        <w:rPr>
          <w:sz w:val="19"/>
        </w:rPr>
        <w:t xml:space="preserve"> riesgos climatológicos</w:t>
      </w:r>
      <w:r w:rsidR="0028207D">
        <w:rPr>
          <w:sz w:val="19"/>
        </w:rPr>
        <w:t xml:space="preserve"> o impulsos fiscales</w:t>
      </w:r>
      <w:r w:rsidRPr="00F04792">
        <w:rPr>
          <w:sz w:val="19"/>
        </w:rPr>
        <w:t xml:space="preserve"> que generen presiones inflacionarias e</w:t>
      </w:r>
      <w:r w:rsidR="0028207D">
        <w:rPr>
          <w:sz w:val="19"/>
        </w:rPr>
        <w:t>n el segundo trimestre del 2025.</w:t>
      </w:r>
    </w:p>
    <w:p w14:paraId="2BE1ABCC" w14:textId="31D452EA" w:rsidR="0040715B" w:rsidRDefault="008751A8">
      <w:pPr>
        <w:pStyle w:val="Prrafodelista"/>
        <w:numPr>
          <w:ilvl w:val="0"/>
          <w:numId w:val="1"/>
        </w:numPr>
        <w:tabs>
          <w:tab w:val="left" w:pos="538"/>
        </w:tabs>
        <w:spacing w:before="217"/>
        <w:ind w:left="538" w:right="136" w:hanging="392"/>
        <w:rPr>
          <w:sz w:val="19"/>
        </w:rPr>
      </w:pPr>
      <w:r w:rsidRPr="00F04792">
        <w:rPr>
          <w:sz w:val="19"/>
        </w:rPr>
        <w:t>El Directorio se encuentra especialmente atento a la nueva información referida a la inflación y sus determinantes,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incluyendo</w:t>
      </w:r>
      <w:r w:rsidRPr="00F04792">
        <w:rPr>
          <w:spacing w:val="-6"/>
          <w:sz w:val="19"/>
        </w:rPr>
        <w:t xml:space="preserve"> </w:t>
      </w:r>
      <w:r w:rsidRPr="00F04792">
        <w:rPr>
          <w:sz w:val="19"/>
        </w:rPr>
        <w:t>la</w:t>
      </w:r>
      <w:r w:rsidRPr="00F04792">
        <w:rPr>
          <w:spacing w:val="-4"/>
          <w:sz w:val="19"/>
        </w:rPr>
        <w:t xml:space="preserve"> </w:t>
      </w:r>
      <w:r w:rsidRPr="00F04792">
        <w:rPr>
          <w:sz w:val="19"/>
        </w:rPr>
        <w:t>evolución</w:t>
      </w:r>
      <w:r w:rsidRPr="00F04792">
        <w:rPr>
          <w:spacing w:val="-6"/>
          <w:sz w:val="19"/>
        </w:rPr>
        <w:t xml:space="preserve"> </w:t>
      </w:r>
      <w:r w:rsidRPr="00F04792">
        <w:rPr>
          <w:sz w:val="19"/>
        </w:rPr>
        <w:t>de</w:t>
      </w:r>
      <w:r w:rsidRPr="00F04792">
        <w:rPr>
          <w:spacing w:val="-4"/>
          <w:sz w:val="19"/>
        </w:rPr>
        <w:t xml:space="preserve"> </w:t>
      </w:r>
      <w:r w:rsidRPr="00F04792">
        <w:rPr>
          <w:sz w:val="19"/>
        </w:rPr>
        <w:t>la</w:t>
      </w:r>
      <w:r w:rsidRPr="00F04792">
        <w:rPr>
          <w:spacing w:val="-6"/>
          <w:sz w:val="19"/>
        </w:rPr>
        <w:t xml:space="preserve"> </w:t>
      </w:r>
      <w:r w:rsidRPr="00F04792">
        <w:rPr>
          <w:sz w:val="19"/>
        </w:rPr>
        <w:t>inflación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subyacente,</w:t>
      </w:r>
      <w:r w:rsidRPr="00F04792">
        <w:rPr>
          <w:spacing w:val="-6"/>
          <w:sz w:val="19"/>
        </w:rPr>
        <w:t xml:space="preserve"> </w:t>
      </w:r>
      <w:r w:rsidRPr="00F04792">
        <w:rPr>
          <w:sz w:val="19"/>
        </w:rPr>
        <w:t>las</w:t>
      </w:r>
      <w:r w:rsidRPr="00F04792">
        <w:rPr>
          <w:spacing w:val="-6"/>
          <w:sz w:val="19"/>
        </w:rPr>
        <w:t xml:space="preserve"> </w:t>
      </w:r>
      <w:r w:rsidRPr="00F04792">
        <w:rPr>
          <w:sz w:val="19"/>
        </w:rPr>
        <w:t>expectativas</w:t>
      </w:r>
      <w:r w:rsidRPr="00F04792">
        <w:rPr>
          <w:spacing w:val="-6"/>
          <w:sz w:val="19"/>
        </w:rPr>
        <w:t xml:space="preserve"> </w:t>
      </w:r>
      <w:r w:rsidRPr="00F04792">
        <w:rPr>
          <w:sz w:val="19"/>
        </w:rPr>
        <w:t>de</w:t>
      </w:r>
      <w:r w:rsidRPr="00F04792">
        <w:rPr>
          <w:spacing w:val="-4"/>
          <w:sz w:val="19"/>
        </w:rPr>
        <w:t xml:space="preserve"> </w:t>
      </w:r>
      <w:r w:rsidRPr="00F04792">
        <w:rPr>
          <w:sz w:val="19"/>
        </w:rPr>
        <w:t>inflación</w:t>
      </w:r>
      <w:r w:rsidRPr="00F04792">
        <w:rPr>
          <w:spacing w:val="-6"/>
          <w:sz w:val="19"/>
        </w:rPr>
        <w:t xml:space="preserve"> </w:t>
      </w:r>
      <w:r w:rsidRPr="00F04792">
        <w:rPr>
          <w:sz w:val="19"/>
        </w:rPr>
        <w:t>y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la</w:t>
      </w:r>
      <w:r w:rsidRPr="00F04792">
        <w:rPr>
          <w:spacing w:val="-5"/>
          <w:sz w:val="19"/>
        </w:rPr>
        <w:t xml:space="preserve"> </w:t>
      </w:r>
      <w:r w:rsidRPr="00F04792">
        <w:rPr>
          <w:sz w:val="19"/>
        </w:rPr>
        <w:t>actividad económica, para considerar, de ser necesario, modificaciones adicionales en la posición de la política monetaria. El Directorio reafirma su compromiso de adoptar</w:t>
      </w:r>
      <w:r>
        <w:rPr>
          <w:sz w:val="19"/>
        </w:rPr>
        <w:t xml:space="preserve"> las acciones necesarias para mantener la inflación en el rango meta</w:t>
      </w:r>
      <w:r w:rsidR="00F04792">
        <w:rPr>
          <w:sz w:val="19"/>
        </w:rPr>
        <w:t xml:space="preserve"> así como anclar las expectativas de inflación</w:t>
      </w:r>
      <w:r>
        <w:rPr>
          <w:sz w:val="19"/>
        </w:rPr>
        <w:t>.</w:t>
      </w:r>
    </w:p>
    <w:p w14:paraId="0B887BF7" w14:textId="77777777" w:rsidR="0040715B" w:rsidRDefault="0040715B">
      <w:pPr>
        <w:pStyle w:val="Textoindependiente"/>
        <w:spacing w:before="3"/>
        <w:jc w:val="left"/>
      </w:pPr>
    </w:p>
    <w:p w14:paraId="0E0877D1" w14:textId="77777777" w:rsidR="0040715B" w:rsidRDefault="008751A8">
      <w:pPr>
        <w:pStyle w:val="Prrafodelista"/>
        <w:numPr>
          <w:ilvl w:val="0"/>
          <w:numId w:val="1"/>
        </w:numPr>
        <w:tabs>
          <w:tab w:val="left" w:pos="537"/>
        </w:tabs>
        <w:spacing w:before="1" w:line="235" w:lineRule="auto"/>
        <w:ind w:left="537" w:right="247" w:hanging="392"/>
        <w:rPr>
          <w:sz w:val="19"/>
        </w:rPr>
      </w:pPr>
      <w:r>
        <w:rPr>
          <w:sz w:val="19"/>
        </w:rPr>
        <w:t>En la misma sesión, el Directorio acordó las siguientes tasas de interés de las operaciones en moneda nacional del BCRP con el sistema financiero bajo la modalidad de ventanilla.</w:t>
      </w:r>
    </w:p>
    <w:p w14:paraId="75E95288" w14:textId="76A97BF2" w:rsidR="0040715B" w:rsidRDefault="008751A8">
      <w:pPr>
        <w:pStyle w:val="Prrafodelista"/>
        <w:numPr>
          <w:ilvl w:val="1"/>
          <w:numId w:val="1"/>
        </w:numPr>
        <w:tabs>
          <w:tab w:val="left" w:pos="962"/>
        </w:tabs>
        <w:spacing w:before="215"/>
        <w:ind w:left="962" w:right="0" w:hanging="283"/>
        <w:rPr>
          <w:sz w:val="19"/>
        </w:rPr>
      </w:pPr>
      <w:r>
        <w:rPr>
          <w:sz w:val="19"/>
        </w:rPr>
        <w:t>Depósitos</w:t>
      </w:r>
      <w:r>
        <w:rPr>
          <w:spacing w:val="-12"/>
          <w:sz w:val="19"/>
        </w:rPr>
        <w:t xml:space="preserve"> </w:t>
      </w:r>
      <w:r>
        <w:rPr>
          <w:sz w:val="19"/>
        </w:rPr>
        <w:t>overnight:</w:t>
      </w:r>
      <w:r>
        <w:rPr>
          <w:spacing w:val="-11"/>
          <w:sz w:val="19"/>
        </w:rPr>
        <w:t xml:space="preserve"> </w:t>
      </w:r>
      <w:r w:rsidR="00022B96">
        <w:rPr>
          <w:sz w:val="19"/>
        </w:rPr>
        <w:t>2,</w:t>
      </w:r>
      <w:r>
        <w:rPr>
          <w:sz w:val="19"/>
        </w:rPr>
        <w:t>5</w:t>
      </w:r>
      <w:r>
        <w:rPr>
          <w:spacing w:val="-12"/>
          <w:sz w:val="19"/>
        </w:rPr>
        <w:t xml:space="preserve"> </w:t>
      </w:r>
      <w:r>
        <w:rPr>
          <w:sz w:val="19"/>
        </w:rPr>
        <w:t>por</w:t>
      </w:r>
      <w:r>
        <w:rPr>
          <w:spacing w:val="-10"/>
          <w:sz w:val="19"/>
        </w:rPr>
        <w:t xml:space="preserve"> </w:t>
      </w:r>
      <w:r>
        <w:rPr>
          <w:sz w:val="19"/>
        </w:rPr>
        <w:t>ciento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anual.</w:t>
      </w:r>
    </w:p>
    <w:p w14:paraId="131021CC" w14:textId="77777777" w:rsidR="0040715B" w:rsidRDefault="008751A8">
      <w:pPr>
        <w:pStyle w:val="Prrafodelista"/>
        <w:numPr>
          <w:ilvl w:val="1"/>
          <w:numId w:val="1"/>
        </w:numPr>
        <w:tabs>
          <w:tab w:val="left" w:pos="961"/>
        </w:tabs>
        <w:spacing w:before="2"/>
        <w:ind w:left="961" w:right="0" w:hanging="283"/>
        <w:rPr>
          <w:sz w:val="19"/>
        </w:rPr>
      </w:pPr>
      <w:r>
        <w:rPr>
          <w:sz w:val="19"/>
        </w:rPr>
        <w:t>Operaciones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reporte</w:t>
      </w:r>
      <w:r>
        <w:rPr>
          <w:spacing w:val="-4"/>
          <w:sz w:val="19"/>
        </w:rPr>
        <w:t xml:space="preserve"> </w:t>
      </w:r>
      <w:r>
        <w:rPr>
          <w:sz w:val="19"/>
        </w:rPr>
        <w:t>directas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títulos</w:t>
      </w:r>
      <w:r>
        <w:rPr>
          <w:spacing w:val="-4"/>
          <w:sz w:val="19"/>
        </w:rPr>
        <w:t xml:space="preserve"> </w:t>
      </w:r>
      <w:r>
        <w:rPr>
          <w:sz w:val="19"/>
        </w:rPr>
        <w:t>valores</w:t>
      </w:r>
      <w:r>
        <w:rPr>
          <w:spacing w:val="-3"/>
          <w:sz w:val="19"/>
        </w:rPr>
        <w:t xml:space="preserve"> </w:t>
      </w:r>
      <w:r>
        <w:rPr>
          <w:sz w:val="19"/>
        </w:rPr>
        <w:t>y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moneda,</w:t>
      </w:r>
      <w:r>
        <w:rPr>
          <w:spacing w:val="-3"/>
          <w:sz w:val="19"/>
        </w:rPr>
        <w:t xml:space="preserve"> </w:t>
      </w:r>
      <w:r>
        <w:rPr>
          <w:sz w:val="19"/>
        </w:rPr>
        <w:t>y</w:t>
      </w:r>
      <w:r>
        <w:rPr>
          <w:spacing w:val="-3"/>
          <w:sz w:val="19"/>
        </w:rPr>
        <w:t xml:space="preserve"> </w:t>
      </w:r>
      <w:r>
        <w:rPr>
          <w:sz w:val="19"/>
        </w:rPr>
        <w:t>Créditos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Regulación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Monetaria:</w:t>
      </w:r>
    </w:p>
    <w:p w14:paraId="6CED4248" w14:textId="6AF4EE0C" w:rsidR="0040715B" w:rsidRDefault="008751A8">
      <w:pPr>
        <w:pStyle w:val="Textoindependiente"/>
        <w:ind w:left="962" w:right="248"/>
      </w:pPr>
      <w:r>
        <w:t>i)</w:t>
      </w:r>
      <w:r>
        <w:rPr>
          <w:spacing w:val="-8"/>
        </w:rPr>
        <w:t xml:space="preserve"> </w:t>
      </w:r>
      <w:r w:rsidR="004378AB">
        <w:t>4</w:t>
      </w:r>
      <w:r>
        <w:t>,25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ciento</w:t>
      </w:r>
      <w:r>
        <w:rPr>
          <w:spacing w:val="-8"/>
        </w:rPr>
        <w:t xml:space="preserve"> </w:t>
      </w:r>
      <w:r>
        <w:t>anual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primeras</w:t>
      </w:r>
      <w:r>
        <w:rPr>
          <w:spacing w:val="-8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operaciones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últimos</w:t>
      </w:r>
      <w:r>
        <w:rPr>
          <w:spacing w:val="-7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meses;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ii)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tasa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interés que fije el Comité de Operaciones Monetarias y Cambiarias para las operaciones adicionales a estas 10</w:t>
      </w:r>
      <w:r>
        <w:rPr>
          <w:spacing w:val="-1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últimos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meses.</w:t>
      </w:r>
      <w:r>
        <w:rPr>
          <w:spacing w:val="-1"/>
        </w:rPr>
        <w:t xml:space="preserve"> </w:t>
      </w:r>
      <w:r>
        <w:t>Además,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Monetarias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Cambiarias podrá establecer tasas superiores en función al monto de las operaciones.</w:t>
      </w:r>
    </w:p>
    <w:p w14:paraId="6514C6AE" w14:textId="77777777" w:rsidR="0040715B" w:rsidRDefault="0040715B">
      <w:pPr>
        <w:pStyle w:val="Textoindependiente"/>
        <w:spacing w:before="20"/>
        <w:jc w:val="left"/>
      </w:pPr>
    </w:p>
    <w:p w14:paraId="6916EB3B" w14:textId="1E783122" w:rsidR="0040715B" w:rsidRDefault="008751A8">
      <w:pPr>
        <w:pStyle w:val="Prrafodelista"/>
        <w:numPr>
          <w:ilvl w:val="0"/>
          <w:numId w:val="1"/>
        </w:numPr>
        <w:tabs>
          <w:tab w:val="left" w:pos="537"/>
          <w:tab w:val="left" w:pos="539"/>
        </w:tabs>
        <w:ind w:right="225"/>
        <w:rPr>
          <w:sz w:val="19"/>
        </w:rPr>
      </w:pPr>
      <w:r>
        <w:rPr>
          <w:sz w:val="19"/>
        </w:rPr>
        <w:t>La</w:t>
      </w:r>
      <w:r>
        <w:rPr>
          <w:spacing w:val="-2"/>
          <w:sz w:val="19"/>
        </w:rPr>
        <w:t xml:space="preserve"> </w:t>
      </w:r>
      <w:r>
        <w:rPr>
          <w:sz w:val="19"/>
        </w:rPr>
        <w:t>próxima</w:t>
      </w:r>
      <w:r>
        <w:rPr>
          <w:spacing w:val="-2"/>
          <w:sz w:val="19"/>
        </w:rPr>
        <w:t xml:space="preserve"> </w:t>
      </w:r>
      <w:r>
        <w:rPr>
          <w:sz w:val="19"/>
        </w:rPr>
        <w:t>sesión</w:t>
      </w:r>
      <w:r>
        <w:rPr>
          <w:spacing w:val="-2"/>
          <w:sz w:val="19"/>
        </w:rPr>
        <w:t xml:space="preserve"> </w:t>
      </w:r>
      <w:r>
        <w:rPr>
          <w:sz w:val="19"/>
        </w:rPr>
        <w:t>del</w:t>
      </w:r>
      <w:r>
        <w:rPr>
          <w:spacing w:val="-3"/>
          <w:sz w:val="19"/>
        </w:rPr>
        <w:t xml:space="preserve"> </w:t>
      </w:r>
      <w:r>
        <w:rPr>
          <w:sz w:val="19"/>
        </w:rPr>
        <w:t>Directorio</w:t>
      </w:r>
      <w:r>
        <w:rPr>
          <w:spacing w:val="-2"/>
          <w:sz w:val="19"/>
        </w:rPr>
        <w:t xml:space="preserve"> </w:t>
      </w:r>
      <w:r>
        <w:rPr>
          <w:sz w:val="19"/>
        </w:rPr>
        <w:t>en</w:t>
      </w:r>
      <w:r>
        <w:rPr>
          <w:spacing w:val="-2"/>
          <w:sz w:val="19"/>
        </w:rPr>
        <w:t xml:space="preserve"> </w:t>
      </w:r>
      <w:r>
        <w:rPr>
          <w:sz w:val="19"/>
        </w:rPr>
        <w:t>que</w:t>
      </w:r>
      <w:r>
        <w:rPr>
          <w:spacing w:val="-2"/>
          <w:sz w:val="19"/>
        </w:rPr>
        <w:t xml:space="preserve"> </w:t>
      </w:r>
      <w:r>
        <w:rPr>
          <w:sz w:val="19"/>
        </w:rPr>
        <w:t>se</w:t>
      </w:r>
      <w:r>
        <w:rPr>
          <w:spacing w:val="-2"/>
          <w:sz w:val="19"/>
        </w:rPr>
        <w:t xml:space="preserve"> </w:t>
      </w:r>
      <w:r>
        <w:rPr>
          <w:sz w:val="19"/>
        </w:rPr>
        <w:t>evaluará</w:t>
      </w:r>
      <w:r>
        <w:rPr>
          <w:spacing w:val="-2"/>
          <w:sz w:val="19"/>
        </w:rPr>
        <w:t xml:space="preserve"> </w:t>
      </w:r>
      <w:r>
        <w:rPr>
          <w:sz w:val="19"/>
        </w:rPr>
        <w:t>el</w:t>
      </w:r>
      <w:r>
        <w:rPr>
          <w:spacing w:val="-3"/>
          <w:sz w:val="19"/>
        </w:rPr>
        <w:t xml:space="preserve"> </w:t>
      </w:r>
      <w:r>
        <w:rPr>
          <w:sz w:val="19"/>
        </w:rPr>
        <w:t>Programa</w:t>
      </w:r>
      <w:r>
        <w:rPr>
          <w:spacing w:val="-2"/>
          <w:sz w:val="19"/>
        </w:rPr>
        <w:t xml:space="preserve"> </w:t>
      </w:r>
      <w:r>
        <w:rPr>
          <w:sz w:val="19"/>
        </w:rPr>
        <w:t>Monetario</w:t>
      </w:r>
      <w:r>
        <w:rPr>
          <w:spacing w:val="-2"/>
          <w:sz w:val="19"/>
        </w:rPr>
        <w:t xml:space="preserve"> </w:t>
      </w:r>
      <w:r>
        <w:rPr>
          <w:sz w:val="19"/>
        </w:rPr>
        <w:t>está</w:t>
      </w:r>
      <w:r>
        <w:rPr>
          <w:spacing w:val="-2"/>
          <w:sz w:val="19"/>
        </w:rPr>
        <w:t xml:space="preserve"> </w:t>
      </w:r>
      <w:r>
        <w:rPr>
          <w:sz w:val="19"/>
        </w:rPr>
        <w:t>programada</w:t>
      </w:r>
      <w:r>
        <w:rPr>
          <w:spacing w:val="-2"/>
          <w:sz w:val="19"/>
        </w:rPr>
        <w:t xml:space="preserve"> </w:t>
      </w:r>
      <w:r>
        <w:rPr>
          <w:sz w:val="19"/>
        </w:rPr>
        <w:t>para</w:t>
      </w:r>
      <w:r>
        <w:rPr>
          <w:spacing w:val="-2"/>
          <w:sz w:val="19"/>
        </w:rPr>
        <w:t xml:space="preserve"> </w:t>
      </w:r>
      <w:r>
        <w:rPr>
          <w:sz w:val="19"/>
        </w:rPr>
        <w:t>el</w:t>
      </w:r>
      <w:r>
        <w:rPr>
          <w:spacing w:val="-3"/>
          <w:sz w:val="19"/>
        </w:rPr>
        <w:t xml:space="preserve"> </w:t>
      </w:r>
      <w:r w:rsidR="00CB482B">
        <w:rPr>
          <w:sz w:val="19"/>
        </w:rPr>
        <w:t>13</w:t>
      </w:r>
      <w:r>
        <w:rPr>
          <w:spacing w:val="-2"/>
          <w:sz w:val="19"/>
        </w:rPr>
        <w:t xml:space="preserve"> </w:t>
      </w:r>
      <w:r w:rsidR="00CB482B">
        <w:rPr>
          <w:sz w:val="19"/>
        </w:rPr>
        <w:t>de febrero</w:t>
      </w:r>
      <w:r>
        <w:rPr>
          <w:sz w:val="19"/>
        </w:rPr>
        <w:t xml:space="preserve"> de 2025.</w:t>
      </w:r>
    </w:p>
    <w:p w14:paraId="2F4B3776" w14:textId="77777777" w:rsidR="0040715B" w:rsidRDefault="0040715B">
      <w:pPr>
        <w:pStyle w:val="Textoindependiente"/>
        <w:jc w:val="left"/>
      </w:pPr>
    </w:p>
    <w:p w14:paraId="739B7B76" w14:textId="77777777" w:rsidR="0040715B" w:rsidRDefault="0040715B">
      <w:pPr>
        <w:pStyle w:val="Textoindependiente"/>
        <w:jc w:val="left"/>
      </w:pPr>
    </w:p>
    <w:p w14:paraId="2EDC56A7" w14:textId="77777777" w:rsidR="0040715B" w:rsidRDefault="0040715B">
      <w:pPr>
        <w:pStyle w:val="Textoindependiente"/>
        <w:jc w:val="left"/>
      </w:pPr>
    </w:p>
    <w:p w14:paraId="55F51703" w14:textId="77777777" w:rsidR="0040715B" w:rsidRDefault="0040715B">
      <w:pPr>
        <w:pStyle w:val="Textoindependiente"/>
        <w:spacing w:before="20"/>
        <w:jc w:val="left"/>
      </w:pPr>
    </w:p>
    <w:p w14:paraId="3680BFD5" w14:textId="097CAD79" w:rsidR="0040715B" w:rsidRDefault="008751A8">
      <w:pPr>
        <w:pStyle w:val="Textoindependiente"/>
        <w:ind w:left="28"/>
        <w:jc w:val="left"/>
      </w:pPr>
      <w:r>
        <w:t>Lima,</w:t>
      </w:r>
      <w:r>
        <w:rPr>
          <w:spacing w:val="-4"/>
        </w:rPr>
        <w:t xml:space="preserve"> </w:t>
      </w:r>
      <w:r w:rsidR="00375CE8">
        <w:t>0</w:t>
      </w:r>
      <w:r w:rsidR="00CB482B">
        <w:t>9</w:t>
      </w:r>
      <w:r>
        <w:rPr>
          <w:spacing w:val="-3"/>
        </w:rPr>
        <w:t xml:space="preserve"> </w:t>
      </w:r>
      <w:r>
        <w:t>de</w:t>
      </w:r>
      <w:r w:rsidR="00CB482B">
        <w:rPr>
          <w:spacing w:val="-4"/>
        </w:rPr>
        <w:t xml:space="preserve"> enero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2025</w:t>
      </w:r>
    </w:p>
    <w:sectPr w:rsidR="0040715B">
      <w:type w:val="continuous"/>
      <w:pgSz w:w="11910" w:h="16840"/>
      <w:pgMar w:top="130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3786D"/>
    <w:multiLevelType w:val="hybridMultilevel"/>
    <w:tmpl w:val="8D94E43C"/>
    <w:lvl w:ilvl="0" w:tplc="5E24E420">
      <w:start w:val="1"/>
      <w:numFmt w:val="decimal"/>
      <w:lvlText w:val="%1."/>
      <w:lvlJc w:val="left"/>
      <w:pPr>
        <w:ind w:left="539" w:hanging="393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19"/>
        <w:szCs w:val="19"/>
        <w:lang w:val="es-ES" w:eastAsia="en-US" w:bidi="ar-SA"/>
      </w:rPr>
    </w:lvl>
    <w:lvl w:ilvl="1" w:tplc="1DCA59FE">
      <w:start w:val="1"/>
      <w:numFmt w:val="lowerRoman"/>
      <w:lvlText w:val="%2."/>
      <w:lvlJc w:val="left"/>
      <w:pPr>
        <w:ind w:left="964" w:hanging="2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19"/>
        <w:szCs w:val="19"/>
        <w:lang w:val="es-ES" w:eastAsia="en-US" w:bidi="ar-SA"/>
      </w:rPr>
    </w:lvl>
    <w:lvl w:ilvl="2" w:tplc="FA0AF814">
      <w:numFmt w:val="bullet"/>
      <w:lvlText w:val="•"/>
      <w:lvlJc w:val="left"/>
      <w:pPr>
        <w:ind w:left="1940" w:hanging="285"/>
      </w:pPr>
      <w:rPr>
        <w:rFonts w:hint="default"/>
        <w:lang w:val="es-ES" w:eastAsia="en-US" w:bidi="ar-SA"/>
      </w:rPr>
    </w:lvl>
    <w:lvl w:ilvl="3" w:tplc="D96472DE">
      <w:numFmt w:val="bullet"/>
      <w:lvlText w:val="•"/>
      <w:lvlJc w:val="left"/>
      <w:pPr>
        <w:ind w:left="2921" w:hanging="285"/>
      </w:pPr>
      <w:rPr>
        <w:rFonts w:hint="default"/>
        <w:lang w:val="es-ES" w:eastAsia="en-US" w:bidi="ar-SA"/>
      </w:rPr>
    </w:lvl>
    <w:lvl w:ilvl="4" w:tplc="529EFA84">
      <w:numFmt w:val="bullet"/>
      <w:lvlText w:val="•"/>
      <w:lvlJc w:val="left"/>
      <w:pPr>
        <w:ind w:left="3901" w:hanging="285"/>
      </w:pPr>
      <w:rPr>
        <w:rFonts w:hint="default"/>
        <w:lang w:val="es-ES" w:eastAsia="en-US" w:bidi="ar-SA"/>
      </w:rPr>
    </w:lvl>
    <w:lvl w:ilvl="5" w:tplc="3FEA7F3C">
      <w:numFmt w:val="bullet"/>
      <w:lvlText w:val="•"/>
      <w:lvlJc w:val="left"/>
      <w:pPr>
        <w:ind w:left="4882" w:hanging="285"/>
      </w:pPr>
      <w:rPr>
        <w:rFonts w:hint="default"/>
        <w:lang w:val="es-ES" w:eastAsia="en-US" w:bidi="ar-SA"/>
      </w:rPr>
    </w:lvl>
    <w:lvl w:ilvl="6" w:tplc="9BBABA8E">
      <w:numFmt w:val="bullet"/>
      <w:lvlText w:val="•"/>
      <w:lvlJc w:val="left"/>
      <w:pPr>
        <w:ind w:left="5862" w:hanging="285"/>
      </w:pPr>
      <w:rPr>
        <w:rFonts w:hint="default"/>
        <w:lang w:val="es-ES" w:eastAsia="en-US" w:bidi="ar-SA"/>
      </w:rPr>
    </w:lvl>
    <w:lvl w:ilvl="7" w:tplc="4C12B594">
      <w:numFmt w:val="bullet"/>
      <w:lvlText w:val="•"/>
      <w:lvlJc w:val="left"/>
      <w:pPr>
        <w:ind w:left="6843" w:hanging="285"/>
      </w:pPr>
      <w:rPr>
        <w:rFonts w:hint="default"/>
        <w:lang w:val="es-ES" w:eastAsia="en-US" w:bidi="ar-SA"/>
      </w:rPr>
    </w:lvl>
    <w:lvl w:ilvl="8" w:tplc="7E8E8D60">
      <w:numFmt w:val="bullet"/>
      <w:lvlText w:val="•"/>
      <w:lvlJc w:val="left"/>
      <w:pPr>
        <w:ind w:left="7823" w:hanging="28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715B"/>
    <w:rsid w:val="00022B96"/>
    <w:rsid w:val="0028207D"/>
    <w:rsid w:val="002B0367"/>
    <w:rsid w:val="00375CE8"/>
    <w:rsid w:val="0040715B"/>
    <w:rsid w:val="004266CC"/>
    <w:rsid w:val="004378AB"/>
    <w:rsid w:val="00685494"/>
    <w:rsid w:val="008751A8"/>
    <w:rsid w:val="00885DC8"/>
    <w:rsid w:val="008B7A5D"/>
    <w:rsid w:val="00950248"/>
    <w:rsid w:val="00A332AD"/>
    <w:rsid w:val="00B230BF"/>
    <w:rsid w:val="00C062DA"/>
    <w:rsid w:val="00CB482B"/>
    <w:rsid w:val="00F04792"/>
    <w:rsid w:val="00FE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A88C9"/>
  <w15:docId w15:val="{8260DC39-7667-4728-A733-8F53C93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jc w:val="both"/>
    </w:pPr>
    <w:rPr>
      <w:sz w:val="19"/>
      <w:szCs w:val="19"/>
    </w:rPr>
  </w:style>
  <w:style w:type="paragraph" w:styleId="Puesto">
    <w:name w:val="Title"/>
    <w:basedOn w:val="Normal"/>
    <w:uiPriority w:val="10"/>
    <w:qFormat/>
    <w:pPr>
      <w:spacing w:before="7"/>
      <w:ind w:left="1449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ind w:left="539" w:right="249" w:hanging="28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Curso</cp:lastModifiedBy>
  <cp:revision>8</cp:revision>
  <dcterms:created xsi:type="dcterms:W3CDTF">2025-03-29T19:41:00Z</dcterms:created>
  <dcterms:modified xsi:type="dcterms:W3CDTF">2025-04-01T16:55:00Z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2025-03-29T00:00:00Z</vt:filetime>
  </property>
</Properties>
</file>