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66896" w14:textId="6A00ED9F" w:rsidR="00B33A94" w:rsidRPr="00B33A94" w:rsidRDefault="00B33A94" w:rsidP="00B33A94">
      <w:pPr>
        <w:jc w:val="center"/>
        <w:rPr>
          <w:b/>
          <w:bCs/>
        </w:rPr>
      </w:pPr>
      <w:r w:rsidRPr="00B33A94">
        <w:rPr>
          <w:b/>
          <w:bCs/>
        </w:rPr>
        <w:t>INSUMO PÓSTER</w:t>
      </w:r>
    </w:p>
    <w:p w14:paraId="6EC5CEB5" w14:textId="736C08B1" w:rsidR="00DB6957" w:rsidRPr="00B33A94" w:rsidRDefault="00B33A94">
      <w:pPr>
        <w:rPr>
          <w:rFonts w:hint="cs"/>
          <w:b/>
          <w:bCs/>
          <w:color w:val="C00000"/>
        </w:rPr>
      </w:pPr>
      <w:r w:rsidRPr="00B33A94">
        <w:rPr>
          <w:b/>
          <w:bCs/>
          <w:color w:val="C00000"/>
        </w:rPr>
        <w:t xml:space="preserve">OBJETIVO </w:t>
      </w:r>
    </w:p>
    <w:p w14:paraId="28D1D76D" w14:textId="77777777" w:rsidR="00B33A94" w:rsidRPr="00B33A94" w:rsidRDefault="00B33A94">
      <w:pPr>
        <w:rPr>
          <w:rFonts w:hint="cs"/>
        </w:rPr>
      </w:pPr>
    </w:p>
    <w:p w14:paraId="02D7FF76" w14:textId="77777777" w:rsidR="00B33A94" w:rsidRPr="00B33A94" w:rsidRDefault="00B33A94" w:rsidP="00B33A94">
      <w:pPr>
        <w:spacing w:before="100" w:beforeAutospacing="1" w:after="100" w:afterAutospacing="1"/>
        <w:rPr>
          <w:rFonts w:hint="cs"/>
        </w:rPr>
      </w:pPr>
      <w:r w:rsidRPr="00B33A94">
        <w:rPr>
          <w:rFonts w:hint="cs"/>
          <w:b/>
          <w:bCs/>
        </w:rPr>
        <w:t>Objetivo</w:t>
      </w:r>
    </w:p>
    <w:p w14:paraId="33700C63" w14:textId="77777777" w:rsidR="00B33A94" w:rsidRPr="00B33A94" w:rsidRDefault="00B33A94" w:rsidP="00B33A94">
      <w:pPr>
        <w:spacing w:before="100" w:beforeAutospacing="1" w:after="100" w:afterAutospacing="1"/>
        <w:rPr>
          <w:rFonts w:hint="cs"/>
        </w:rPr>
      </w:pPr>
      <w:r w:rsidRPr="00B33A94">
        <w:rPr>
          <w:rFonts w:hint="cs"/>
        </w:rPr>
        <w:t>Cuantificar el efecto causal de recibir un regalo de un partido político en la probabilidad de que un ciudadano se identifique con ese mismo partido, usando Propensity Score Matching para controlar por diferencias observables.</w:t>
      </w:r>
    </w:p>
    <w:p w14:paraId="6C98067C" w14:textId="77777777" w:rsidR="00B33A94" w:rsidRPr="00B33A94" w:rsidRDefault="00AC5B9E" w:rsidP="00B33A94">
      <w:pPr>
        <w:rPr>
          <w:rFonts w:hint="cs"/>
        </w:rPr>
      </w:pPr>
      <w:r w:rsidRPr="00AC5B9E">
        <w:rPr>
          <w:noProof/>
          <w14:ligatures w14:val="standardContextual"/>
        </w:rPr>
        <w:pict w14:anchorId="23391C6E">
          <v:rect id="_x0000_i1031" alt="" style="width:441.9pt;height:.05pt;mso-width-percent:0;mso-height-percent:0;mso-width-percent:0;mso-height-percent:0" o:hralign="center" o:hrstd="t" o:hr="t" fillcolor="#a0a0a0" stroked="f"/>
        </w:pict>
      </w:r>
    </w:p>
    <w:p w14:paraId="1C8A01AE" w14:textId="0CF02299" w:rsidR="00B33A94" w:rsidRPr="00B33A94" w:rsidRDefault="00B33A94" w:rsidP="00B33A94">
      <w:pPr>
        <w:spacing w:before="100" w:beforeAutospacing="1" w:after="100" w:afterAutospacing="1"/>
        <w:rPr>
          <w:rFonts w:hint="cs"/>
        </w:rPr>
      </w:pPr>
      <w:r w:rsidRPr="00B33A94">
        <w:rPr>
          <w:rFonts w:hint="cs"/>
          <w:b/>
          <w:bCs/>
        </w:rPr>
        <w:t>Hipótesis principal</w:t>
      </w:r>
    </w:p>
    <w:p w14:paraId="756F24A8" w14:textId="77777777" w:rsidR="00B33A94" w:rsidRPr="00B33A94" w:rsidRDefault="00B33A94" w:rsidP="00B33A94">
      <w:pPr>
        <w:rPr>
          <w:rFonts w:hint="cs"/>
          <w:color w:val="0E0E0E"/>
        </w:rPr>
      </w:pPr>
      <w:r w:rsidRPr="00B33A94">
        <w:rPr>
          <w:rFonts w:hint="cs"/>
          <w:b/>
          <w:bCs/>
          <w:color w:val="0E0E0E"/>
        </w:rPr>
        <w:t>H₁</w:t>
      </w:r>
      <w:r w:rsidRPr="00B33A94">
        <w:rPr>
          <w:rFonts w:hint="cs"/>
          <w:color w:val="0E0E0E"/>
        </w:rPr>
        <w:t>: Los individuos que reciben un regalo de un partido tienen mayor probabilidad de identificarse con ese partido, en comparación con un contrafactual emparejado que no recibe regalo.</w:t>
      </w:r>
    </w:p>
    <w:p w14:paraId="43DE46EE" w14:textId="77777777" w:rsidR="00B33A94" w:rsidRPr="00B33A94" w:rsidRDefault="00B33A94" w:rsidP="00B33A94">
      <w:pPr>
        <w:rPr>
          <w:rFonts w:hint="cs"/>
          <w:color w:val="0E0E0E"/>
        </w:rPr>
      </w:pPr>
    </w:p>
    <w:p w14:paraId="4153E2B7" w14:textId="77777777" w:rsidR="00B33A94" w:rsidRPr="00B33A94" w:rsidRDefault="00B33A94" w:rsidP="00B33A94">
      <w:pPr>
        <w:rPr>
          <w:rFonts w:hint="cs"/>
          <w:color w:val="0E0E0E"/>
        </w:rPr>
      </w:pPr>
      <w:r w:rsidRPr="00B33A94">
        <w:rPr>
          <w:rFonts w:hint="cs"/>
          <w:b/>
          <w:bCs/>
          <w:color w:val="0E0E0E"/>
        </w:rPr>
        <w:t>H₀</w:t>
      </w:r>
      <w:r w:rsidRPr="00B33A94">
        <w:rPr>
          <w:rFonts w:hint="cs"/>
          <w:color w:val="0E0E0E"/>
        </w:rPr>
        <w:t>: Recibir un regalo de un partido no altera la probabilidad de identificación partidaria.</w:t>
      </w:r>
    </w:p>
    <w:p w14:paraId="4A2D608B" w14:textId="77777777" w:rsidR="00B33A94" w:rsidRPr="00B33A94" w:rsidRDefault="00AC5B9E" w:rsidP="00B33A94">
      <w:pPr>
        <w:rPr>
          <w:rFonts w:hint="cs"/>
        </w:rPr>
      </w:pPr>
      <w:r w:rsidRPr="00AC5B9E">
        <w:rPr>
          <w:noProof/>
          <w14:ligatures w14:val="standardContextual"/>
        </w:rPr>
        <w:pict w14:anchorId="610473B6">
          <v:rect id="_x0000_i1030" alt="" style="width:441.9pt;height:.05pt;mso-width-percent:0;mso-height-percent:0;mso-width-percent:0;mso-height-percent:0" o:hralign="center" o:hrstd="t" o:hr="t" fillcolor="#a0a0a0" stroked="f"/>
        </w:pict>
      </w:r>
    </w:p>
    <w:p w14:paraId="49DD9B13" w14:textId="77777777" w:rsidR="00B33A94" w:rsidRPr="00B33A94" w:rsidRDefault="00B33A94" w:rsidP="00B33A94">
      <w:pPr>
        <w:spacing w:before="100" w:beforeAutospacing="1" w:after="100" w:afterAutospacing="1"/>
        <w:rPr>
          <w:rFonts w:hint="cs"/>
        </w:rPr>
      </w:pPr>
      <w:r w:rsidRPr="00B33A94">
        <w:rPr>
          <w:rFonts w:hint="cs"/>
        </w:rPr>
        <w:t>En tu póster podrías presentarlo así:</w:t>
      </w:r>
    </w:p>
    <w:p w14:paraId="5592F4ED" w14:textId="77777777" w:rsidR="00B33A94" w:rsidRPr="00B33A94" w:rsidRDefault="00B33A94" w:rsidP="00B33A94">
      <w:pPr>
        <w:numPr>
          <w:ilvl w:val="0"/>
          <w:numId w:val="4"/>
        </w:numPr>
        <w:spacing w:before="100" w:beforeAutospacing="1" w:after="100" w:afterAutospacing="1"/>
        <w:rPr>
          <w:rFonts w:hint="cs"/>
        </w:rPr>
      </w:pPr>
      <w:r w:rsidRPr="00B33A94">
        <w:rPr>
          <w:rFonts w:hint="cs"/>
          <w:b/>
          <w:bCs/>
        </w:rPr>
        <w:t>Pregunta</w:t>
      </w:r>
    </w:p>
    <w:p w14:paraId="01CB1DD0" w14:textId="77777777" w:rsidR="00B33A94" w:rsidRPr="00B33A94" w:rsidRDefault="00B33A94" w:rsidP="00B33A94">
      <w:pPr>
        <w:spacing w:beforeAutospacing="1" w:afterAutospacing="1"/>
        <w:ind w:left="945"/>
        <w:rPr>
          <w:rFonts w:hint="cs"/>
          <w:color w:val="0E0E0E"/>
        </w:rPr>
      </w:pPr>
      <w:r w:rsidRPr="00B33A94">
        <w:rPr>
          <w:rFonts w:hint="cs"/>
          <w:color w:val="0E0E0E"/>
        </w:rPr>
        <w:t>¿Hasta qué punto el regalo de “clientelismo” fortalece la identificación partidaria?</w:t>
      </w:r>
    </w:p>
    <w:p w14:paraId="684375BF" w14:textId="77777777" w:rsidR="00B33A94" w:rsidRPr="00B33A94" w:rsidRDefault="00B33A94" w:rsidP="00B33A94">
      <w:pPr>
        <w:numPr>
          <w:ilvl w:val="0"/>
          <w:numId w:val="4"/>
        </w:numPr>
        <w:spacing w:before="100" w:beforeAutospacing="1" w:after="100" w:afterAutospacing="1"/>
        <w:rPr>
          <w:rFonts w:hint="cs"/>
        </w:rPr>
      </w:pPr>
      <w:r w:rsidRPr="00B33A94">
        <w:rPr>
          <w:rFonts w:hint="cs"/>
          <w:b/>
          <w:bCs/>
        </w:rPr>
        <w:t>Objetivo</w:t>
      </w:r>
    </w:p>
    <w:p w14:paraId="7F0921A3" w14:textId="77777777" w:rsidR="00B33A94" w:rsidRPr="00B33A94" w:rsidRDefault="00B33A94" w:rsidP="00B33A94">
      <w:pPr>
        <w:spacing w:beforeAutospacing="1" w:afterAutospacing="1"/>
        <w:ind w:left="945"/>
        <w:rPr>
          <w:rFonts w:hint="cs"/>
          <w:color w:val="0E0E0E"/>
        </w:rPr>
      </w:pPr>
      <w:r w:rsidRPr="00B33A94">
        <w:rPr>
          <w:rFonts w:hint="cs"/>
          <w:color w:val="0E0E0E"/>
        </w:rPr>
        <w:t>Estimar el Incremento en la Probabilidad de Party-ID atribuible a recibir un regalo, aislando ese efecto con PSM.</w:t>
      </w:r>
    </w:p>
    <w:p w14:paraId="1C5C67B9" w14:textId="77777777" w:rsidR="00B33A94" w:rsidRPr="00B33A94" w:rsidRDefault="00B33A94" w:rsidP="00B33A94">
      <w:pPr>
        <w:numPr>
          <w:ilvl w:val="0"/>
          <w:numId w:val="4"/>
        </w:numPr>
        <w:spacing w:before="100" w:beforeAutospacing="1" w:after="100" w:afterAutospacing="1"/>
        <w:rPr>
          <w:rFonts w:hint="cs"/>
        </w:rPr>
      </w:pPr>
      <w:r w:rsidRPr="00B33A94">
        <w:rPr>
          <w:rFonts w:hint="cs"/>
          <w:b/>
          <w:bCs/>
        </w:rPr>
        <w:t>Hipótesis</w:t>
      </w:r>
    </w:p>
    <w:p w14:paraId="2003E147" w14:textId="77777777" w:rsidR="00B33A94" w:rsidRPr="00B33A94" w:rsidRDefault="00B33A94" w:rsidP="00B33A94">
      <w:pPr>
        <w:spacing w:beforeAutospacing="1" w:afterAutospacing="1"/>
        <w:ind w:left="945"/>
        <w:rPr>
          <w:rFonts w:hint="cs"/>
          <w:color w:val="0E0E0E"/>
        </w:rPr>
      </w:pPr>
      <w:r w:rsidRPr="00B33A94">
        <w:rPr>
          <w:rFonts w:hint="cs"/>
          <w:b/>
          <w:bCs/>
          <w:color w:val="0E0E0E"/>
        </w:rPr>
        <w:t>H₁</w:t>
      </w:r>
      <w:r w:rsidRPr="00B33A94">
        <w:rPr>
          <w:rFonts w:hint="cs"/>
          <w:color w:val="0E0E0E"/>
        </w:rPr>
        <w:t xml:space="preserve">: </w:t>
      </w:r>
      <w:r w:rsidRPr="00B33A94">
        <w:rPr>
          <w:rFonts w:ascii="Cambria Math" w:hAnsi="Cambria Math" w:cs="Cambria Math"/>
          <w:color w:val="0E0E0E"/>
        </w:rPr>
        <w:t>𝑃</w:t>
      </w:r>
      <w:r w:rsidRPr="00B33A94">
        <w:rPr>
          <w:rFonts w:hint="cs"/>
          <w:color w:val="0E0E0E"/>
        </w:rPr>
        <w:t xml:space="preserve">(ID=1 | regalo=1) &gt; </w:t>
      </w:r>
      <w:r w:rsidRPr="00B33A94">
        <w:rPr>
          <w:rFonts w:ascii="Cambria Math" w:hAnsi="Cambria Math" w:cs="Cambria Math"/>
          <w:color w:val="0E0E0E"/>
        </w:rPr>
        <w:t>𝑃</w:t>
      </w:r>
      <w:r w:rsidRPr="00B33A94">
        <w:rPr>
          <w:rFonts w:hint="cs"/>
          <w:color w:val="0E0E0E"/>
        </w:rPr>
        <w:t>(ID=1 | regalo=0) aún tras emparejar en todas las covariables observables.</w:t>
      </w:r>
    </w:p>
    <w:p w14:paraId="26ADD039" w14:textId="77777777" w:rsidR="00B33A94" w:rsidRPr="00B33A94" w:rsidRDefault="00B33A94">
      <w:pPr>
        <w:rPr>
          <w:rFonts w:hint="cs"/>
        </w:rPr>
      </w:pPr>
    </w:p>
    <w:p w14:paraId="7A668E7A" w14:textId="15B0CB86" w:rsidR="00B33A94" w:rsidRPr="00B33A94" w:rsidRDefault="00B33A94">
      <w:pPr>
        <w:rPr>
          <w:rFonts w:hint="cs"/>
          <w:b/>
          <w:bCs/>
          <w:color w:val="C00000"/>
          <w:lang w:val="es-ES_tradnl"/>
        </w:rPr>
      </w:pPr>
      <w:r w:rsidRPr="00B33A94">
        <w:rPr>
          <w:b/>
          <w:bCs/>
          <w:color w:val="C00000"/>
        </w:rPr>
        <w:t>LITERATURA</w:t>
      </w:r>
    </w:p>
    <w:p w14:paraId="675D2DBB" w14:textId="77777777" w:rsidR="00B33A94" w:rsidRPr="00B33A94" w:rsidRDefault="00B33A94">
      <w:pPr>
        <w:rPr>
          <w:rFonts w:hint="cs"/>
          <w:lang w:val="en-US"/>
        </w:rPr>
      </w:pPr>
    </w:p>
    <w:p w14:paraId="60E1083C" w14:textId="0FB8D5CB" w:rsidR="00B33A94" w:rsidRPr="00B33A94" w:rsidRDefault="00B33A94" w:rsidP="00B33A94">
      <w:pPr>
        <w:spacing w:before="100" w:beforeAutospacing="1" w:after="100" w:afterAutospacing="1"/>
        <w:outlineLvl w:val="2"/>
        <w:rPr>
          <w:rFonts w:hint="cs"/>
          <w:b/>
          <w:bCs/>
          <w:lang w:val="en-US"/>
        </w:rPr>
      </w:pPr>
      <w:r w:rsidRPr="00B33A94">
        <w:rPr>
          <w:rFonts w:hint="cs"/>
          <w:b/>
          <w:bCs/>
          <w:lang w:val="en-US"/>
        </w:rPr>
        <w:t>1. Greene &amp; Lawson (2023)</w:t>
      </w:r>
    </w:p>
    <w:p w14:paraId="3405C003" w14:textId="77777777" w:rsidR="00B33A94" w:rsidRPr="00B33A94" w:rsidRDefault="00B33A94" w:rsidP="00B33A94">
      <w:pPr>
        <w:spacing w:before="100" w:beforeAutospacing="1" w:after="100" w:afterAutospacing="1"/>
        <w:rPr>
          <w:rFonts w:hint="cs"/>
          <w:lang w:val="en-US"/>
        </w:rPr>
      </w:pPr>
      <w:proofErr w:type="spellStart"/>
      <w:r w:rsidRPr="00B33A94">
        <w:rPr>
          <w:rFonts w:hint="cs"/>
          <w:b/>
          <w:bCs/>
          <w:lang w:val="en-US"/>
        </w:rPr>
        <w:t>Título</w:t>
      </w:r>
      <w:proofErr w:type="spellEnd"/>
      <w:r w:rsidRPr="00B33A94">
        <w:rPr>
          <w:rFonts w:hint="cs"/>
          <w:b/>
          <w:bCs/>
          <w:lang w:val="en-US"/>
        </w:rPr>
        <w:t>:</w:t>
      </w:r>
      <w:r w:rsidRPr="00B33A94">
        <w:rPr>
          <w:rFonts w:hint="cs"/>
          <w:lang w:val="en-US"/>
        </w:rPr>
        <w:t xml:space="preserve"> </w:t>
      </w:r>
      <w:r w:rsidRPr="00B33A94">
        <w:rPr>
          <w:rFonts w:hint="cs"/>
          <w:i/>
          <w:iCs/>
          <w:lang w:val="en-US"/>
        </w:rPr>
        <w:t>Making Clientelism Work: How Norms of Reciprocity Increase Voter Compliance</w:t>
      </w:r>
    </w:p>
    <w:p w14:paraId="5BA4013D" w14:textId="77777777" w:rsidR="00B33A94" w:rsidRPr="00B33A94" w:rsidRDefault="00B33A94" w:rsidP="00B33A94">
      <w:pPr>
        <w:numPr>
          <w:ilvl w:val="0"/>
          <w:numId w:val="3"/>
        </w:numPr>
        <w:spacing w:before="100" w:beforeAutospacing="1" w:after="100" w:afterAutospacing="1"/>
        <w:rPr>
          <w:rFonts w:hint="cs"/>
        </w:rPr>
      </w:pPr>
      <w:r w:rsidRPr="00B33A94">
        <w:rPr>
          <w:rFonts w:hint="cs"/>
          <w:b/>
          <w:bCs/>
        </w:rPr>
        <w:lastRenderedPageBreak/>
        <w:t>Relevancia:</w:t>
      </w:r>
      <w:r w:rsidRPr="00B33A94">
        <w:rPr>
          <w:rFonts w:hint="cs"/>
        </w:rPr>
        <w:t xml:space="preserve"> Argumentan que el clientelismo es más efectivo cuando apela a normas internalizadas como la reciprocidad.</w:t>
      </w:r>
    </w:p>
    <w:p w14:paraId="79CBC139" w14:textId="31DE4EB2" w:rsidR="00B33A94" w:rsidRPr="00B33A94" w:rsidRDefault="00B33A94" w:rsidP="00B33A94">
      <w:pPr>
        <w:numPr>
          <w:ilvl w:val="0"/>
          <w:numId w:val="3"/>
        </w:numPr>
        <w:spacing w:before="100" w:beforeAutospacing="1" w:after="100" w:afterAutospacing="1"/>
        <w:rPr>
          <w:rFonts w:hint="cs"/>
        </w:rPr>
      </w:pPr>
      <w:r w:rsidRPr="00B33A94">
        <w:rPr>
          <w:rFonts w:hint="cs"/>
          <w:b/>
          <w:bCs/>
        </w:rPr>
        <w:t>Conexión con tu argumento:</w:t>
      </w:r>
      <w:r w:rsidRPr="00B33A94">
        <w:rPr>
          <w:rFonts w:hint="cs"/>
        </w:rPr>
        <w:t xml:space="preserve"> Si el regalo activa normas de reciprocidad, es plausible que también fortalezca la identificación partidaria.</w:t>
      </w:r>
    </w:p>
    <w:p w14:paraId="28F0EE9D" w14:textId="7808B7B8" w:rsidR="00B33A94" w:rsidRPr="00B33A94" w:rsidRDefault="00B33A94" w:rsidP="00B33A94">
      <w:pPr>
        <w:spacing w:before="100" w:beforeAutospacing="1" w:after="100" w:afterAutospacing="1"/>
        <w:outlineLvl w:val="2"/>
        <w:rPr>
          <w:rFonts w:hint="cs"/>
          <w:b/>
          <w:bCs/>
          <w:lang w:val="en-US"/>
        </w:rPr>
      </w:pPr>
      <w:r w:rsidRPr="00B33A94">
        <w:rPr>
          <w:rFonts w:hint="cs"/>
          <w:b/>
          <w:bCs/>
          <w:lang w:val="en-US"/>
        </w:rPr>
        <w:t>3. Stokes (2009)</w:t>
      </w:r>
    </w:p>
    <w:p w14:paraId="3DFEBD8D" w14:textId="77777777" w:rsidR="00B33A94" w:rsidRPr="00B33A94" w:rsidRDefault="00B33A94" w:rsidP="00B33A94">
      <w:pPr>
        <w:spacing w:before="100" w:beforeAutospacing="1" w:after="100" w:afterAutospacing="1"/>
        <w:rPr>
          <w:rFonts w:hint="cs"/>
          <w:lang w:val="en-US"/>
        </w:rPr>
      </w:pPr>
      <w:proofErr w:type="spellStart"/>
      <w:r w:rsidRPr="00B33A94">
        <w:rPr>
          <w:rFonts w:hint="cs"/>
          <w:b/>
          <w:bCs/>
          <w:lang w:val="en-US"/>
        </w:rPr>
        <w:t>Título</w:t>
      </w:r>
      <w:proofErr w:type="spellEnd"/>
      <w:r w:rsidRPr="00B33A94">
        <w:rPr>
          <w:rFonts w:hint="cs"/>
          <w:b/>
          <w:bCs/>
          <w:lang w:val="en-US"/>
        </w:rPr>
        <w:t>:</w:t>
      </w:r>
      <w:r w:rsidRPr="00B33A94">
        <w:rPr>
          <w:rFonts w:hint="cs"/>
          <w:lang w:val="en-US"/>
        </w:rPr>
        <w:t xml:space="preserve"> </w:t>
      </w:r>
      <w:r w:rsidRPr="00B33A94">
        <w:rPr>
          <w:rFonts w:hint="cs"/>
          <w:i/>
          <w:iCs/>
          <w:lang w:val="en-US"/>
        </w:rPr>
        <w:t>Clientelism and Development: Is There a Poverty Trap?</w:t>
      </w:r>
    </w:p>
    <w:p w14:paraId="70BA8CC2" w14:textId="77777777" w:rsidR="00B33A94" w:rsidRPr="00B33A94" w:rsidRDefault="00B33A94" w:rsidP="00B33A94">
      <w:pPr>
        <w:numPr>
          <w:ilvl w:val="0"/>
          <w:numId w:val="1"/>
        </w:numPr>
        <w:spacing w:before="100" w:beforeAutospacing="1" w:after="100" w:afterAutospacing="1"/>
        <w:rPr>
          <w:rFonts w:hint="cs"/>
        </w:rPr>
      </w:pPr>
      <w:r w:rsidRPr="00B33A94">
        <w:rPr>
          <w:rFonts w:hint="cs"/>
          <w:b/>
          <w:bCs/>
        </w:rPr>
        <w:t>Relevancia:</w:t>
      </w:r>
      <w:r w:rsidRPr="00B33A94">
        <w:rPr>
          <w:rFonts w:hint="cs"/>
        </w:rPr>
        <w:t xml:space="preserve"> Plantea que el clientelismo genera dependencia y vínculos duraderos entre votantes y partidos.</w:t>
      </w:r>
    </w:p>
    <w:p w14:paraId="63E48983" w14:textId="7B090119" w:rsidR="00B33A94" w:rsidRPr="00B33A94" w:rsidRDefault="00B33A94" w:rsidP="00B33A94">
      <w:pPr>
        <w:numPr>
          <w:ilvl w:val="0"/>
          <w:numId w:val="1"/>
        </w:numPr>
        <w:spacing w:before="100" w:beforeAutospacing="1" w:after="100" w:afterAutospacing="1"/>
        <w:rPr>
          <w:rFonts w:hint="cs"/>
        </w:rPr>
      </w:pPr>
      <w:r w:rsidRPr="00B33A94">
        <w:rPr>
          <w:rFonts w:hint="cs"/>
          <w:b/>
          <w:bCs/>
        </w:rPr>
        <w:t>Conexión:</w:t>
      </w:r>
      <w:r w:rsidRPr="00B33A94">
        <w:rPr>
          <w:rFonts w:hint="cs"/>
        </w:rPr>
        <w:t xml:space="preserve"> Argumenta que los beneficios privados crean equilibrios políticos estables donde los votantes internalizan lealtades partidarias.</w:t>
      </w:r>
    </w:p>
    <w:p w14:paraId="6C92A01D" w14:textId="6B924B79" w:rsidR="00B33A94" w:rsidRPr="00B33A94" w:rsidRDefault="00B33A94" w:rsidP="00B33A94">
      <w:pPr>
        <w:spacing w:before="100" w:beforeAutospacing="1" w:after="100" w:afterAutospacing="1"/>
        <w:outlineLvl w:val="2"/>
        <w:rPr>
          <w:rFonts w:hint="cs"/>
          <w:b/>
          <w:bCs/>
        </w:rPr>
      </w:pPr>
      <w:r w:rsidRPr="00B33A94">
        <w:rPr>
          <w:rFonts w:hint="cs"/>
          <w:b/>
          <w:bCs/>
        </w:rPr>
        <w:t>4. Simpser (2013)</w:t>
      </w:r>
    </w:p>
    <w:p w14:paraId="50157524" w14:textId="77777777" w:rsidR="00B33A94" w:rsidRPr="00B33A94" w:rsidRDefault="00B33A94" w:rsidP="00B33A94">
      <w:pPr>
        <w:spacing w:before="100" w:beforeAutospacing="1" w:after="100" w:afterAutospacing="1"/>
        <w:rPr>
          <w:rFonts w:hint="cs"/>
        </w:rPr>
      </w:pPr>
      <w:r w:rsidRPr="00B33A94">
        <w:rPr>
          <w:rFonts w:hint="cs"/>
          <w:b/>
          <w:bCs/>
        </w:rPr>
        <w:t>Título:</w:t>
      </w:r>
      <w:r w:rsidRPr="00B33A94">
        <w:rPr>
          <w:rFonts w:hint="cs"/>
        </w:rPr>
        <w:t xml:space="preserve"> </w:t>
      </w:r>
      <w:r w:rsidRPr="00B33A94">
        <w:rPr>
          <w:rFonts w:hint="cs"/>
          <w:i/>
          <w:iCs/>
        </w:rPr>
        <w:t>Clientelismo electoral, coacción y compra del voto en México</w:t>
      </w:r>
    </w:p>
    <w:p w14:paraId="623BC29D" w14:textId="77777777" w:rsidR="00B33A94" w:rsidRPr="00B33A94" w:rsidRDefault="00B33A94" w:rsidP="00B33A94">
      <w:pPr>
        <w:numPr>
          <w:ilvl w:val="0"/>
          <w:numId w:val="2"/>
        </w:numPr>
        <w:spacing w:before="100" w:beforeAutospacing="1" w:after="100" w:afterAutospacing="1"/>
        <w:rPr>
          <w:rFonts w:hint="cs"/>
        </w:rPr>
      </w:pPr>
      <w:r w:rsidRPr="00B33A94">
        <w:rPr>
          <w:rFonts w:hint="cs"/>
          <w:b/>
          <w:bCs/>
        </w:rPr>
        <w:t>Relevancia:</w:t>
      </w:r>
      <w:r w:rsidRPr="00B33A94">
        <w:rPr>
          <w:rFonts w:hint="cs"/>
        </w:rPr>
        <w:t xml:space="preserve"> Describe cómo las redes clientelares en México generan alineamientos políticos estables, incluso en democracia.</w:t>
      </w:r>
    </w:p>
    <w:p w14:paraId="29A5E764" w14:textId="77777777" w:rsidR="00B33A94" w:rsidRPr="00B33A94" w:rsidRDefault="00B33A94" w:rsidP="00B33A94">
      <w:pPr>
        <w:numPr>
          <w:ilvl w:val="0"/>
          <w:numId w:val="2"/>
        </w:numPr>
        <w:spacing w:before="100" w:beforeAutospacing="1" w:after="100" w:afterAutospacing="1"/>
        <w:rPr>
          <w:rFonts w:hint="cs"/>
        </w:rPr>
      </w:pPr>
      <w:r w:rsidRPr="00B33A94">
        <w:rPr>
          <w:rFonts w:hint="cs"/>
          <w:b/>
          <w:bCs/>
        </w:rPr>
        <w:t>Conexión:</w:t>
      </w:r>
      <w:r w:rsidRPr="00B33A94">
        <w:rPr>
          <w:rFonts w:hint="cs"/>
        </w:rPr>
        <w:t xml:space="preserve"> Refuerza la idea de que los intercambios clientelares pueden producir vínculos duraderos más allá de un ciclo electoral.</w:t>
      </w:r>
    </w:p>
    <w:p w14:paraId="118CDDF0" w14:textId="5742B0BA" w:rsidR="00B33A94" w:rsidRPr="00B33A94" w:rsidRDefault="00B33A94">
      <w:pPr>
        <w:rPr>
          <w:rFonts w:hint="cs"/>
          <w:b/>
          <w:bCs/>
          <w:color w:val="C00000"/>
        </w:rPr>
      </w:pPr>
      <w:r w:rsidRPr="00B33A94">
        <w:rPr>
          <w:b/>
          <w:bCs/>
          <w:color w:val="C00000"/>
        </w:rPr>
        <w:t xml:space="preserve">DATOS </w:t>
      </w:r>
    </w:p>
    <w:p w14:paraId="0558DFDB" w14:textId="77777777" w:rsidR="00B33A94" w:rsidRPr="00B33A94" w:rsidRDefault="00B33A94">
      <w:pPr>
        <w:rPr>
          <w:rFonts w:hint="cs"/>
        </w:rPr>
      </w:pPr>
    </w:p>
    <w:p w14:paraId="3D2DDB43" w14:textId="4C0CCC41" w:rsidR="00B33A94" w:rsidRPr="00B33A94" w:rsidRDefault="00B33A94" w:rsidP="00B33A94">
      <w:pPr>
        <w:rPr>
          <w:rFonts w:hint="cs"/>
        </w:rPr>
      </w:pPr>
      <w:r w:rsidRPr="00B33A94">
        <w:rPr>
          <w:rFonts w:hint="cs"/>
        </w:rPr>
        <w:t xml:space="preserve">Trabajo con </w:t>
      </w:r>
      <w:r w:rsidRPr="00B33A94">
        <w:rPr>
          <w:rFonts w:hint="cs"/>
        </w:rPr>
        <w:t xml:space="preserve">encuestas post electorales de </w:t>
      </w:r>
      <w:r w:rsidRPr="00B33A94">
        <w:rPr>
          <w:rFonts w:hint="cs"/>
        </w:rPr>
        <w:t xml:space="preserve">las </w:t>
      </w:r>
      <w:r w:rsidRPr="00B33A94">
        <w:rPr>
          <w:rFonts w:hint="cs"/>
        </w:rPr>
        <w:t>elecciones federales</w:t>
      </w:r>
      <w:r w:rsidRPr="00B33A94">
        <w:rPr>
          <w:rFonts w:hint="cs"/>
        </w:rPr>
        <w:t xml:space="preserve"> de 2000 a 2024</w:t>
      </w:r>
      <w:r w:rsidRPr="00B33A94">
        <w:rPr>
          <w:rFonts w:hint="cs"/>
        </w:rPr>
        <w:t>. L</w:t>
      </w:r>
      <w:r w:rsidRPr="00B33A94">
        <w:rPr>
          <w:rFonts w:hint="cs"/>
        </w:rPr>
        <w:t>os datos provienen d</w:t>
      </w:r>
      <w:r w:rsidRPr="00B33A94">
        <w:rPr>
          <w:rFonts w:hint="cs"/>
        </w:rPr>
        <w:t xml:space="preserve">el Estudio Nacional Electoral de México (ENEM-CSES) que es parte del Comparative Study of Electoral Systems. </w:t>
      </w:r>
      <w:r w:rsidRPr="00B33A94">
        <w:rPr>
          <w:rFonts w:hint="cs"/>
        </w:rPr>
        <w:t>Son en total 17,584 respuestas.</w:t>
      </w:r>
    </w:p>
    <w:p w14:paraId="11A38645" w14:textId="6CFACAE5" w:rsidR="00B33A94" w:rsidRPr="00B33A94" w:rsidRDefault="00B33A94" w:rsidP="00B33A94">
      <w:pPr>
        <w:rPr>
          <w:rFonts w:hint="cs"/>
        </w:rPr>
      </w:pPr>
    </w:p>
    <w:p w14:paraId="2A48B2B2" w14:textId="77777777" w:rsidR="00B33A94" w:rsidRPr="00B33A94" w:rsidRDefault="00B33A94" w:rsidP="00B33A94">
      <w:pPr>
        <w:rPr>
          <w:rFonts w:hint="cs"/>
        </w:rPr>
      </w:pPr>
    </w:p>
    <w:p w14:paraId="6CCDF24B" w14:textId="11550BAF" w:rsidR="00B33A94" w:rsidRPr="00B33A94" w:rsidRDefault="00B33A94">
      <w:pPr>
        <w:rPr>
          <w:b/>
          <w:bCs/>
          <w:color w:val="C00000"/>
        </w:rPr>
      </w:pPr>
      <w:r w:rsidRPr="00B33A94">
        <w:rPr>
          <w:b/>
          <w:bCs/>
          <w:color w:val="C00000"/>
        </w:rPr>
        <w:t xml:space="preserve">DISEÑO EMPÍRICO </w:t>
      </w:r>
    </w:p>
    <w:p w14:paraId="1E670E81" w14:textId="77777777" w:rsidR="00B33A94" w:rsidRDefault="00B33A94"/>
    <w:p w14:paraId="14585631" w14:textId="77777777" w:rsidR="00B33A94" w:rsidRPr="00B33A94" w:rsidRDefault="00B33A94" w:rsidP="00B33A94">
      <w:pPr>
        <w:spacing w:before="100" w:beforeAutospacing="1" w:after="100" w:afterAutospacing="1"/>
      </w:pPr>
      <w:r w:rsidRPr="00B33A94">
        <w:rPr>
          <w:b/>
          <w:bCs/>
        </w:rPr>
        <w:t>Sección: Diseño Empírico</w:t>
      </w:r>
    </w:p>
    <w:p w14:paraId="1BEF58DD" w14:textId="77777777" w:rsidR="00B33A94" w:rsidRPr="00B33A94" w:rsidRDefault="00B33A94" w:rsidP="00B33A94">
      <w:pPr>
        <w:numPr>
          <w:ilvl w:val="0"/>
          <w:numId w:val="5"/>
        </w:numPr>
        <w:spacing w:before="100" w:beforeAutospacing="1" w:after="100" w:afterAutospacing="1"/>
      </w:pPr>
      <w:r w:rsidRPr="00B33A94">
        <w:rPr>
          <w:b/>
          <w:bCs/>
        </w:rPr>
        <w:t>Definición del tratamiento y la muestra</w:t>
      </w:r>
    </w:p>
    <w:p w14:paraId="4830DF91" w14:textId="77777777" w:rsidR="00B33A94" w:rsidRPr="00B33A94" w:rsidRDefault="00B33A94" w:rsidP="00B33A94">
      <w:pPr>
        <w:numPr>
          <w:ilvl w:val="1"/>
          <w:numId w:val="5"/>
        </w:numPr>
        <w:spacing w:before="100" w:beforeAutospacing="1" w:after="100" w:afterAutospacing="1"/>
      </w:pPr>
      <w:r w:rsidRPr="00B33A94">
        <w:rPr>
          <w:b/>
          <w:bCs/>
        </w:rPr>
        <w:t>Tratamiento</w:t>
      </w:r>
      <w:r w:rsidRPr="00B33A94">
        <w:t>: dummy gift_PAN = 1 si el encuestado recibió un regalo del PAN, 0 si no.</w:t>
      </w:r>
    </w:p>
    <w:p w14:paraId="15FD89E1" w14:textId="77777777" w:rsidR="00B33A94" w:rsidRPr="00B33A94" w:rsidRDefault="00B33A94" w:rsidP="00B33A94">
      <w:pPr>
        <w:numPr>
          <w:ilvl w:val="1"/>
          <w:numId w:val="5"/>
        </w:numPr>
        <w:spacing w:before="100" w:beforeAutospacing="1" w:after="100" w:afterAutospacing="1"/>
      </w:pPr>
      <w:r w:rsidRPr="00B33A94">
        <w:rPr>
          <w:b/>
          <w:bCs/>
        </w:rPr>
        <w:t>Población</w:t>
      </w:r>
      <w:r w:rsidRPr="00B33A94">
        <w:t>: encuestas post-electorales federales (2000–2024), sólo adultos (≥18 años) con casos completos en las covariables relevantes.</w:t>
      </w:r>
    </w:p>
    <w:p w14:paraId="3A9F4C2A" w14:textId="77777777" w:rsidR="00B33A94" w:rsidRPr="00B33A94" w:rsidRDefault="00B33A94" w:rsidP="00B33A94">
      <w:pPr>
        <w:numPr>
          <w:ilvl w:val="0"/>
          <w:numId w:val="5"/>
        </w:numPr>
        <w:spacing w:before="100" w:beforeAutospacing="1" w:after="100" w:afterAutospacing="1"/>
      </w:pPr>
      <w:r w:rsidRPr="00B33A94">
        <w:rPr>
          <w:b/>
          <w:bCs/>
        </w:rPr>
        <w:t>Estimación del Propensity Score</w:t>
      </w:r>
    </w:p>
    <w:p w14:paraId="0C39AF6B" w14:textId="77777777" w:rsidR="00B33A94" w:rsidRPr="00B33A94" w:rsidRDefault="00B33A94" w:rsidP="00B33A94">
      <w:pPr>
        <w:numPr>
          <w:ilvl w:val="1"/>
          <w:numId w:val="5"/>
        </w:numPr>
        <w:spacing w:before="100" w:beforeAutospacing="1" w:after="100" w:afterAutospacing="1"/>
      </w:pPr>
      <w:r w:rsidRPr="00B33A94">
        <w:t xml:space="preserve">Ajustamos un </w:t>
      </w:r>
      <w:r w:rsidRPr="00B33A94">
        <w:rPr>
          <w:b/>
          <w:bCs/>
        </w:rPr>
        <w:t>logit</w:t>
      </w:r>
      <w:r w:rsidRPr="00B33A94">
        <w:t xml:space="preserve"> para modelar</w:t>
      </w:r>
    </w:p>
    <w:p w14:paraId="44C3F0E4" w14:textId="77777777" w:rsidR="00711EE3" w:rsidRDefault="00B33A94" w:rsidP="00B33A94">
      <w:pPr>
        <w:spacing w:before="100" w:beforeAutospacing="1" w:after="100" w:afterAutospacing="1"/>
        <w:ind w:left="1440"/>
      </w:pPr>
      <w:r w:rsidRPr="00B33A94">
        <w:t>P(\text{gift\_PAN}=1 \mid X) = \mathrm{logit}^{-1}\bigl(\alpha + \beta{\prime}X\bigr),</w:t>
      </w:r>
    </w:p>
    <w:p w14:paraId="1C0B4C47" w14:textId="1232DFE4" w:rsidR="00B33A94" w:rsidRPr="00B33A94" w:rsidRDefault="00F5214C" w:rsidP="00B33A94">
      <w:pPr>
        <w:spacing w:before="100" w:beforeAutospacing="1" w:after="100" w:afterAutospacing="1"/>
        <w:ind w:left="1440"/>
      </w:pPr>
      <w:r>
        <w:rPr>
          <w:noProof/>
        </w:rPr>
        <w:lastRenderedPageBreak/>
        <w:drawing>
          <wp:inline distT="0" distB="0" distL="0" distR="0" wp14:anchorId="6C701FAE" wp14:editId="76ED8C78">
            <wp:extent cx="2881423" cy="365032"/>
            <wp:effectExtent l="0" t="0" r="1905" b="3810"/>
            <wp:docPr id="343371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71548" name="Imagen 343371548"/>
                    <pic:cNvPicPr/>
                  </pic:nvPicPr>
                  <pic:blipFill>
                    <a:blip r:embed="rId5">
                      <a:extLst>
                        <a:ext uri="{28A0092B-C50C-407E-A947-70E740481C1C}">
                          <a14:useLocalDpi xmlns:a14="http://schemas.microsoft.com/office/drawing/2010/main" val="0"/>
                        </a:ext>
                      </a:extLst>
                    </a:blip>
                    <a:stretch>
                      <a:fillRect/>
                    </a:stretch>
                  </pic:blipFill>
                  <pic:spPr>
                    <a:xfrm>
                      <a:off x="0" y="0"/>
                      <a:ext cx="3127770" cy="396240"/>
                    </a:xfrm>
                    <a:prstGeom prst="rect">
                      <a:avLst/>
                    </a:prstGeom>
                  </pic:spPr>
                </pic:pic>
              </a:graphicData>
            </a:graphic>
          </wp:inline>
        </w:drawing>
      </w:r>
    </w:p>
    <w:p w14:paraId="787A004E" w14:textId="77777777" w:rsidR="00B33A94" w:rsidRPr="00B33A94" w:rsidRDefault="00B33A94" w:rsidP="00B33A94">
      <w:pPr>
        <w:spacing w:before="100" w:beforeAutospacing="1" w:after="100" w:afterAutospacing="1"/>
        <w:ind w:left="1440"/>
      </w:pPr>
      <w:r w:rsidRPr="00B33A94">
        <w:t>donde X incluye:</w:t>
      </w:r>
    </w:p>
    <w:p w14:paraId="4F267D1C" w14:textId="3ACD6058" w:rsidR="00457A33" w:rsidRPr="00457A33" w:rsidRDefault="00457A33" w:rsidP="00457A33">
      <w:pPr>
        <w:numPr>
          <w:ilvl w:val="2"/>
          <w:numId w:val="5"/>
        </w:numPr>
        <w:spacing w:before="100" w:beforeAutospacing="1" w:after="100" w:afterAutospacing="1"/>
      </w:pPr>
      <w:r>
        <w:t xml:space="preserve"> </w:t>
      </w:r>
      <w:r w:rsidRPr="00457A33">
        <w:t>margin: margen de victoria electoral municipal</w:t>
      </w:r>
    </w:p>
    <w:p w14:paraId="129A8C51" w14:textId="4BDA3863" w:rsidR="00457A33" w:rsidRPr="00457A33" w:rsidRDefault="00457A33" w:rsidP="00457A33">
      <w:pPr>
        <w:numPr>
          <w:ilvl w:val="2"/>
          <w:numId w:val="5"/>
        </w:numPr>
        <w:spacing w:before="100" w:beforeAutospacing="1" w:after="100" w:afterAutospacing="1"/>
      </w:pPr>
      <w:r w:rsidRPr="00457A33">
        <w:t xml:space="preserve"> education: nivel educativo</w:t>
      </w:r>
    </w:p>
    <w:p w14:paraId="4E05BD8A" w14:textId="0DB20B1B" w:rsidR="00457A33" w:rsidRPr="00457A33" w:rsidRDefault="00457A33" w:rsidP="00457A33">
      <w:pPr>
        <w:numPr>
          <w:ilvl w:val="2"/>
          <w:numId w:val="5"/>
        </w:numPr>
        <w:spacing w:before="100" w:beforeAutospacing="1" w:after="100" w:afterAutospacing="1"/>
      </w:pPr>
      <w:r w:rsidRPr="00457A33">
        <w:t xml:space="preserve"> age: edad</w:t>
      </w:r>
    </w:p>
    <w:p w14:paraId="75CA4BB7" w14:textId="1880AA7E" w:rsidR="00457A33" w:rsidRPr="00457A33" w:rsidRDefault="00457A33" w:rsidP="00906CEC">
      <w:pPr>
        <w:numPr>
          <w:ilvl w:val="2"/>
          <w:numId w:val="5"/>
        </w:numPr>
        <w:spacing w:before="100" w:beforeAutospacing="1" w:after="100" w:afterAutospacing="1"/>
      </w:pPr>
      <w:r w:rsidRPr="00457A33">
        <w:t xml:space="preserve"> sex: género</w:t>
      </w:r>
    </w:p>
    <w:p w14:paraId="6CC7AEE7" w14:textId="0D77868F" w:rsidR="00457A33" w:rsidRPr="00457A33" w:rsidRDefault="00457A33" w:rsidP="00457A33">
      <w:pPr>
        <w:numPr>
          <w:ilvl w:val="2"/>
          <w:numId w:val="5"/>
        </w:numPr>
        <w:spacing w:before="100" w:beforeAutospacing="1" w:after="100" w:afterAutospacing="1"/>
      </w:pPr>
      <w:r w:rsidRPr="00457A33">
        <w:t xml:space="preserve"> type: nivel de urbanización del municipio</w:t>
      </w:r>
    </w:p>
    <w:p w14:paraId="438DC4AF" w14:textId="3D71D20C" w:rsidR="00457A33" w:rsidRPr="00457A33" w:rsidRDefault="00457A33" w:rsidP="00457A33">
      <w:pPr>
        <w:numPr>
          <w:ilvl w:val="2"/>
          <w:numId w:val="5"/>
        </w:numPr>
        <w:spacing w:before="100" w:beforeAutospacing="1" w:after="100" w:afterAutospacing="1"/>
      </w:pPr>
      <w:r w:rsidRPr="00457A33">
        <w:t xml:space="preserve"> ln(pob): población del municipio</w:t>
      </w:r>
    </w:p>
    <w:p w14:paraId="725A674D" w14:textId="5293F5BE" w:rsidR="00B33A94" w:rsidRPr="00B33A94" w:rsidRDefault="00457A33" w:rsidP="00457A33">
      <w:pPr>
        <w:numPr>
          <w:ilvl w:val="2"/>
          <w:numId w:val="5"/>
        </w:numPr>
        <w:spacing w:before="100" w:beforeAutospacing="1" w:after="100" w:afterAutospacing="1"/>
      </w:pPr>
      <w:r w:rsidRPr="00457A33">
        <w:t xml:space="preserve"> year: año electoral</w:t>
      </w:r>
    </w:p>
    <w:p w14:paraId="3BDDFE75" w14:textId="47DEFFD5" w:rsidR="00457A33" w:rsidRPr="00B33A94" w:rsidRDefault="00B33A94" w:rsidP="00457A33">
      <w:pPr>
        <w:numPr>
          <w:ilvl w:val="1"/>
          <w:numId w:val="5"/>
        </w:numPr>
        <w:spacing w:before="100" w:beforeAutospacing="1" w:after="100" w:afterAutospacing="1"/>
      </w:pPr>
      <w:r w:rsidRPr="00B33A94">
        <w:t xml:space="preserve">De ahí extractamos la </w:t>
      </w:r>
      <w:r w:rsidRPr="00B33A94">
        <w:rPr>
          <w:b/>
          <w:bCs/>
        </w:rPr>
        <w:t>puntuación de propensión</w:t>
      </w:r>
      <w:r w:rsidRPr="00B33A94">
        <w:t xml:space="preserve"> \hat p_i para cada unidad.</w:t>
      </w:r>
    </w:p>
    <w:p w14:paraId="7696BB7E" w14:textId="77777777" w:rsidR="00B33A94" w:rsidRPr="00B33A94" w:rsidRDefault="00B33A94" w:rsidP="00B33A94">
      <w:pPr>
        <w:numPr>
          <w:ilvl w:val="0"/>
          <w:numId w:val="5"/>
        </w:numPr>
        <w:spacing w:before="100" w:beforeAutospacing="1" w:after="100" w:afterAutospacing="1"/>
      </w:pPr>
      <w:r w:rsidRPr="00B33A94">
        <w:rPr>
          <w:b/>
          <w:bCs/>
        </w:rPr>
        <w:t>Matching</w:t>
      </w:r>
    </w:p>
    <w:p w14:paraId="0FA3C511" w14:textId="77777777" w:rsidR="00B33A94" w:rsidRPr="00B33A94" w:rsidRDefault="00B33A94" w:rsidP="00B33A94">
      <w:pPr>
        <w:numPr>
          <w:ilvl w:val="1"/>
          <w:numId w:val="5"/>
        </w:numPr>
        <w:spacing w:before="100" w:beforeAutospacing="1" w:after="100" w:afterAutospacing="1"/>
      </w:pPr>
      <w:r w:rsidRPr="00B33A94">
        <w:t xml:space="preserve">Usamos </w:t>
      </w:r>
      <w:r w:rsidRPr="00B33A94">
        <w:rPr>
          <w:b/>
          <w:bCs/>
        </w:rPr>
        <w:t>nearest-neighbor 1:1 con reemplazo</w:t>
      </w:r>
      <w:r w:rsidRPr="00B33A94">
        <w:t>, ponderado por ponderador_norm.</w:t>
      </w:r>
    </w:p>
    <w:p w14:paraId="18CBCD0F" w14:textId="77777777" w:rsidR="00B33A94" w:rsidRPr="00B33A94" w:rsidRDefault="00B33A94" w:rsidP="00B33A94">
      <w:pPr>
        <w:numPr>
          <w:ilvl w:val="1"/>
          <w:numId w:val="5"/>
        </w:numPr>
        <w:spacing w:before="100" w:beforeAutospacing="1" w:after="100" w:afterAutospacing="1"/>
      </w:pPr>
      <w:r w:rsidRPr="00B33A94">
        <w:t>La fórmula de matching excluye p_id para probar robustez (gift_PAN ~ margin + edu + age + sex + type + ln(pob) + factor(YEAR)).</w:t>
      </w:r>
    </w:p>
    <w:p w14:paraId="5D866E8C" w14:textId="77777777" w:rsidR="00B33A94" w:rsidRPr="00B33A94" w:rsidRDefault="00B33A94" w:rsidP="00B33A94">
      <w:pPr>
        <w:numPr>
          <w:ilvl w:val="1"/>
          <w:numId w:val="5"/>
        </w:numPr>
        <w:spacing w:before="100" w:beforeAutospacing="1" w:after="100" w:afterAutospacing="1"/>
      </w:pPr>
      <w:r w:rsidRPr="00B33A94">
        <w:t>Extraemos la muestra emparejada con MatchIt::match.data().</w:t>
      </w:r>
    </w:p>
    <w:p w14:paraId="094BD03F" w14:textId="77777777" w:rsidR="00B33A94" w:rsidRPr="00B33A94" w:rsidRDefault="00B33A94" w:rsidP="00B33A94">
      <w:pPr>
        <w:numPr>
          <w:ilvl w:val="0"/>
          <w:numId w:val="5"/>
        </w:numPr>
        <w:spacing w:before="100" w:beforeAutospacing="1" w:after="100" w:afterAutospacing="1"/>
      </w:pPr>
      <w:r w:rsidRPr="00B33A94">
        <w:rPr>
          <w:b/>
          <w:bCs/>
        </w:rPr>
        <w:t>Diagnóstico de balance</w:t>
      </w:r>
    </w:p>
    <w:p w14:paraId="3C80BD21" w14:textId="09C38965" w:rsidR="00B33A94" w:rsidRPr="00B33A94" w:rsidRDefault="00B33A94" w:rsidP="00B33A94">
      <w:pPr>
        <w:numPr>
          <w:ilvl w:val="1"/>
          <w:numId w:val="5"/>
        </w:numPr>
        <w:spacing w:before="100" w:beforeAutospacing="1" w:after="100" w:afterAutospacing="1"/>
      </w:pPr>
      <w:r w:rsidRPr="00B33A94">
        <w:rPr>
          <w:b/>
          <w:bCs/>
        </w:rPr>
        <w:t>Love-plot</w:t>
      </w:r>
      <w:r w:rsidRPr="00B33A94">
        <w:t>: graficamos el SMD (standardized mean difference) pre y post matching para cada covariable, buscando</w:t>
      </w:r>
      <w:r w:rsidR="00B86040">
        <w:t xml:space="preserve"> |</w:t>
      </w:r>
      <w:r w:rsidRPr="00B33A94">
        <w:t>SMD</w:t>
      </w:r>
      <w:r w:rsidR="00B86040">
        <w:t xml:space="preserve">| </w:t>
      </w:r>
      <w:r w:rsidRPr="00B33A94">
        <w:t>&lt;0.1.</w:t>
      </w:r>
    </w:p>
    <w:p w14:paraId="31E47654" w14:textId="77777777" w:rsidR="00B33A94" w:rsidRPr="00B33A94" w:rsidRDefault="00B33A94" w:rsidP="00B33A94">
      <w:pPr>
        <w:numPr>
          <w:ilvl w:val="1"/>
          <w:numId w:val="5"/>
        </w:numPr>
        <w:spacing w:before="100" w:beforeAutospacing="1" w:after="100" w:afterAutospacing="1"/>
      </w:pPr>
      <w:r w:rsidRPr="00B33A94">
        <w:rPr>
          <w:b/>
          <w:bCs/>
        </w:rPr>
        <w:t>Bal.tab</w:t>
      </w:r>
      <w:r w:rsidRPr="00B33A94">
        <w:t>: tabla de balance con “effective sample size” para controles/tratados.</w:t>
      </w:r>
    </w:p>
    <w:p w14:paraId="249C381A" w14:textId="77777777" w:rsidR="00B33A94" w:rsidRPr="00B33A94" w:rsidRDefault="00B33A94" w:rsidP="00B33A94">
      <w:pPr>
        <w:numPr>
          <w:ilvl w:val="0"/>
          <w:numId w:val="5"/>
        </w:numPr>
        <w:spacing w:before="100" w:beforeAutospacing="1" w:after="100" w:afterAutospacing="1"/>
      </w:pPr>
      <w:r w:rsidRPr="00B33A94">
        <w:rPr>
          <w:b/>
          <w:bCs/>
        </w:rPr>
        <w:t>Estimación del ATT</w:t>
      </w:r>
    </w:p>
    <w:p w14:paraId="18211125" w14:textId="77777777" w:rsidR="00B33A94" w:rsidRPr="00B33A94" w:rsidRDefault="00B33A94" w:rsidP="00B33A94">
      <w:pPr>
        <w:numPr>
          <w:ilvl w:val="1"/>
          <w:numId w:val="5"/>
        </w:numPr>
        <w:spacing w:before="100" w:beforeAutospacing="1" w:after="100" w:afterAutospacing="1"/>
      </w:pPr>
      <w:r w:rsidRPr="00B33A94">
        <w:t>En la muestra emparejada estimamos</w:t>
      </w:r>
    </w:p>
    <w:p w14:paraId="7CECAB6F" w14:textId="0B69E03A" w:rsidR="00485916" w:rsidRPr="00B33A94" w:rsidRDefault="00B33A94" w:rsidP="00485916">
      <w:pPr>
        <w:spacing w:before="100" w:beforeAutospacing="1" w:after="100" w:afterAutospacing="1"/>
        <w:ind w:left="1440"/>
      </w:pPr>
      <w:r w:rsidRPr="00B33A94">
        <w:t>\text{logit}\bigl(P(\mathrm{pid\_PAN}=1)\bigr) = \gamma_0 + \gamma_1\,\text{gift\_PAN},</w:t>
      </w:r>
      <w:r w:rsidR="00D7446A">
        <w:rPr>
          <w:noProof/>
        </w:rPr>
        <w:drawing>
          <wp:inline distT="0" distB="0" distL="0" distR="0" wp14:anchorId="77CBBDCD" wp14:editId="2053551F">
            <wp:extent cx="3189767" cy="372933"/>
            <wp:effectExtent l="0" t="0" r="0" b="0"/>
            <wp:docPr id="21198711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71159" name="Imagen 21198711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1568" cy="382497"/>
                    </a:xfrm>
                    <a:prstGeom prst="rect">
                      <a:avLst/>
                    </a:prstGeom>
                  </pic:spPr>
                </pic:pic>
              </a:graphicData>
            </a:graphic>
          </wp:inline>
        </w:drawing>
      </w:r>
    </w:p>
    <w:p w14:paraId="2FE9CF28" w14:textId="77777777" w:rsidR="00B33A94" w:rsidRPr="00B33A94" w:rsidRDefault="00B33A94" w:rsidP="00B33A94">
      <w:pPr>
        <w:spacing w:before="100" w:beforeAutospacing="1" w:after="100" w:afterAutospacing="1"/>
        <w:ind w:left="1440"/>
        <w:rPr>
          <w:lang w:val="en-US"/>
        </w:rPr>
      </w:pPr>
      <w:r w:rsidRPr="00B33A94">
        <w:rPr>
          <w:lang w:val="en-US"/>
        </w:rPr>
        <w:t xml:space="preserve">con </w:t>
      </w:r>
      <w:proofErr w:type="spellStart"/>
      <w:proofErr w:type="gramStart"/>
      <w:r w:rsidRPr="00B33A94">
        <w:rPr>
          <w:lang w:val="en-US"/>
        </w:rPr>
        <w:t>glm</w:t>
      </w:r>
      <w:proofErr w:type="spellEnd"/>
      <w:r w:rsidRPr="00B33A94">
        <w:rPr>
          <w:lang w:val="en-US"/>
        </w:rPr>
        <w:t>(</w:t>
      </w:r>
      <w:proofErr w:type="gramEnd"/>
      <w:r w:rsidRPr="00B33A94">
        <w:rPr>
          <w:lang w:val="en-US"/>
        </w:rPr>
        <w:t>..., family=quasibinomial, weights=weights).</w:t>
      </w:r>
    </w:p>
    <w:p w14:paraId="37BD0766" w14:textId="77777777" w:rsidR="00B33A94" w:rsidRPr="00B33A94" w:rsidRDefault="00B33A94" w:rsidP="00B33A94">
      <w:pPr>
        <w:numPr>
          <w:ilvl w:val="1"/>
          <w:numId w:val="5"/>
        </w:numPr>
        <w:spacing w:before="100" w:beforeAutospacing="1" w:after="100" w:afterAutospacing="1"/>
      </w:pPr>
      <w:r w:rsidRPr="00B33A94">
        <w:t xml:space="preserve">Interpretamos \exp(\hat\gamma_1) como </w:t>
      </w:r>
      <w:r w:rsidRPr="00B33A94">
        <w:rPr>
          <w:b/>
          <w:bCs/>
        </w:rPr>
        <w:t>odds ratio</w:t>
      </w:r>
      <w:r w:rsidRPr="00B33A94">
        <w:t>: cuánto multiplican las odds de identificación con el PAN al recibir regalo.</w:t>
      </w:r>
    </w:p>
    <w:p w14:paraId="69D1B409" w14:textId="77777777" w:rsidR="00B33A94" w:rsidRPr="00B33A94" w:rsidRDefault="00B33A94" w:rsidP="00B33A94">
      <w:pPr>
        <w:numPr>
          <w:ilvl w:val="1"/>
          <w:numId w:val="5"/>
        </w:numPr>
        <w:spacing w:before="100" w:beforeAutospacing="1" w:after="100" w:afterAutospacing="1"/>
      </w:pPr>
      <w:r w:rsidRPr="00B33A94">
        <w:t xml:space="preserve">Convertimos a probabilidades marginales para expresar el </w:t>
      </w:r>
      <w:r w:rsidRPr="00B33A94">
        <w:rPr>
          <w:b/>
          <w:bCs/>
        </w:rPr>
        <w:t>incremento en puntos porcentuales</w:t>
      </w:r>
      <w:r w:rsidRPr="00B33A94">
        <w:t>.</w:t>
      </w:r>
    </w:p>
    <w:p w14:paraId="2CF4B143" w14:textId="77777777" w:rsidR="00B33A94" w:rsidRPr="00B33A94" w:rsidRDefault="00B33A94" w:rsidP="00B33A94">
      <w:pPr>
        <w:numPr>
          <w:ilvl w:val="0"/>
          <w:numId w:val="5"/>
        </w:numPr>
        <w:spacing w:before="100" w:beforeAutospacing="1" w:after="100" w:afterAutospacing="1"/>
      </w:pPr>
      <w:r w:rsidRPr="00B33A94">
        <w:rPr>
          <w:b/>
          <w:bCs/>
        </w:rPr>
        <w:t>Análisis de sensibilidad</w:t>
      </w:r>
    </w:p>
    <w:p w14:paraId="424111B6" w14:textId="77777777" w:rsidR="00B33A94" w:rsidRPr="00B33A94" w:rsidRDefault="00B33A94" w:rsidP="00B33A94">
      <w:pPr>
        <w:numPr>
          <w:ilvl w:val="1"/>
          <w:numId w:val="5"/>
        </w:numPr>
        <w:spacing w:before="100" w:beforeAutospacing="1" w:after="100" w:afterAutospacing="1"/>
      </w:pPr>
      <w:r w:rsidRPr="00B33A94">
        <w:rPr>
          <w:b/>
          <w:bCs/>
        </w:rPr>
        <w:t>Rosenbaum bounds</w:t>
      </w:r>
      <w:r w:rsidRPr="00B33A94">
        <w:t>: calculamos el p-value bound de McNemar pareado para una cuadrícula de \Gamma (1.0 – 2.0), y graficamos en función de \Gamma. El cruce con p=0.05 indica cuán fuerte debe ser un sesgo oculto para invalidar el ATT.</w:t>
      </w:r>
    </w:p>
    <w:p w14:paraId="555139B3" w14:textId="77777777" w:rsidR="00B33A94" w:rsidRPr="00B33A94" w:rsidRDefault="00B33A94" w:rsidP="00B33A94">
      <w:pPr>
        <w:numPr>
          <w:ilvl w:val="1"/>
          <w:numId w:val="5"/>
        </w:numPr>
        <w:spacing w:before="100" w:beforeAutospacing="1" w:after="100" w:afterAutospacing="1"/>
      </w:pPr>
      <w:r w:rsidRPr="00B33A94">
        <w:rPr>
          <w:b/>
          <w:bCs/>
        </w:rPr>
        <w:t>E-value</w:t>
      </w:r>
      <w:r w:rsidRPr="00B33A94">
        <w:t>: a partir del OR y su IC, obtenemos el umbral mínimo de asociación de un confusor no medido (en RR) capaz de llevar el efecto a la nula.</w:t>
      </w:r>
    </w:p>
    <w:p w14:paraId="281F65EA" w14:textId="77777777" w:rsidR="00B33A94" w:rsidRPr="00B33A94" w:rsidRDefault="00AC5B9E" w:rsidP="00B33A94">
      <w:r w:rsidRPr="00AC5B9E">
        <w:rPr>
          <w:noProof/>
          <w14:ligatures w14:val="standardContextual"/>
        </w:rPr>
        <w:lastRenderedPageBreak/>
        <w:pict w14:anchorId="6FBF2E19">
          <v:rect id="_x0000_i1029" alt="" style="width:441.9pt;height:.05pt;mso-width-percent:0;mso-height-percent:0;mso-width-percent:0;mso-height-percent:0" o:hralign="center" o:hrstd="t" o:hr="t" fillcolor="#a0a0a0" stroked="f"/>
        </w:pict>
      </w:r>
    </w:p>
    <w:p w14:paraId="20C497E5" w14:textId="77777777" w:rsidR="00B33A94" w:rsidRDefault="00B33A94"/>
    <w:p w14:paraId="1965AA02" w14:textId="77777777" w:rsidR="00D155CE" w:rsidRDefault="00B33A94">
      <w:r w:rsidRPr="00B33A94">
        <w:t>El PSM estima la probabilidad de tratamiento condicional a un conjunto amplio de covariables (demográficas, políticas, socioeconómicas, contexto electoral), de modo que después del emparejamiento los grupos tratado y control quedan balanceados en todas esas características.</w:t>
      </w:r>
    </w:p>
    <w:p w14:paraId="7574C6E4" w14:textId="02051E3D" w:rsidR="00B33A94" w:rsidRDefault="00D155CE" w:rsidP="00D155CE">
      <w:pPr>
        <w:jc w:val="center"/>
      </w:pPr>
      <w:r>
        <w:rPr>
          <w:noProof/>
        </w:rPr>
        <w:drawing>
          <wp:inline distT="0" distB="0" distL="0" distR="0" wp14:anchorId="26EDAAE5" wp14:editId="3658A6D6">
            <wp:extent cx="3976577" cy="757700"/>
            <wp:effectExtent l="0" t="0" r="0" b="4445"/>
            <wp:docPr id="15913359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35900" name="Imagen 1591335900"/>
                    <pic:cNvPicPr/>
                  </pic:nvPicPr>
                  <pic:blipFill>
                    <a:blip r:embed="rId7">
                      <a:extLst>
                        <a:ext uri="{28A0092B-C50C-407E-A947-70E740481C1C}">
                          <a14:useLocalDpi xmlns:a14="http://schemas.microsoft.com/office/drawing/2010/main" val="0"/>
                        </a:ext>
                      </a:extLst>
                    </a:blip>
                    <a:stretch>
                      <a:fillRect/>
                    </a:stretch>
                  </pic:blipFill>
                  <pic:spPr>
                    <a:xfrm>
                      <a:off x="0" y="0"/>
                      <a:ext cx="4060717" cy="773732"/>
                    </a:xfrm>
                    <a:prstGeom prst="rect">
                      <a:avLst/>
                    </a:prstGeom>
                  </pic:spPr>
                </pic:pic>
              </a:graphicData>
            </a:graphic>
          </wp:inline>
        </w:drawing>
      </w:r>
    </w:p>
    <w:p w14:paraId="66571897" w14:textId="05785C2C" w:rsidR="00B33A94" w:rsidRDefault="00B33A94">
      <w:r>
        <w:t>Al</w:t>
      </w:r>
      <w:r w:rsidRPr="00B33A94">
        <w:t xml:space="preserve"> comparar individuos con puntuaciones de propensión muy similares, aproximamos las condiciones de un experimento aleatorio, aislando el efecto del regalo sobre la identificación partidaria</w:t>
      </w:r>
    </w:p>
    <w:p w14:paraId="29E94302" w14:textId="77777777" w:rsidR="00B33A94" w:rsidRDefault="00B33A94"/>
    <w:p w14:paraId="7972ABA9" w14:textId="42686284" w:rsidR="00B33A94" w:rsidRPr="00060A0C" w:rsidRDefault="00060A0C">
      <w:pPr>
        <w:rPr>
          <w:b/>
          <w:bCs/>
          <w:color w:val="C00000"/>
        </w:rPr>
      </w:pPr>
      <w:r w:rsidRPr="00060A0C">
        <w:rPr>
          <w:b/>
          <w:bCs/>
          <w:color w:val="C00000"/>
        </w:rPr>
        <w:t xml:space="preserve">RESULTADOS </w:t>
      </w:r>
    </w:p>
    <w:p w14:paraId="3AE9B588" w14:textId="77777777" w:rsidR="00060A0C" w:rsidRDefault="00060A0C"/>
    <w:p w14:paraId="4AD000B3" w14:textId="77777777" w:rsidR="00060A0C" w:rsidRPr="00060A0C" w:rsidRDefault="00AC5B9E" w:rsidP="00060A0C">
      <w:r w:rsidRPr="00AC5B9E">
        <w:rPr>
          <w:noProof/>
          <w14:ligatures w14:val="standardContextual"/>
        </w:rPr>
        <w:pict w14:anchorId="6813FB10">
          <v:rect id="_x0000_i1028" alt="" style="width:441.9pt;height:.05pt;mso-width-percent:0;mso-height-percent:0;mso-width-percent:0;mso-height-percent:0" o:hralign="center" o:hrstd="t" o:hr="t" fillcolor="#a0a0a0" stroked="f"/>
        </w:pict>
      </w:r>
    </w:p>
    <w:p w14:paraId="440F0D4F" w14:textId="77777777" w:rsidR="00272B8E" w:rsidRPr="00060A0C" w:rsidRDefault="00272B8E" w:rsidP="00272B8E">
      <w:pPr>
        <w:spacing w:before="100" w:beforeAutospacing="1" w:after="100" w:afterAutospacing="1"/>
        <w:outlineLvl w:val="2"/>
        <w:rPr>
          <w:b/>
          <w:bCs/>
          <w:sz w:val="27"/>
          <w:szCs w:val="27"/>
          <w:lang w:val="en-US"/>
        </w:rPr>
      </w:pPr>
      <w:r>
        <w:rPr>
          <w:b/>
          <w:bCs/>
          <w:sz w:val="27"/>
          <w:szCs w:val="27"/>
          <w:lang w:val="en-US"/>
        </w:rPr>
        <w:t>1</w:t>
      </w:r>
      <w:r w:rsidRPr="00060A0C">
        <w:rPr>
          <w:b/>
          <w:bCs/>
          <w:sz w:val="27"/>
          <w:szCs w:val="27"/>
          <w:lang w:val="en-US"/>
        </w:rPr>
        <w:t xml:space="preserve">) </w:t>
      </w:r>
      <w:proofErr w:type="spellStart"/>
      <w:r w:rsidRPr="00060A0C">
        <w:rPr>
          <w:b/>
          <w:bCs/>
          <w:sz w:val="27"/>
          <w:szCs w:val="27"/>
          <w:lang w:val="en-US"/>
        </w:rPr>
        <w:t>Solapamiento</w:t>
      </w:r>
      <w:proofErr w:type="spellEnd"/>
      <w:r w:rsidRPr="00060A0C">
        <w:rPr>
          <w:b/>
          <w:bCs/>
          <w:sz w:val="27"/>
          <w:szCs w:val="27"/>
          <w:lang w:val="en-US"/>
        </w:rPr>
        <w:t> pre-matching</w:t>
      </w:r>
      <w:r>
        <w:rPr>
          <w:b/>
          <w:bCs/>
          <w:sz w:val="27"/>
          <w:szCs w:val="27"/>
          <w:lang w:val="en-US"/>
        </w:rPr>
        <w:t xml:space="preserve"> </w:t>
      </w:r>
      <w:r w:rsidRPr="00060A0C">
        <w:rPr>
          <w:b/>
          <w:bCs/>
          <w:sz w:val="27"/>
          <w:szCs w:val="27"/>
          <w:lang w:val="en-US"/>
        </w:rPr>
        <w:t>(common support)</w:t>
      </w:r>
    </w:p>
    <w:p w14:paraId="107E71C9" w14:textId="77777777" w:rsidR="00272B8E" w:rsidRPr="00060A0C" w:rsidRDefault="00272B8E" w:rsidP="00272B8E">
      <w:pPr>
        <w:rPr>
          <w:rFonts w:ascii=".AppleSystemUIFont" w:hAnsi=".AppleSystemUIFont"/>
          <w:color w:val="0E0E0E"/>
          <w:sz w:val="21"/>
          <w:szCs w:val="21"/>
        </w:rPr>
      </w:pPr>
      <w:r w:rsidRPr="00060A0C">
        <w:rPr>
          <w:rFonts w:ascii=".AppleSystemUIFont" w:hAnsi=".AppleSystemUIFont"/>
          <w:b/>
          <w:bCs/>
          <w:color w:val="0E0E0E"/>
          <w:sz w:val="21"/>
          <w:szCs w:val="21"/>
        </w:rPr>
        <w:t>Título:</w:t>
      </w:r>
      <w:r w:rsidRPr="00060A0C">
        <w:rPr>
          <w:rFonts w:ascii=".AppleSystemUIFont" w:hAnsi=".AppleSystemUIFont"/>
          <w:color w:val="0E0E0E"/>
          <w:sz w:val="21"/>
          <w:szCs w:val="21"/>
        </w:rPr>
        <w:t xml:space="preserve"> “Solapamiento de puntajes de propensión (PAN)”</w:t>
      </w:r>
    </w:p>
    <w:p w14:paraId="5DDFD694" w14:textId="77777777" w:rsidR="00272B8E" w:rsidRPr="00060A0C" w:rsidRDefault="00272B8E" w:rsidP="00272B8E">
      <w:pPr>
        <w:numPr>
          <w:ilvl w:val="0"/>
          <w:numId w:val="7"/>
        </w:numPr>
        <w:spacing w:before="100" w:beforeAutospacing="1" w:after="100" w:afterAutospacing="1"/>
      </w:pPr>
      <w:r w:rsidRPr="00060A0C">
        <w:t xml:space="preserve">Incluye </w:t>
      </w:r>
      <w:r w:rsidRPr="00060A0C">
        <w:rPr>
          <w:b/>
          <w:bCs/>
        </w:rPr>
        <w:t>toda la muestra</w:t>
      </w:r>
      <w:r w:rsidRPr="00060A0C">
        <w:t xml:space="preserve"> original, antes de quitar nada.</w:t>
      </w:r>
    </w:p>
    <w:p w14:paraId="6F37CC32" w14:textId="77777777" w:rsidR="00272B8E" w:rsidRPr="00060A0C" w:rsidRDefault="00272B8E" w:rsidP="00272B8E">
      <w:pPr>
        <w:numPr>
          <w:ilvl w:val="0"/>
          <w:numId w:val="7"/>
        </w:numPr>
        <w:spacing w:before="100" w:beforeAutospacing="1" w:after="100" w:afterAutospacing="1"/>
      </w:pPr>
      <w:r w:rsidRPr="00060A0C">
        <w:t xml:space="preserve">Las dos densidades (una por grupo) exhiben hasta dónde se </w:t>
      </w:r>
      <w:r w:rsidRPr="00060A0C">
        <w:rPr>
          <w:b/>
          <w:bCs/>
        </w:rPr>
        <w:t>solapan</w:t>
      </w:r>
      <w:r w:rsidRPr="00060A0C">
        <w:t xml:space="preserve"> los valores de \hat p_i.</w:t>
      </w:r>
    </w:p>
    <w:p w14:paraId="4AA19199" w14:textId="77777777" w:rsidR="00272B8E" w:rsidRPr="00060A0C" w:rsidRDefault="00272B8E" w:rsidP="00272B8E">
      <w:pPr>
        <w:numPr>
          <w:ilvl w:val="0"/>
          <w:numId w:val="7"/>
        </w:numPr>
        <w:spacing w:before="100" w:beforeAutospacing="1" w:after="100" w:afterAutospacing="1"/>
      </w:pPr>
      <w:r w:rsidRPr="00060A0C">
        <w:t xml:space="preserve">El área donde ambas curvas tienen densidad positiva es tu </w:t>
      </w:r>
      <w:r w:rsidRPr="00060A0C">
        <w:rPr>
          <w:b/>
          <w:bCs/>
        </w:rPr>
        <w:t>common support</w:t>
      </w:r>
      <w:r w:rsidRPr="00060A0C">
        <w:t>: la región en la que hay tratados y controles con puntuaciones comparables.</w:t>
      </w:r>
    </w:p>
    <w:p w14:paraId="335B88F4" w14:textId="77777777" w:rsidR="00272B8E" w:rsidRDefault="00272B8E" w:rsidP="00272B8E">
      <w:pPr>
        <w:numPr>
          <w:ilvl w:val="0"/>
          <w:numId w:val="7"/>
        </w:numPr>
        <w:spacing w:before="100" w:beforeAutospacing="1" w:after="100" w:afterAutospacing="1"/>
      </w:pPr>
      <w:r w:rsidRPr="00060A0C">
        <w:t>Si ves zonas donde una curva está y la otra no (por ejemplo, tratamientos muy altos sin controles equivalentes), es allí donde el matching no podrá emparejar.</w:t>
      </w:r>
    </w:p>
    <w:p w14:paraId="63E9881E" w14:textId="77777777" w:rsidR="00060A0C" w:rsidRPr="00060A0C" w:rsidRDefault="00AC5B9E" w:rsidP="00060A0C">
      <w:r w:rsidRPr="00AC5B9E">
        <w:rPr>
          <w:noProof/>
          <w14:ligatures w14:val="standardContextual"/>
        </w:rPr>
        <w:pict w14:anchorId="61939384">
          <v:rect id="_x0000_i1027" alt="" style="width:441.9pt;height:.05pt;mso-width-percent:0;mso-height-percent:0;mso-width-percent:0;mso-height-percent:0" o:hralign="center" o:hrstd="t" o:hr="t" fillcolor="#a0a0a0" stroked="f"/>
        </w:pict>
      </w:r>
    </w:p>
    <w:p w14:paraId="06709681" w14:textId="6550B6AF" w:rsidR="00272B8E" w:rsidRPr="00060A0C" w:rsidRDefault="00272B8E" w:rsidP="00272B8E">
      <w:pPr>
        <w:spacing w:before="100" w:beforeAutospacing="1" w:after="100" w:afterAutospacing="1"/>
        <w:outlineLvl w:val="2"/>
        <w:rPr>
          <w:b/>
          <w:bCs/>
          <w:sz w:val="27"/>
          <w:szCs w:val="27"/>
        </w:rPr>
      </w:pPr>
      <w:r>
        <w:rPr>
          <w:b/>
          <w:bCs/>
          <w:sz w:val="27"/>
          <w:szCs w:val="27"/>
        </w:rPr>
        <w:t>2</w:t>
      </w:r>
      <w:r w:rsidRPr="00060A0C">
        <w:rPr>
          <w:b/>
          <w:bCs/>
          <w:sz w:val="27"/>
          <w:szCs w:val="27"/>
        </w:rPr>
        <w:t>) Distribución en la muestra emparejada</w:t>
      </w:r>
    </w:p>
    <w:p w14:paraId="284A8D3C" w14:textId="77777777" w:rsidR="00272B8E" w:rsidRPr="00060A0C" w:rsidRDefault="00272B8E" w:rsidP="00272B8E">
      <w:pPr>
        <w:rPr>
          <w:rFonts w:ascii=".AppleSystemUIFont" w:hAnsi=".AppleSystemUIFont"/>
          <w:color w:val="0E0E0E"/>
          <w:sz w:val="21"/>
          <w:szCs w:val="21"/>
        </w:rPr>
      </w:pPr>
      <w:r w:rsidRPr="00060A0C">
        <w:rPr>
          <w:rFonts w:ascii=".AppleSystemUIFont" w:hAnsi=".AppleSystemUIFont"/>
          <w:b/>
          <w:bCs/>
          <w:color w:val="0E0E0E"/>
          <w:sz w:val="21"/>
          <w:szCs w:val="21"/>
        </w:rPr>
        <w:t>Título:</w:t>
      </w:r>
      <w:r w:rsidRPr="00060A0C">
        <w:rPr>
          <w:rFonts w:ascii=".AppleSystemUIFont" w:hAnsi=".AppleSystemUIFont"/>
          <w:color w:val="0E0E0E"/>
          <w:sz w:val="21"/>
          <w:szCs w:val="21"/>
        </w:rPr>
        <w:t xml:space="preserve"> “Distribución de puntajes de propensión (PAN) — Muestra emparejada”</w:t>
      </w:r>
    </w:p>
    <w:p w14:paraId="4F18FD61" w14:textId="77777777" w:rsidR="00272B8E" w:rsidRPr="00060A0C" w:rsidRDefault="00272B8E" w:rsidP="00272B8E">
      <w:pPr>
        <w:numPr>
          <w:ilvl w:val="0"/>
          <w:numId w:val="6"/>
        </w:numPr>
        <w:spacing w:before="100" w:beforeAutospacing="1" w:after="100" w:afterAutospacing="1"/>
      </w:pPr>
      <w:r w:rsidRPr="00060A0C">
        <w:t xml:space="preserve">Aquí ya sólo aparecen las observaciones </w:t>
      </w:r>
      <w:r w:rsidRPr="00060A0C">
        <w:rPr>
          <w:b/>
          <w:bCs/>
        </w:rPr>
        <w:t>que MatchIt emparejó</w:t>
      </w:r>
      <w:r w:rsidRPr="00060A0C">
        <w:t xml:space="preserve"> (treated y sus controles), con reemplazo.</w:t>
      </w:r>
    </w:p>
    <w:p w14:paraId="0CBD5020" w14:textId="77777777" w:rsidR="00272B8E" w:rsidRPr="00060A0C" w:rsidRDefault="00272B8E" w:rsidP="00272B8E">
      <w:pPr>
        <w:numPr>
          <w:ilvl w:val="0"/>
          <w:numId w:val="6"/>
        </w:numPr>
        <w:spacing w:before="100" w:beforeAutospacing="1" w:after="100" w:afterAutospacing="1"/>
      </w:pPr>
      <w:r w:rsidRPr="00060A0C">
        <w:t xml:space="preserve">Cada curva (rosa = controles, verde = tratados) muestra </w:t>
      </w:r>
      <w:r w:rsidRPr="00060A0C">
        <w:rPr>
          <w:b/>
          <w:bCs/>
        </w:rPr>
        <w:t>la densidad</w:t>
      </w:r>
      <w:r w:rsidRPr="00060A0C">
        <w:t xml:space="preserve"> de los \hat p_i dentro del sample matched.</w:t>
      </w:r>
    </w:p>
    <w:p w14:paraId="749EAD70" w14:textId="626996F1" w:rsidR="00272B8E" w:rsidRPr="00060A0C" w:rsidRDefault="00272B8E" w:rsidP="00272B8E">
      <w:pPr>
        <w:numPr>
          <w:ilvl w:val="0"/>
          <w:numId w:val="6"/>
        </w:numPr>
        <w:spacing w:before="100" w:beforeAutospacing="1" w:after="100" w:afterAutospacing="1"/>
      </w:pPr>
      <w:r w:rsidRPr="00060A0C">
        <w:t xml:space="preserve">El hecho de que ambas curvas casi se </w:t>
      </w:r>
      <w:r w:rsidRPr="00060A0C">
        <w:rPr>
          <w:b/>
          <w:bCs/>
        </w:rPr>
        <w:t>superpongan</w:t>
      </w:r>
      <w:r w:rsidRPr="00060A0C">
        <w:t xml:space="preserve"> en sus modos principales nos dice que, </w:t>
      </w:r>
      <w:r w:rsidRPr="00060A0C">
        <w:rPr>
          <w:b/>
          <w:bCs/>
        </w:rPr>
        <w:t>luego del matching</w:t>
      </w:r>
      <w:r w:rsidRPr="00060A0C">
        <w:t>, los dos grupos tienen muy parecidas las covariables observables (buen balance).</w:t>
      </w:r>
    </w:p>
    <w:p w14:paraId="646C3342" w14:textId="77777777" w:rsidR="00060A0C" w:rsidRPr="00060A0C" w:rsidRDefault="00AC5B9E" w:rsidP="00060A0C">
      <w:r w:rsidRPr="00AC5B9E">
        <w:rPr>
          <w:noProof/>
          <w14:ligatures w14:val="standardContextual"/>
        </w:rPr>
        <w:pict w14:anchorId="758F0EB5">
          <v:rect id="_x0000_i1026" alt="" style="width:441.9pt;height:.05pt;mso-width-percent:0;mso-height-percent:0;mso-width-percent:0;mso-height-percent:0" o:hralign="center" o:hrstd="t" o:hr="t" fillcolor="#a0a0a0" stroked="f"/>
        </w:pict>
      </w:r>
    </w:p>
    <w:p w14:paraId="25F764BD" w14:textId="77777777" w:rsidR="00060A0C" w:rsidRDefault="00060A0C" w:rsidP="00060A0C">
      <w:pPr>
        <w:spacing w:before="100" w:beforeAutospacing="1" w:after="100" w:afterAutospacing="1"/>
      </w:pPr>
      <w:r w:rsidRPr="00060A0C">
        <w:rPr>
          <w:b/>
          <w:bCs/>
        </w:rPr>
        <w:lastRenderedPageBreak/>
        <w:t>En conjunto</w:t>
      </w:r>
      <w:r w:rsidRPr="00060A0C">
        <w:t xml:space="preserve">, estas dos gráficas te muestran primero </w:t>
      </w:r>
      <w:r w:rsidRPr="00060A0C">
        <w:rPr>
          <w:b/>
          <w:bCs/>
        </w:rPr>
        <w:t>qué tanto espacio común</w:t>
      </w:r>
      <w:r w:rsidRPr="00060A0C">
        <w:t xml:space="preserve"> hay para emparejar (solapamiento pre-matching) y luego </w:t>
      </w:r>
      <w:r w:rsidRPr="00060A0C">
        <w:rPr>
          <w:b/>
          <w:bCs/>
        </w:rPr>
        <w:t>qué tan bien</w:t>
      </w:r>
      <w:r w:rsidRPr="00060A0C">
        <w:t xml:space="preserve"> quedó alineada la distribución de propensión entre tratados y controles </w:t>
      </w:r>
      <w:r w:rsidRPr="00060A0C">
        <w:rPr>
          <w:b/>
          <w:bCs/>
        </w:rPr>
        <w:t>después</w:t>
      </w:r>
      <w:r w:rsidRPr="00060A0C">
        <w:t xml:space="preserve"> del matching.</w:t>
      </w:r>
    </w:p>
    <w:p w14:paraId="19DED9C5" w14:textId="3A8F5A2F" w:rsidR="00134108" w:rsidRDefault="00134108" w:rsidP="00060A0C">
      <w:pPr>
        <w:spacing w:before="100" w:beforeAutospacing="1" w:after="100" w:afterAutospacing="1"/>
      </w:pPr>
      <w:r>
        <w:t>Interpretación</w:t>
      </w:r>
    </w:p>
    <w:p w14:paraId="0DFECD5C" w14:textId="77777777" w:rsidR="00134108" w:rsidRDefault="00134108" w:rsidP="00134108">
      <w:pPr>
        <w:pStyle w:val="p1"/>
        <w:numPr>
          <w:ilvl w:val="0"/>
          <w:numId w:val="10"/>
        </w:numPr>
      </w:pPr>
      <w:r>
        <w:rPr>
          <w:b/>
          <w:bCs/>
        </w:rPr>
        <w:t>Intercepto (–1.8270)</w:t>
      </w:r>
    </w:p>
    <w:p w14:paraId="0318FD78" w14:textId="77777777" w:rsidR="00134108" w:rsidRDefault="00134108" w:rsidP="00134108">
      <w:pPr>
        <w:pStyle w:val="p1"/>
        <w:numPr>
          <w:ilvl w:val="1"/>
          <w:numId w:val="10"/>
        </w:numPr>
      </w:pPr>
      <w:r>
        <w:t xml:space="preserve">Representa las </w:t>
      </w:r>
      <w:r>
        <w:rPr>
          <w:rStyle w:val="s1"/>
          <w:rFonts w:eastAsiaTheme="majorEastAsia"/>
          <w:b/>
          <w:bCs/>
        </w:rPr>
        <w:t>log-odds</w:t>
      </w:r>
      <w:r>
        <w:t xml:space="preserve"> de identificarse con el PAN cuando </w:t>
      </w:r>
      <w:r>
        <w:rPr>
          <w:rStyle w:val="s2"/>
          <w:rFonts w:eastAsiaTheme="majorEastAsia"/>
        </w:rPr>
        <w:t>gift_PAN = 0</w:t>
      </w:r>
      <w:r>
        <w:t xml:space="preserve"> (no recibieron regalo).</w:t>
      </w:r>
    </w:p>
    <w:p w14:paraId="70C09D29" w14:textId="77777777" w:rsidR="00134108" w:rsidRDefault="00134108" w:rsidP="00134108">
      <w:pPr>
        <w:pStyle w:val="p1"/>
        <w:numPr>
          <w:ilvl w:val="1"/>
          <w:numId w:val="10"/>
        </w:numPr>
      </w:pPr>
      <w:r>
        <w:t>Convertido a probabilidad:</w:t>
      </w:r>
    </w:p>
    <w:p w14:paraId="285A336C" w14:textId="6B76AF57" w:rsidR="00134108" w:rsidRDefault="00FE5922" w:rsidP="00134108">
      <w:pPr>
        <w:pStyle w:val="p2"/>
        <w:ind w:left="1440"/>
      </w:pPr>
      <w:r>
        <w:rPr>
          <w:noProof/>
          <w14:ligatures w14:val="standardContextual"/>
        </w:rPr>
        <w:drawing>
          <wp:inline distT="0" distB="0" distL="0" distR="0" wp14:anchorId="23F04525" wp14:editId="3B6810C3">
            <wp:extent cx="1775637" cy="574723"/>
            <wp:effectExtent l="0" t="0" r="2540" b="0"/>
            <wp:docPr id="7742255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25587" name="Imagen 774225587"/>
                    <pic:cNvPicPr/>
                  </pic:nvPicPr>
                  <pic:blipFill>
                    <a:blip r:embed="rId8">
                      <a:extLst>
                        <a:ext uri="{28A0092B-C50C-407E-A947-70E740481C1C}">
                          <a14:useLocalDpi xmlns:a14="http://schemas.microsoft.com/office/drawing/2010/main" val="0"/>
                        </a:ext>
                      </a:extLst>
                    </a:blip>
                    <a:stretch>
                      <a:fillRect/>
                    </a:stretch>
                  </pic:blipFill>
                  <pic:spPr>
                    <a:xfrm>
                      <a:off x="0" y="0"/>
                      <a:ext cx="1802127" cy="583297"/>
                    </a:xfrm>
                    <a:prstGeom prst="rect">
                      <a:avLst/>
                    </a:prstGeom>
                  </pic:spPr>
                </pic:pic>
              </a:graphicData>
            </a:graphic>
          </wp:inline>
        </w:drawing>
      </w:r>
    </w:p>
    <w:p w14:paraId="27737480" w14:textId="77777777" w:rsidR="00134108" w:rsidRDefault="00134108" w:rsidP="00134108">
      <w:pPr>
        <w:pStyle w:val="p1"/>
        <w:ind w:left="1440"/>
      </w:pPr>
      <w:r>
        <w:t xml:space="preserve">Esto significa que, entre los casos emparejados que no recibieron regalo, </w:t>
      </w:r>
      <w:r>
        <w:rPr>
          <w:rStyle w:val="s2"/>
          <w:rFonts w:eastAsiaTheme="majorEastAsia"/>
          <w:b/>
          <w:bCs/>
        </w:rPr>
        <w:t>el 13.9 %</w:t>
      </w:r>
      <w:r>
        <w:t xml:space="preserve"> se identifica con el PAN.</w:t>
      </w:r>
    </w:p>
    <w:p w14:paraId="13492A2B" w14:textId="77777777" w:rsidR="00134108" w:rsidRDefault="00134108" w:rsidP="00134108">
      <w:pPr>
        <w:pStyle w:val="p1"/>
        <w:numPr>
          <w:ilvl w:val="0"/>
          <w:numId w:val="10"/>
        </w:numPr>
      </w:pPr>
      <w:r>
        <w:rPr>
          <w:b/>
          <w:bCs/>
        </w:rPr>
        <w:t>Coeficiente de gift_PAN (0.7102)</w:t>
      </w:r>
    </w:p>
    <w:p w14:paraId="78E37B06" w14:textId="77777777" w:rsidR="00134108" w:rsidRDefault="00134108" w:rsidP="00134108">
      <w:pPr>
        <w:pStyle w:val="p1"/>
        <w:numPr>
          <w:ilvl w:val="1"/>
          <w:numId w:val="10"/>
        </w:numPr>
      </w:pPr>
      <w:r>
        <w:t xml:space="preserve">Es el </w:t>
      </w:r>
      <w:r>
        <w:rPr>
          <w:rStyle w:val="s1"/>
          <w:rFonts w:eastAsiaTheme="majorEastAsia"/>
          <w:b/>
          <w:bCs/>
        </w:rPr>
        <w:t>incremento en log-odds</w:t>
      </w:r>
      <w:r>
        <w:t xml:space="preserve"> asociado a recibir un regalo del PAN.</w:t>
      </w:r>
    </w:p>
    <w:p w14:paraId="49F3995A" w14:textId="77777777" w:rsidR="00134108" w:rsidRDefault="00134108" w:rsidP="00134108">
      <w:pPr>
        <w:pStyle w:val="p1"/>
        <w:numPr>
          <w:ilvl w:val="1"/>
          <w:numId w:val="10"/>
        </w:numPr>
      </w:pPr>
      <w:r>
        <w:t>En odds ratio:</w:t>
      </w:r>
    </w:p>
    <w:p w14:paraId="214EFB6C" w14:textId="667EBC25" w:rsidR="00134108" w:rsidRDefault="00E50D35" w:rsidP="00134108">
      <w:pPr>
        <w:pStyle w:val="p2"/>
        <w:ind w:left="1440"/>
      </w:pPr>
      <w:r>
        <w:rPr>
          <w:noProof/>
          <w14:ligatures w14:val="standardContextual"/>
        </w:rPr>
        <w:drawing>
          <wp:inline distT="0" distB="0" distL="0" distR="0" wp14:anchorId="75427515" wp14:editId="7B0E3E65">
            <wp:extent cx="1350335" cy="337584"/>
            <wp:effectExtent l="0" t="0" r="0" b="5715"/>
            <wp:docPr id="13171603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6032" name="Imagen 131716032"/>
                    <pic:cNvPicPr/>
                  </pic:nvPicPr>
                  <pic:blipFill>
                    <a:blip r:embed="rId9">
                      <a:extLst>
                        <a:ext uri="{28A0092B-C50C-407E-A947-70E740481C1C}">
                          <a14:useLocalDpi xmlns:a14="http://schemas.microsoft.com/office/drawing/2010/main" val="0"/>
                        </a:ext>
                      </a:extLst>
                    </a:blip>
                    <a:stretch>
                      <a:fillRect/>
                    </a:stretch>
                  </pic:blipFill>
                  <pic:spPr>
                    <a:xfrm>
                      <a:off x="0" y="0"/>
                      <a:ext cx="1405400" cy="351350"/>
                    </a:xfrm>
                    <a:prstGeom prst="rect">
                      <a:avLst/>
                    </a:prstGeom>
                  </pic:spPr>
                </pic:pic>
              </a:graphicData>
            </a:graphic>
          </wp:inline>
        </w:drawing>
      </w:r>
    </w:p>
    <w:p w14:paraId="6E101D06" w14:textId="77777777" w:rsidR="00134108" w:rsidRDefault="00134108" w:rsidP="00134108">
      <w:pPr>
        <w:pStyle w:val="p1"/>
        <w:ind w:left="1440"/>
      </w:pPr>
      <w:r>
        <w:t xml:space="preserve">lo que quiere decir que </w:t>
      </w:r>
      <w:r>
        <w:rPr>
          <w:rStyle w:val="s2"/>
          <w:rFonts w:eastAsiaTheme="majorEastAsia"/>
          <w:b/>
          <w:bCs/>
        </w:rPr>
        <w:t>las odds de identificarse con el PAN se duplican</w:t>
      </w:r>
      <w:r>
        <w:t xml:space="preserve"> (se multiplican por 2.03) cuando alguien recibe regalo.</w:t>
      </w:r>
    </w:p>
    <w:p w14:paraId="7B365142" w14:textId="77777777" w:rsidR="00134108" w:rsidRDefault="00134108" w:rsidP="00134108">
      <w:pPr>
        <w:pStyle w:val="p1"/>
        <w:numPr>
          <w:ilvl w:val="1"/>
          <w:numId w:val="10"/>
        </w:numPr>
      </w:pPr>
      <w:r>
        <w:t>Es altamente significativo (p = 1.2e–05).</w:t>
      </w:r>
    </w:p>
    <w:p w14:paraId="6DD84856" w14:textId="77777777" w:rsidR="00134108" w:rsidRDefault="00134108" w:rsidP="00134108">
      <w:pPr>
        <w:pStyle w:val="p1"/>
        <w:numPr>
          <w:ilvl w:val="0"/>
          <w:numId w:val="10"/>
        </w:numPr>
      </w:pPr>
      <w:r>
        <w:rPr>
          <w:b/>
          <w:bCs/>
        </w:rPr>
        <w:t>Probabilidades marginales</w:t>
      </w:r>
    </w:p>
    <w:p w14:paraId="1D5BF2B8" w14:textId="77777777" w:rsidR="00134108" w:rsidRDefault="00134108" w:rsidP="00134108">
      <w:pPr>
        <w:pStyle w:val="p1"/>
        <w:numPr>
          <w:ilvl w:val="1"/>
          <w:numId w:val="10"/>
        </w:numPr>
      </w:pPr>
      <w:r>
        <w:rPr>
          <w:rStyle w:val="s1"/>
          <w:rFonts w:eastAsiaTheme="majorEastAsia"/>
          <w:b/>
          <w:bCs/>
        </w:rPr>
        <w:t>Sin regalo</w:t>
      </w:r>
      <w:r>
        <w:rPr>
          <w:rStyle w:val="s2"/>
          <w:rFonts w:eastAsiaTheme="majorEastAsia"/>
        </w:rPr>
        <w:t xml:space="preserve"> (</w:t>
      </w:r>
      <w:r>
        <w:t>gift_PAN = 0</w:t>
      </w:r>
      <w:r>
        <w:rPr>
          <w:rStyle w:val="s2"/>
          <w:rFonts w:eastAsiaTheme="majorEastAsia"/>
        </w:rPr>
        <w:t>):</w:t>
      </w:r>
    </w:p>
    <w:p w14:paraId="6B7B50D6" w14:textId="11D2ED02" w:rsidR="00134108" w:rsidRDefault="00786145" w:rsidP="00134108">
      <w:pPr>
        <w:pStyle w:val="p2"/>
        <w:ind w:left="1440"/>
      </w:pPr>
      <w:r>
        <w:rPr>
          <w:noProof/>
          <w14:ligatures w14:val="standardContextual"/>
        </w:rPr>
        <w:drawing>
          <wp:inline distT="0" distB="0" distL="0" distR="0" wp14:anchorId="08BF2911" wp14:editId="7B5E71D2">
            <wp:extent cx="1711842" cy="403314"/>
            <wp:effectExtent l="0" t="0" r="3175" b="3175"/>
            <wp:docPr id="8097000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0008" name="Imagen 80970008"/>
                    <pic:cNvPicPr/>
                  </pic:nvPicPr>
                  <pic:blipFill>
                    <a:blip r:embed="rId10">
                      <a:extLst>
                        <a:ext uri="{28A0092B-C50C-407E-A947-70E740481C1C}">
                          <a14:useLocalDpi xmlns:a14="http://schemas.microsoft.com/office/drawing/2010/main" val="0"/>
                        </a:ext>
                      </a:extLst>
                    </a:blip>
                    <a:stretch>
                      <a:fillRect/>
                    </a:stretch>
                  </pic:blipFill>
                  <pic:spPr>
                    <a:xfrm>
                      <a:off x="0" y="0"/>
                      <a:ext cx="1729616" cy="407502"/>
                    </a:xfrm>
                    <a:prstGeom prst="rect">
                      <a:avLst/>
                    </a:prstGeom>
                  </pic:spPr>
                </pic:pic>
              </a:graphicData>
            </a:graphic>
          </wp:inline>
        </w:drawing>
      </w:r>
    </w:p>
    <w:p w14:paraId="74D91355" w14:textId="77777777" w:rsidR="00134108" w:rsidRDefault="00134108" w:rsidP="00134108">
      <w:pPr>
        <w:pStyle w:val="p1"/>
        <w:numPr>
          <w:ilvl w:val="1"/>
          <w:numId w:val="10"/>
        </w:numPr>
      </w:pPr>
      <w:r>
        <w:rPr>
          <w:rStyle w:val="s1"/>
          <w:rFonts w:eastAsiaTheme="majorEastAsia"/>
          <w:b/>
          <w:bCs/>
        </w:rPr>
        <w:t>Con regalo</w:t>
      </w:r>
      <w:r>
        <w:rPr>
          <w:rStyle w:val="s2"/>
          <w:rFonts w:eastAsiaTheme="majorEastAsia"/>
        </w:rPr>
        <w:t xml:space="preserve"> (</w:t>
      </w:r>
      <w:r>
        <w:t>gift_PAN = 1</w:t>
      </w:r>
      <w:r>
        <w:rPr>
          <w:rStyle w:val="s2"/>
          <w:rFonts w:eastAsiaTheme="majorEastAsia"/>
        </w:rPr>
        <w:t>):</w:t>
      </w:r>
    </w:p>
    <w:p w14:paraId="46C78BCE" w14:textId="14442169" w:rsidR="00134108" w:rsidRDefault="00134108" w:rsidP="00134108">
      <w:pPr>
        <w:pStyle w:val="p2"/>
        <w:ind w:left="1440"/>
      </w:pPr>
      <w:r>
        <w:rPr>
          <w:rStyle w:val="s3"/>
          <w:rFonts w:eastAsiaTheme="majorEastAsia"/>
        </w:rPr>
        <w:t>.</w:t>
      </w:r>
      <w:r w:rsidR="00786145">
        <w:rPr>
          <w:noProof/>
          <w14:ligatures w14:val="standardContextual"/>
        </w:rPr>
        <w:drawing>
          <wp:inline distT="0" distB="0" distL="0" distR="0" wp14:anchorId="7BCB83AD" wp14:editId="17820E22">
            <wp:extent cx="3228310" cy="669851"/>
            <wp:effectExtent l="0" t="0" r="0" b="3810"/>
            <wp:docPr id="30710942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9427" name="Imagen 307109427"/>
                    <pic:cNvPicPr/>
                  </pic:nvPicPr>
                  <pic:blipFill>
                    <a:blip r:embed="rId11">
                      <a:extLst>
                        <a:ext uri="{28A0092B-C50C-407E-A947-70E740481C1C}">
                          <a14:useLocalDpi xmlns:a14="http://schemas.microsoft.com/office/drawing/2010/main" val="0"/>
                        </a:ext>
                      </a:extLst>
                    </a:blip>
                    <a:stretch>
                      <a:fillRect/>
                    </a:stretch>
                  </pic:blipFill>
                  <pic:spPr>
                    <a:xfrm>
                      <a:off x="0" y="0"/>
                      <a:ext cx="3281870" cy="680964"/>
                    </a:xfrm>
                    <a:prstGeom prst="rect">
                      <a:avLst/>
                    </a:prstGeom>
                  </pic:spPr>
                </pic:pic>
              </a:graphicData>
            </a:graphic>
          </wp:inline>
        </w:drawing>
      </w:r>
    </w:p>
    <w:p w14:paraId="704B3546" w14:textId="77777777" w:rsidR="00134108" w:rsidRDefault="00134108" w:rsidP="00134108">
      <w:pPr>
        <w:pStyle w:val="p1"/>
        <w:numPr>
          <w:ilvl w:val="1"/>
          <w:numId w:val="10"/>
        </w:numPr>
      </w:pPr>
      <w:r>
        <w:rPr>
          <w:b/>
          <w:bCs/>
        </w:rPr>
        <w:t>Diferencia</w:t>
      </w:r>
      <w:r>
        <w:rPr>
          <w:rStyle w:val="s1"/>
          <w:rFonts w:eastAsiaTheme="majorEastAsia"/>
        </w:rPr>
        <w:t xml:space="preserve">: +0.2466 – 0.1386 ≈ </w:t>
      </w:r>
      <w:r>
        <w:rPr>
          <w:b/>
          <w:bCs/>
        </w:rPr>
        <w:t>+10.1 puntos porcentuales</w:t>
      </w:r>
      <w:r>
        <w:rPr>
          <w:rStyle w:val="s1"/>
          <w:rFonts w:eastAsiaTheme="majorEastAsia"/>
        </w:rPr>
        <w:t>.</w:t>
      </w:r>
    </w:p>
    <w:p w14:paraId="1047BDA9" w14:textId="77777777" w:rsidR="00134108" w:rsidRDefault="00AC5B9E" w:rsidP="00134108">
      <w:pPr>
        <w:rPr>
          <w:rStyle w:val="s1"/>
          <w:rFonts w:eastAsiaTheme="majorEastAsia"/>
        </w:rPr>
      </w:pPr>
      <w:r w:rsidRPr="00AC5B9E">
        <w:rPr>
          <w:rStyle w:val="s1"/>
          <w:rFonts w:eastAsiaTheme="majorEastAsia"/>
          <w:noProof/>
          <w14:ligatures w14:val="standardContextual"/>
        </w:rPr>
        <w:pict w14:anchorId="0C32A55E">
          <v:rect id="_x0000_i1025" alt="" style="width:441.9pt;height:.05pt;mso-width-percent:0;mso-height-percent:0;mso-width-percent:0;mso-height-percent:0" o:hralign="center" o:hrstd="t" o:hr="t" fillcolor="#a0a0a0" stroked="f"/>
        </w:pict>
      </w:r>
    </w:p>
    <w:p w14:paraId="2B43C035" w14:textId="77777777" w:rsidR="00134108" w:rsidRDefault="00134108" w:rsidP="00134108">
      <w:pPr>
        <w:pStyle w:val="p2"/>
        <w:rPr>
          <w:rFonts w:eastAsiaTheme="majorEastAsia"/>
        </w:rPr>
      </w:pPr>
      <w:r>
        <w:rPr>
          <w:b/>
          <w:bCs/>
        </w:rPr>
        <w:lastRenderedPageBreak/>
        <w:t>Resumen</w:t>
      </w:r>
      <w:r>
        <w:rPr>
          <w:rStyle w:val="s2"/>
          <w:rFonts w:eastAsiaTheme="majorEastAsia"/>
        </w:rPr>
        <w:t>:</w:t>
      </w:r>
    </w:p>
    <w:p w14:paraId="6131737D" w14:textId="77777777" w:rsidR="00134108" w:rsidRDefault="00134108" w:rsidP="00134108">
      <w:pPr>
        <w:pStyle w:val="p3"/>
      </w:pPr>
      <w:r>
        <w:t>En la muestra emparejada, recibir un regalo del PAN está asociado a un aumento de las odds de identificarse con ese partido de un 103 % (OR≈2.03), lo que se traduce en elevar la probabilidad de party‐ID del 13.9 % al 24.7 % (un incremento de ≈10 puntos porcentuales).</w:t>
      </w:r>
    </w:p>
    <w:p w14:paraId="7EBD22FD" w14:textId="77777777" w:rsidR="00134108" w:rsidRDefault="00134108" w:rsidP="00060A0C">
      <w:pPr>
        <w:spacing w:before="100" w:beforeAutospacing="1" w:after="100" w:afterAutospacing="1"/>
      </w:pPr>
    </w:p>
    <w:p w14:paraId="25B4C180" w14:textId="3A7FC74A" w:rsidR="00FF16A2" w:rsidRPr="00FF16A2" w:rsidRDefault="00FF16A2" w:rsidP="00FF16A2">
      <w:pPr>
        <w:pStyle w:val="p1"/>
        <w:rPr>
          <w:b/>
          <w:bCs/>
          <w:color w:val="C00000"/>
        </w:rPr>
      </w:pPr>
      <w:r w:rsidRPr="00FF16A2">
        <w:rPr>
          <w:b/>
          <w:bCs/>
          <w:color w:val="C00000"/>
        </w:rPr>
        <w:t>ROBUSTEZ</w:t>
      </w:r>
    </w:p>
    <w:p w14:paraId="2620C82C" w14:textId="79F42177" w:rsidR="00FF16A2" w:rsidRDefault="00FF16A2" w:rsidP="00FF16A2">
      <w:pPr>
        <w:pStyle w:val="p1"/>
      </w:pPr>
      <w:r>
        <w:t>E</w:t>
      </w:r>
      <w:r>
        <w:t xml:space="preserve">l </w:t>
      </w:r>
      <w:r w:rsidRPr="00FF16A2">
        <w:rPr>
          <w:b/>
          <w:bCs/>
        </w:rPr>
        <w:t>E-value</w:t>
      </w:r>
      <w:r>
        <w:t xml:space="preserve"> te dice:</w:t>
      </w:r>
    </w:p>
    <w:p w14:paraId="2CAFE49F" w14:textId="77777777" w:rsidR="00FF16A2" w:rsidRDefault="00FF16A2" w:rsidP="00FF16A2">
      <w:pPr>
        <w:rPr>
          <w:rFonts w:ascii=".AppleSystemUIFont" w:hAnsi=".AppleSystemUIFont"/>
          <w:color w:val="0E0E0E"/>
          <w:sz w:val="21"/>
          <w:szCs w:val="21"/>
        </w:rPr>
      </w:pPr>
      <w:r>
        <w:rPr>
          <w:rFonts w:ascii=".AppleSystemUIFont" w:hAnsi=".AppleSystemUIFont"/>
          <w:color w:val="0E0E0E"/>
          <w:sz w:val="21"/>
          <w:szCs w:val="21"/>
        </w:rPr>
        <w:t xml:space="preserve">“Para invalidar mi efecto, un confusor no medido debería aumentar </w:t>
      </w:r>
      <w:r>
        <w:rPr>
          <w:rFonts w:ascii=".AppleSystemUIFont" w:hAnsi=".AppleSystemUIFont"/>
          <w:i/>
          <w:iCs/>
          <w:color w:val="0E0E0E"/>
          <w:sz w:val="21"/>
          <w:szCs w:val="21"/>
        </w:rPr>
        <w:t>ambas</w:t>
      </w:r>
      <w:r>
        <w:rPr>
          <w:rFonts w:ascii=".AppleSystemUIFont" w:hAnsi=".AppleSystemUIFont"/>
          <w:color w:val="0E0E0E"/>
          <w:sz w:val="21"/>
          <w:szCs w:val="21"/>
        </w:rPr>
        <w:t xml:space="preserve"> asociaciones (tratamiento–confusor y confusor–outcome) en al menos este factor E-value.”</w:t>
      </w:r>
    </w:p>
    <w:p w14:paraId="396C3B41" w14:textId="77777777" w:rsidR="00E200D1" w:rsidRDefault="00E200D1" w:rsidP="00060A0C">
      <w:pPr>
        <w:spacing w:before="100" w:beforeAutospacing="1" w:after="100" w:afterAutospacing="1"/>
      </w:pPr>
    </w:p>
    <w:p w14:paraId="2E0514CE" w14:textId="77777777" w:rsidR="00E200D1" w:rsidRDefault="00E200D1" w:rsidP="00060A0C">
      <w:pPr>
        <w:spacing w:before="100" w:beforeAutospacing="1" w:after="100" w:afterAutospacing="1"/>
      </w:pPr>
    </w:p>
    <w:p w14:paraId="58AA63D3" w14:textId="77777777" w:rsidR="00C4475A" w:rsidRPr="00060A0C" w:rsidRDefault="00C4475A" w:rsidP="00060A0C">
      <w:pPr>
        <w:spacing w:before="100" w:beforeAutospacing="1" w:after="100" w:afterAutospacing="1"/>
      </w:pPr>
    </w:p>
    <w:p w14:paraId="1751956C" w14:textId="77777777" w:rsidR="00060A0C" w:rsidRPr="00B33A94" w:rsidRDefault="00060A0C">
      <w:pPr>
        <w:rPr>
          <w:rFonts w:hint="cs"/>
        </w:rPr>
      </w:pPr>
    </w:p>
    <w:sectPr w:rsidR="00060A0C" w:rsidRPr="00B33A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A572B"/>
    <w:multiLevelType w:val="multilevel"/>
    <w:tmpl w:val="A0FA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01AB1"/>
    <w:multiLevelType w:val="multilevel"/>
    <w:tmpl w:val="5C768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32BFC"/>
    <w:multiLevelType w:val="multilevel"/>
    <w:tmpl w:val="309AD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22478"/>
    <w:multiLevelType w:val="multilevel"/>
    <w:tmpl w:val="7DB0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A2573"/>
    <w:multiLevelType w:val="multilevel"/>
    <w:tmpl w:val="F252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267CD"/>
    <w:multiLevelType w:val="multilevel"/>
    <w:tmpl w:val="EBC0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B02803"/>
    <w:multiLevelType w:val="multilevel"/>
    <w:tmpl w:val="88C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F1EDE"/>
    <w:multiLevelType w:val="multilevel"/>
    <w:tmpl w:val="E0FE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832733"/>
    <w:multiLevelType w:val="multilevel"/>
    <w:tmpl w:val="12B0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161893"/>
    <w:multiLevelType w:val="multilevel"/>
    <w:tmpl w:val="F812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344720">
    <w:abstractNumId w:val="0"/>
  </w:num>
  <w:num w:numId="2" w16cid:durableId="682778199">
    <w:abstractNumId w:val="5"/>
  </w:num>
  <w:num w:numId="3" w16cid:durableId="822623277">
    <w:abstractNumId w:val="3"/>
  </w:num>
  <w:num w:numId="4" w16cid:durableId="523057188">
    <w:abstractNumId w:val="7"/>
  </w:num>
  <w:num w:numId="5" w16cid:durableId="2055274742">
    <w:abstractNumId w:val="1"/>
  </w:num>
  <w:num w:numId="6" w16cid:durableId="1756319749">
    <w:abstractNumId w:val="9"/>
  </w:num>
  <w:num w:numId="7" w16cid:durableId="1867206525">
    <w:abstractNumId w:val="4"/>
  </w:num>
  <w:num w:numId="8" w16cid:durableId="257102040">
    <w:abstractNumId w:val="6"/>
  </w:num>
  <w:num w:numId="9" w16cid:durableId="933393131">
    <w:abstractNumId w:val="8"/>
  </w:num>
  <w:num w:numId="10" w16cid:durableId="56320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94"/>
    <w:rsid w:val="00020256"/>
    <w:rsid w:val="00060A0C"/>
    <w:rsid w:val="000678BC"/>
    <w:rsid w:val="00081694"/>
    <w:rsid w:val="000E64DC"/>
    <w:rsid w:val="00134108"/>
    <w:rsid w:val="00272B8E"/>
    <w:rsid w:val="00457A33"/>
    <w:rsid w:val="00485916"/>
    <w:rsid w:val="00540441"/>
    <w:rsid w:val="00711EE3"/>
    <w:rsid w:val="00786145"/>
    <w:rsid w:val="007A75F5"/>
    <w:rsid w:val="00881726"/>
    <w:rsid w:val="00906CEC"/>
    <w:rsid w:val="00934BC5"/>
    <w:rsid w:val="00947D86"/>
    <w:rsid w:val="009A7CDB"/>
    <w:rsid w:val="00AC5B9E"/>
    <w:rsid w:val="00AD68AE"/>
    <w:rsid w:val="00B33A94"/>
    <w:rsid w:val="00B86040"/>
    <w:rsid w:val="00C4475A"/>
    <w:rsid w:val="00D155CE"/>
    <w:rsid w:val="00D7446A"/>
    <w:rsid w:val="00D90286"/>
    <w:rsid w:val="00DB6957"/>
    <w:rsid w:val="00DD1E9E"/>
    <w:rsid w:val="00E200D1"/>
    <w:rsid w:val="00E36831"/>
    <w:rsid w:val="00E50D35"/>
    <w:rsid w:val="00E94A83"/>
    <w:rsid w:val="00EB4D04"/>
    <w:rsid w:val="00F5214C"/>
    <w:rsid w:val="00FE5922"/>
    <w:rsid w:val="00FF16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5F75"/>
  <w15:chartTrackingRefBased/>
  <w15:docId w15:val="{C9607867-81EB-CC4B-BE4B-19648DDA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A0C"/>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D90286"/>
    <w:pPr>
      <w:keepNext/>
      <w:keepLines/>
      <w:spacing w:before="360" w:after="80"/>
      <w:outlineLvl w:val="0"/>
    </w:pPr>
    <w:rPr>
      <w:rFonts w:eastAsiaTheme="majorEastAsia" w:cstheme="majorBidi"/>
      <w:sz w:val="32"/>
      <w:szCs w:val="40"/>
    </w:rPr>
  </w:style>
  <w:style w:type="paragraph" w:styleId="Ttulo2">
    <w:name w:val="heading 2"/>
    <w:basedOn w:val="Normal"/>
    <w:next w:val="Normal"/>
    <w:link w:val="Ttulo2Car"/>
    <w:uiPriority w:val="9"/>
    <w:semiHidden/>
    <w:unhideWhenUsed/>
    <w:qFormat/>
    <w:rsid w:val="00D90286"/>
    <w:pPr>
      <w:keepNext/>
      <w:keepLines/>
      <w:spacing w:before="160" w:after="80"/>
      <w:outlineLvl w:val="1"/>
    </w:pPr>
    <w:rPr>
      <w:rFonts w:eastAsiaTheme="majorEastAsia" w:cstheme="majorBidi"/>
      <w:b/>
      <w:color w:val="153D63" w:themeColor="text2" w:themeTint="E6"/>
      <w:sz w:val="28"/>
      <w:szCs w:val="32"/>
    </w:rPr>
  </w:style>
  <w:style w:type="paragraph" w:styleId="Ttulo3">
    <w:name w:val="heading 3"/>
    <w:basedOn w:val="Normal"/>
    <w:next w:val="Normal"/>
    <w:link w:val="Ttulo3Car"/>
    <w:uiPriority w:val="9"/>
    <w:unhideWhenUsed/>
    <w:qFormat/>
    <w:rsid w:val="00D90286"/>
    <w:pPr>
      <w:keepNext/>
      <w:keepLines/>
      <w:spacing w:before="160" w:after="80"/>
      <w:outlineLvl w:val="2"/>
    </w:pPr>
    <w:rPr>
      <w:rFonts w:eastAsiaTheme="majorEastAsia" w:cstheme="majorBidi"/>
      <w:i/>
      <w:color w:val="275317" w:themeColor="accent6" w:themeShade="80"/>
      <w:szCs w:val="28"/>
    </w:rPr>
  </w:style>
  <w:style w:type="paragraph" w:styleId="Ttulo4">
    <w:name w:val="heading 4"/>
    <w:basedOn w:val="Normal"/>
    <w:next w:val="Normal"/>
    <w:link w:val="Ttulo4Car"/>
    <w:uiPriority w:val="9"/>
    <w:semiHidden/>
    <w:unhideWhenUsed/>
    <w:qFormat/>
    <w:rsid w:val="00B33A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3A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3A9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3A9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3A9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3A9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0286"/>
    <w:rPr>
      <w:rFonts w:ascii="Times New Roman" w:eastAsiaTheme="majorEastAsia" w:hAnsi="Times New Roman" w:cstheme="majorBidi"/>
      <w:sz w:val="32"/>
      <w:szCs w:val="40"/>
      <w:lang w:val="es-ES_tradnl"/>
    </w:rPr>
  </w:style>
  <w:style w:type="character" w:customStyle="1" w:styleId="Ttulo2Car">
    <w:name w:val="Título 2 Car"/>
    <w:basedOn w:val="Fuentedeprrafopredeter"/>
    <w:link w:val="Ttulo2"/>
    <w:uiPriority w:val="9"/>
    <w:semiHidden/>
    <w:rsid w:val="00D90286"/>
    <w:rPr>
      <w:rFonts w:ascii="Times New Roman" w:eastAsiaTheme="majorEastAsia" w:hAnsi="Times New Roman" w:cstheme="majorBidi"/>
      <w:b/>
      <w:color w:val="153D63" w:themeColor="text2" w:themeTint="E6"/>
      <w:sz w:val="28"/>
      <w:szCs w:val="32"/>
      <w:lang w:val="es-ES_tradnl"/>
    </w:rPr>
  </w:style>
  <w:style w:type="character" w:customStyle="1" w:styleId="Ttulo3Car">
    <w:name w:val="Título 3 Car"/>
    <w:basedOn w:val="Fuentedeprrafopredeter"/>
    <w:link w:val="Ttulo3"/>
    <w:uiPriority w:val="9"/>
    <w:rsid w:val="00D90286"/>
    <w:rPr>
      <w:rFonts w:ascii="Times New Roman" w:eastAsiaTheme="majorEastAsia" w:hAnsi="Times New Roman" w:cstheme="majorBidi"/>
      <w:i/>
      <w:color w:val="275317" w:themeColor="accent6" w:themeShade="80"/>
      <w:szCs w:val="28"/>
      <w:lang w:val="es-ES_tradnl"/>
    </w:rPr>
  </w:style>
  <w:style w:type="character" w:customStyle="1" w:styleId="Ttulo4Car">
    <w:name w:val="Título 4 Car"/>
    <w:basedOn w:val="Fuentedeprrafopredeter"/>
    <w:link w:val="Ttulo4"/>
    <w:uiPriority w:val="9"/>
    <w:semiHidden/>
    <w:rsid w:val="00B33A94"/>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B33A94"/>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B33A94"/>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B33A94"/>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B33A94"/>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B33A94"/>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B33A9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3A94"/>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B33A94"/>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3A94"/>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B33A9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33A94"/>
    <w:rPr>
      <w:i/>
      <w:iCs/>
      <w:color w:val="404040" w:themeColor="text1" w:themeTint="BF"/>
      <w:lang w:val="es-ES_tradnl"/>
    </w:rPr>
  </w:style>
  <w:style w:type="paragraph" w:styleId="Prrafodelista">
    <w:name w:val="List Paragraph"/>
    <w:basedOn w:val="Normal"/>
    <w:uiPriority w:val="34"/>
    <w:qFormat/>
    <w:rsid w:val="00B33A94"/>
    <w:pPr>
      <w:ind w:left="720"/>
      <w:contextualSpacing/>
    </w:pPr>
  </w:style>
  <w:style w:type="character" w:styleId="nfasisintenso">
    <w:name w:val="Intense Emphasis"/>
    <w:basedOn w:val="Fuentedeprrafopredeter"/>
    <w:uiPriority w:val="21"/>
    <w:qFormat/>
    <w:rsid w:val="00B33A94"/>
    <w:rPr>
      <w:i/>
      <w:iCs/>
      <w:color w:val="0F4761" w:themeColor="accent1" w:themeShade="BF"/>
    </w:rPr>
  </w:style>
  <w:style w:type="paragraph" w:styleId="Citadestacada">
    <w:name w:val="Intense Quote"/>
    <w:basedOn w:val="Normal"/>
    <w:next w:val="Normal"/>
    <w:link w:val="CitadestacadaCar"/>
    <w:uiPriority w:val="30"/>
    <w:qFormat/>
    <w:rsid w:val="00B33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3A94"/>
    <w:rPr>
      <w:i/>
      <w:iCs/>
      <w:color w:val="0F4761" w:themeColor="accent1" w:themeShade="BF"/>
      <w:lang w:val="es-ES_tradnl"/>
    </w:rPr>
  </w:style>
  <w:style w:type="character" w:styleId="Referenciaintensa">
    <w:name w:val="Intense Reference"/>
    <w:basedOn w:val="Fuentedeprrafopredeter"/>
    <w:uiPriority w:val="32"/>
    <w:qFormat/>
    <w:rsid w:val="00B33A94"/>
    <w:rPr>
      <w:b/>
      <w:bCs/>
      <w:smallCaps/>
      <w:color w:val="0F4761" w:themeColor="accent1" w:themeShade="BF"/>
      <w:spacing w:val="5"/>
    </w:rPr>
  </w:style>
  <w:style w:type="paragraph" w:customStyle="1" w:styleId="p1">
    <w:name w:val="p1"/>
    <w:basedOn w:val="Normal"/>
    <w:rsid w:val="00B33A94"/>
    <w:pPr>
      <w:spacing w:before="100" w:beforeAutospacing="1" w:after="100" w:afterAutospacing="1"/>
    </w:pPr>
  </w:style>
  <w:style w:type="character" w:customStyle="1" w:styleId="s1">
    <w:name w:val="s1"/>
    <w:basedOn w:val="Fuentedeprrafopredeter"/>
    <w:rsid w:val="00B33A94"/>
  </w:style>
  <w:style w:type="character" w:customStyle="1" w:styleId="apple-converted-space">
    <w:name w:val="apple-converted-space"/>
    <w:basedOn w:val="Fuentedeprrafopredeter"/>
    <w:rsid w:val="00B33A94"/>
  </w:style>
  <w:style w:type="paragraph" w:customStyle="1" w:styleId="p2">
    <w:name w:val="p2"/>
    <w:basedOn w:val="Normal"/>
    <w:rsid w:val="00B33A94"/>
    <w:pPr>
      <w:spacing w:before="100" w:beforeAutospacing="1" w:after="100" w:afterAutospacing="1"/>
    </w:pPr>
  </w:style>
  <w:style w:type="paragraph" w:customStyle="1" w:styleId="p3">
    <w:name w:val="p3"/>
    <w:basedOn w:val="Normal"/>
    <w:rsid w:val="00B33A94"/>
    <w:pPr>
      <w:spacing w:before="100" w:beforeAutospacing="1" w:after="100" w:afterAutospacing="1"/>
    </w:pPr>
  </w:style>
  <w:style w:type="character" w:customStyle="1" w:styleId="s2">
    <w:name w:val="s2"/>
    <w:basedOn w:val="Fuentedeprrafopredeter"/>
    <w:rsid w:val="00B33A94"/>
  </w:style>
  <w:style w:type="paragraph" w:customStyle="1" w:styleId="p4">
    <w:name w:val="p4"/>
    <w:basedOn w:val="Normal"/>
    <w:rsid w:val="00B33A94"/>
    <w:pPr>
      <w:spacing w:before="100" w:beforeAutospacing="1" w:after="100" w:afterAutospacing="1"/>
    </w:pPr>
  </w:style>
  <w:style w:type="character" w:customStyle="1" w:styleId="s3">
    <w:name w:val="s3"/>
    <w:basedOn w:val="Fuentedeprrafopredeter"/>
    <w:rsid w:val="00B33A94"/>
  </w:style>
  <w:style w:type="character" w:styleId="Textodelmarcadordeposicin">
    <w:name w:val="Placeholder Text"/>
    <w:basedOn w:val="Fuentedeprrafopredeter"/>
    <w:uiPriority w:val="99"/>
    <w:semiHidden/>
    <w:rsid w:val="004859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343879">
      <w:bodyDiv w:val="1"/>
      <w:marLeft w:val="0"/>
      <w:marRight w:val="0"/>
      <w:marTop w:val="0"/>
      <w:marBottom w:val="0"/>
      <w:divBdr>
        <w:top w:val="none" w:sz="0" w:space="0" w:color="auto"/>
        <w:left w:val="none" w:sz="0" w:space="0" w:color="auto"/>
        <w:bottom w:val="none" w:sz="0" w:space="0" w:color="auto"/>
        <w:right w:val="none" w:sz="0" w:space="0" w:color="auto"/>
      </w:divBdr>
    </w:div>
    <w:div w:id="312032547">
      <w:bodyDiv w:val="1"/>
      <w:marLeft w:val="0"/>
      <w:marRight w:val="0"/>
      <w:marTop w:val="0"/>
      <w:marBottom w:val="0"/>
      <w:divBdr>
        <w:top w:val="none" w:sz="0" w:space="0" w:color="auto"/>
        <w:left w:val="none" w:sz="0" w:space="0" w:color="auto"/>
        <w:bottom w:val="none" w:sz="0" w:space="0" w:color="auto"/>
        <w:right w:val="none" w:sz="0" w:space="0" w:color="auto"/>
      </w:divBdr>
    </w:div>
    <w:div w:id="610012095">
      <w:bodyDiv w:val="1"/>
      <w:marLeft w:val="0"/>
      <w:marRight w:val="0"/>
      <w:marTop w:val="0"/>
      <w:marBottom w:val="0"/>
      <w:divBdr>
        <w:top w:val="none" w:sz="0" w:space="0" w:color="auto"/>
        <w:left w:val="none" w:sz="0" w:space="0" w:color="auto"/>
        <w:bottom w:val="none" w:sz="0" w:space="0" w:color="auto"/>
        <w:right w:val="none" w:sz="0" w:space="0" w:color="auto"/>
      </w:divBdr>
    </w:div>
    <w:div w:id="817920998">
      <w:bodyDiv w:val="1"/>
      <w:marLeft w:val="0"/>
      <w:marRight w:val="0"/>
      <w:marTop w:val="0"/>
      <w:marBottom w:val="0"/>
      <w:divBdr>
        <w:top w:val="none" w:sz="0" w:space="0" w:color="auto"/>
        <w:left w:val="none" w:sz="0" w:space="0" w:color="auto"/>
        <w:bottom w:val="none" w:sz="0" w:space="0" w:color="auto"/>
        <w:right w:val="none" w:sz="0" w:space="0" w:color="auto"/>
      </w:divBdr>
      <w:divsChild>
        <w:div w:id="1664503092">
          <w:blockQuote w:val="1"/>
          <w:marLeft w:val="225"/>
          <w:marRight w:val="0"/>
          <w:marTop w:val="0"/>
          <w:marBottom w:val="0"/>
          <w:divBdr>
            <w:top w:val="none" w:sz="0" w:space="0" w:color="auto"/>
            <w:left w:val="none" w:sz="0" w:space="0" w:color="auto"/>
            <w:bottom w:val="none" w:sz="0" w:space="0" w:color="auto"/>
            <w:right w:val="none" w:sz="0" w:space="0" w:color="auto"/>
          </w:divBdr>
        </w:div>
        <w:div w:id="27290524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10063168">
      <w:bodyDiv w:val="1"/>
      <w:marLeft w:val="0"/>
      <w:marRight w:val="0"/>
      <w:marTop w:val="0"/>
      <w:marBottom w:val="0"/>
      <w:divBdr>
        <w:top w:val="none" w:sz="0" w:space="0" w:color="auto"/>
        <w:left w:val="none" w:sz="0" w:space="0" w:color="auto"/>
        <w:bottom w:val="none" w:sz="0" w:space="0" w:color="auto"/>
        <w:right w:val="none" w:sz="0" w:space="0" w:color="auto"/>
      </w:divBdr>
    </w:div>
    <w:div w:id="1543441249">
      <w:bodyDiv w:val="1"/>
      <w:marLeft w:val="0"/>
      <w:marRight w:val="0"/>
      <w:marTop w:val="0"/>
      <w:marBottom w:val="0"/>
      <w:divBdr>
        <w:top w:val="none" w:sz="0" w:space="0" w:color="auto"/>
        <w:left w:val="none" w:sz="0" w:space="0" w:color="auto"/>
        <w:bottom w:val="none" w:sz="0" w:space="0" w:color="auto"/>
        <w:right w:val="none" w:sz="0" w:space="0" w:color="auto"/>
      </w:divBdr>
      <w:divsChild>
        <w:div w:id="60955337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04454289">
      <w:bodyDiv w:val="1"/>
      <w:marLeft w:val="0"/>
      <w:marRight w:val="0"/>
      <w:marTop w:val="0"/>
      <w:marBottom w:val="0"/>
      <w:divBdr>
        <w:top w:val="none" w:sz="0" w:space="0" w:color="auto"/>
        <w:left w:val="none" w:sz="0" w:space="0" w:color="auto"/>
        <w:bottom w:val="none" w:sz="0" w:space="0" w:color="auto"/>
        <w:right w:val="none" w:sz="0" w:space="0" w:color="auto"/>
      </w:divBdr>
    </w:div>
    <w:div w:id="1771271747">
      <w:bodyDiv w:val="1"/>
      <w:marLeft w:val="0"/>
      <w:marRight w:val="0"/>
      <w:marTop w:val="0"/>
      <w:marBottom w:val="0"/>
      <w:divBdr>
        <w:top w:val="none" w:sz="0" w:space="0" w:color="auto"/>
        <w:left w:val="none" w:sz="0" w:space="0" w:color="auto"/>
        <w:bottom w:val="none" w:sz="0" w:space="0" w:color="auto"/>
        <w:right w:val="none" w:sz="0" w:space="0" w:color="auto"/>
      </w:divBdr>
    </w:div>
    <w:div w:id="1877279873">
      <w:bodyDiv w:val="1"/>
      <w:marLeft w:val="0"/>
      <w:marRight w:val="0"/>
      <w:marTop w:val="0"/>
      <w:marBottom w:val="0"/>
      <w:divBdr>
        <w:top w:val="none" w:sz="0" w:space="0" w:color="auto"/>
        <w:left w:val="none" w:sz="0" w:space="0" w:color="auto"/>
        <w:bottom w:val="none" w:sz="0" w:space="0" w:color="auto"/>
        <w:right w:val="none" w:sz="0" w:space="0" w:color="auto"/>
      </w:divBdr>
      <w:divsChild>
        <w:div w:id="1751076552">
          <w:blockQuote w:val="1"/>
          <w:marLeft w:val="225"/>
          <w:marRight w:val="0"/>
          <w:marTop w:val="0"/>
          <w:marBottom w:val="0"/>
          <w:divBdr>
            <w:top w:val="none" w:sz="0" w:space="0" w:color="auto"/>
            <w:left w:val="none" w:sz="0" w:space="0" w:color="auto"/>
            <w:bottom w:val="none" w:sz="0" w:space="0" w:color="auto"/>
            <w:right w:val="none" w:sz="0" w:space="0" w:color="auto"/>
          </w:divBdr>
        </w:div>
        <w:div w:id="1733964588">
          <w:blockQuote w:val="1"/>
          <w:marLeft w:val="225"/>
          <w:marRight w:val="0"/>
          <w:marTop w:val="0"/>
          <w:marBottom w:val="0"/>
          <w:divBdr>
            <w:top w:val="none" w:sz="0" w:space="0" w:color="auto"/>
            <w:left w:val="none" w:sz="0" w:space="0" w:color="auto"/>
            <w:bottom w:val="none" w:sz="0" w:space="0" w:color="auto"/>
            <w:right w:val="none" w:sz="0" w:space="0" w:color="auto"/>
          </w:divBdr>
        </w:div>
        <w:div w:id="786585706">
          <w:blockQuote w:val="1"/>
          <w:marLeft w:val="225"/>
          <w:marRight w:val="0"/>
          <w:marTop w:val="0"/>
          <w:marBottom w:val="0"/>
          <w:divBdr>
            <w:top w:val="none" w:sz="0" w:space="0" w:color="auto"/>
            <w:left w:val="none" w:sz="0" w:space="0" w:color="auto"/>
            <w:bottom w:val="none" w:sz="0" w:space="0" w:color="auto"/>
            <w:right w:val="none" w:sz="0" w:space="0" w:color="auto"/>
          </w:divBdr>
        </w:div>
        <w:div w:id="2146467633">
          <w:blockQuote w:val="1"/>
          <w:marLeft w:val="225"/>
          <w:marRight w:val="0"/>
          <w:marTop w:val="0"/>
          <w:marBottom w:val="0"/>
          <w:divBdr>
            <w:top w:val="none" w:sz="0" w:space="0" w:color="auto"/>
            <w:left w:val="none" w:sz="0" w:space="0" w:color="auto"/>
            <w:bottom w:val="none" w:sz="0" w:space="0" w:color="auto"/>
            <w:right w:val="none" w:sz="0" w:space="0" w:color="auto"/>
          </w:divBdr>
        </w:div>
        <w:div w:id="956915084">
          <w:blockQuote w:val="1"/>
          <w:marLeft w:val="225"/>
          <w:marRight w:val="0"/>
          <w:marTop w:val="0"/>
          <w:marBottom w:val="0"/>
          <w:divBdr>
            <w:top w:val="none" w:sz="0" w:space="0" w:color="auto"/>
            <w:left w:val="none" w:sz="0" w:space="0" w:color="auto"/>
            <w:bottom w:val="none" w:sz="0" w:space="0" w:color="auto"/>
            <w:right w:val="none" w:sz="0" w:space="0" w:color="auto"/>
          </w:divBdr>
        </w:div>
        <w:div w:id="173619813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3219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6</Pages>
  <Words>1117</Words>
  <Characters>6149</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mimintern5 mimintern5</dc:creator>
  <cp:keywords/>
  <dc:description/>
  <cp:lastModifiedBy>mimintern5 mimintern5</cp:lastModifiedBy>
  <cp:revision>20</cp:revision>
  <dcterms:created xsi:type="dcterms:W3CDTF">2025-05-10T00:25:00Z</dcterms:created>
  <dcterms:modified xsi:type="dcterms:W3CDTF">2025-05-11T08:01:00Z</dcterms:modified>
</cp:coreProperties>
</file>