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4E79"/>
          <w:sz w:val="40"/>
          <w:szCs w:val="40"/>
        </w:rPr>
        <w:t xml:space="preserve">Análisis de Sentimiento Basado en Aspectos (ABSA)</w:t>
      </w:r>
    </w:p>
    <w:p>
      <w:pPr>
        <w:spacing w:after="0" w:before="120"/>
        <w:jc w:val="center"/>
      </w:pPr>
      <w:r>
        <w:rPr>
          <w:b/>
          <w:bCs/>
          <w:color w:val="1F4E79"/>
          <w:sz w:val="40"/>
          <w:szCs w:val="40"/>
        </w:rPr>
        <w:t xml:space="preserve">para Reseñas de Turismo en el Perú</w:t>
      </w:r>
    </w:p>
    <w:p>
      <w:pPr>
        <w:spacing w:after="0" w:before="240"/>
        <w:jc w:val="center"/>
      </w:pPr>
      <w:r>
        <w:rPr>
          <w:color w:val="444444"/>
          <w:sz w:val="28"/>
          <w:szCs w:val="28"/>
        </w:rPr>
        <w:t xml:space="preserve">Modelo híbrido BERT multilingüe + TextCNN</w:t>
      </w:r>
    </w:p>
    <w:p>
      <w:pPr>
        <w:spacing w:after="0" w:before="600"/>
        <w:jc w:val="center"/>
      </w:pPr>
      <w:r>
        <w:rPr>
          <w:i/>
          <w:iCs/>
          <w:sz w:val="24"/>
          <w:szCs w:val="24"/>
        </w:rPr>
        <w:t xml:space="preserve">Documentación técnica de experimentos y resultados</w:t>
      </w:r>
    </w:p>
    <w:p>
      <w:pPr>
        <w:spacing w:after="0" w:before="120"/>
        <w:jc w:val="center"/>
      </w:pPr>
      <w:r>
        <w:rPr>
          <w:sz w:val="24"/>
          <w:szCs w:val="24"/>
        </w:rPr>
        <w:t xml:space="preserve">Fase 2 — V3</w:t>
      </w:r>
    </w:p>
    <w:p>
      <w:pPr>
        <w:spacing w:after="0" w:before="120"/>
        <w:jc w:val="center"/>
      </w:pPr>
      <w:r>
        <w:rPr>
          <w:color w:val="666666"/>
          <w:sz w:val="22"/>
          <w:szCs w:val="22"/>
        </w:rPr>
        <w:t xml:space="preserve">17 de junio de 2026</w:t>
      </w:r>
    </w:p>
    <w:p>
      <w:r>
        <w:br w:type="page"/>
      </w:r>
    </w:p>
    <w:p>
      <w:pPr>
        <w:spacing w:after="160"/>
      </w:pPr>
      <w:r>
        <w:rPr>
          <w:b/>
          <w:bCs/>
          <w:color w:val="1F4E79"/>
          <w:sz w:val="28"/>
          <w:szCs w:val="28"/>
        </w:rPr>
        <w:t xml:space="preserve">Tabla de contenido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  <w:jc w:val="both"/>
      </w:pPr>
      <w:r>
        <w:t xml:space="preserve">Este documento describe el desarrollo, optimización y evaluación de un modelo de </w:t>
      </w:r>
      <w:r>
        <w:rPr>
          <w:b/>
          <w:bCs/>
        </w:rPr>
        <w:t xml:space="preserve">Análisis de Sentimiento Basado en Aspectos (ABSA)</w:t>
      </w:r>
      <w:r>
        <w:t xml:space="preserve"> aplicado a reseñas turísticas de diez destinos del Perú. El modelo combina un codificador </w:t>
      </w:r>
      <w:r>
        <w:rPr>
          <w:b/>
          <w:bCs/>
        </w:rPr>
        <w:t xml:space="preserve">BERT multilingüe</w:t>
      </w:r>
      <w:r>
        <w:t xml:space="preserve"> con una capa convolucional </w:t>
      </w:r>
      <w:r>
        <w:rPr>
          <w:b/>
          <w:bCs/>
        </w:rPr>
        <w:t xml:space="preserve">TextCNN</w:t>
      </w:r>
      <w:r>
        <w:t xml:space="preserve"> para clasificar la polaridad (negativo, neutro, positivo) de cada par aspecto–reseña sobre diez aspectos turísticos.</w:t>
      </w:r>
    </w:p>
    <w:p>
      <w:pPr>
        <w:spacing w:after="120"/>
        <w:jc w:val="both"/>
      </w:pPr>
      <w:r>
        <w:t xml:space="preserve">Mediante un proceso iterativo de ingeniería de datos e hiperparámetros, el F1-macro en el conjunto de prueba mejoró de </w:t>
      </w:r>
      <w:r>
        <w:rPr>
          <w:b/>
          <w:bCs/>
        </w:rPr>
        <w:t xml:space="preserve">0.590 a 0.674</w:t>
      </w:r>
      <w:r>
        <w:t xml:space="preserve">, pasando de perder frente a los baselines clásicos (TF-IDF) a superarlos de forma consistente. El modelo final supera al mejor baseline en </w:t>
      </w:r>
      <w:r>
        <w:rPr>
          <w:b/>
          <w:bCs/>
        </w:rPr>
        <w:t xml:space="preserve">+6.5 % de F1-macro</w:t>
      </w:r>
      <w:r>
        <w:t xml:space="preserve">. Un estudio de ablación confirmó empíricamente que el token de aspecto en la entrada es necesario para la tarea.</w:t>
      </w:r>
    </w:p>
    <w:p>
      <w:pPr>
        <w:pStyle w:val="Heading1"/>
      </w:pPr>
      <w:r>
        <w:t xml:space="preserve">2. Arquitectura del modelo</w:t>
      </w:r>
    </w:p>
    <w:p>
      <w:pPr>
        <w:spacing w:after="120"/>
        <w:jc w:val="both"/>
      </w:pPr>
      <w:r>
        <w:t xml:space="preserve">El modelo es una arquitectura híbrida de dos componentes: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Codificador BERT: </w:t>
      </w:r>
      <w:r>
        <w:t xml:space="preserve">bert-base-multilingual-cased, que produce representaciones contextuales por token a partir de la entrada formateada como «aspecto: &lt;aspecto&gt; reseña: &lt;texto&gt;».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TextCNN: </w:t>
      </w:r>
      <w:r>
        <w:t xml:space="preserve">convoluciones 1D con 128 filtros y tamaños de kernel [2, 3, 4] sobre la secuencia de embeddings, seguidas de max-pooling, dropout y una capa lineal de clasificación a 3 clases.</w:t>
      </w:r>
    </w:p>
    <w:p>
      <w:pPr>
        <w:spacing w:after="120"/>
        <w:jc w:val="both"/>
      </w:pPr>
      <w:r>
        <w:t xml:space="preserve">La función de pérdida es entropía cruzada ponderada por clase (class weights) para mitigar el desbalance. El optimizador es AdamW con un planificador lineal con calentamiento (warmup).</w:t>
      </w:r>
    </w:p>
    <w:p>
      <w:pPr>
        <w:pStyle w:val="Heading1"/>
      </w:pPr>
      <w:r>
        <w:t xml:space="preserve">3. Conjunto de datos (gold set) y particiones</w:t>
      </w:r>
    </w:p>
    <w:p>
      <w:pPr>
        <w:spacing w:after="120"/>
        <w:jc w:val="both"/>
      </w:pPr>
      <w:r>
        <w:t xml:space="preserve">El gold set fue construido y refinado a partir de múltiples rondas de anotación manual con verificación de acuerdo entre anotadores (Fleiss’ kappa). Tras la última ronda de anotación y la limpieza dirigida por auditoría, el gold set quedó con </w:t>
      </w:r>
      <w:r>
        <w:rPr>
          <w:b/>
          <w:bCs/>
        </w:rPr>
        <w:t xml:space="preserve">2 776 ejemplos</w:t>
      </w:r>
      <w:r>
        <w:t xml:space="preserve">, divididos de forma estratificada (semilla = 42):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Partición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Ejemplos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Negativo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Neutro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Positivo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Entrenamiento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1 912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386 (20.2 %)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685 (35.8 %)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841 (44.0 %)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443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71 (16.0 %)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177 (40.0 %)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195 (44.0 %)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 (test)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421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85 (20.2 %)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146 (34.7 %)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190 (45.1 %)</w:t>
            </w:r>
          </w:p>
        </w:tc>
      </w:tr>
    </w:tbl>
    <w:p>
      <w:pPr>
        <w:spacing w:after="200" w:before="60"/>
      </w:pPr>
      <w:r>
        <w:rPr>
          <w:i/>
          <w:iCs/>
          <w:color w:val="555555"/>
          <w:sz w:val="17"/>
          <w:szCs w:val="17"/>
        </w:rPr>
        <w:t xml:space="preserve">Tabla 1. Distribución de clases por partición del gold set (2 776 ejemplos).</w:t>
      </w:r>
    </w:p>
    <w:p>
      <w:pPr>
        <w:spacing w:after="120"/>
        <w:jc w:val="both"/>
      </w:pPr>
      <w:r>
        <w:t xml:space="preserve">Pesos de clase aplicados en la función de pérdida: negativo = 1.651, neutro = 0.930, positivo = 0.758. </w:t>
      </w:r>
      <w:r>
        <w:t xml:space="preserve">La limpieza por auditoría manual de aspectos con ruido de anotación demostró ser efectiva: el aspecto «atención_servicio» pasó de un F1 de 0.35 a 0.52 tras corregir sus etiquetas.</w:t>
      </w:r>
    </w:p>
    <w:p>
      <w:pPr>
        <w:pStyle w:val="Heading1"/>
      </w:pPr>
      <w:r>
        <w:t xml:space="preserve">4. Configuración experimental</w:t>
      </w:r>
    </w:p>
    <w:p>
      <w:pPr>
        <w:spacing w:after="120"/>
        <w:jc w:val="both"/>
      </w:pPr>
      <w:r>
        <w:t xml:space="preserve">La configuración final del modelo, resultado del proceso de optimización descrito en la sección 5, es la siguiente: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Hiperparámetro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Modelo base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bert-base-multilingual-cased</w:t>
            </w:r>
          </w:p>
        </w:tc>
      </w:tr>
      <w:tr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Longitud máxima de secuencia (MAX_LEN)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256 tokens</w:t>
            </w:r>
          </w:p>
        </w:tc>
      </w:tr>
      <w:tr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Tamaño de lote (batch size)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Épocas (con early stopping)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(paciencia = 2)</w:t>
            </w:r>
          </w:p>
        </w:tc>
      </w:tr>
      <w:tr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Tasa de aprendizaje (learning rate)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1e-5</w:t>
            </w:r>
          </w:p>
        </w:tc>
      </w:tr>
      <w:tr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Weight decay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0.10</w:t>
            </w:r>
          </w:p>
        </w:tc>
      </w:tr>
      <w:tr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Dropout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0.45</w:t>
            </w:r>
          </w:p>
        </w:tc>
      </w:tr>
      <w:tr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Warmup ratio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0.10</w:t>
            </w:r>
          </w:p>
        </w:tc>
      </w:tr>
      <w:tr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Función de pérdida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Entropía cruzada ponderada</w:t>
            </w:r>
          </w:p>
        </w:tc>
      </w:tr>
      <w:tr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Optimizador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AdamW</w:t>
            </w:r>
          </w:p>
        </w:tc>
      </w:tr>
      <w:tr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Filtros / kernels TextCNN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128 / [2, 3, 4]</w:t>
            </w:r>
          </w:p>
        </w:tc>
      </w:tr>
    </w:tbl>
    <w:p>
      <w:pPr>
        <w:spacing w:after="200" w:before="60"/>
      </w:pPr>
      <w:r>
        <w:rPr>
          <w:i/>
          <w:iCs/>
          <w:color w:val="555555"/>
          <w:sz w:val="17"/>
          <w:szCs w:val="17"/>
        </w:rPr>
        <w:t xml:space="preserve">Tabla 2. Configuración final de hiperparámetros.</w:t>
      </w:r>
    </w:p>
    <w:p>
      <w:pPr>
        <w:pStyle w:val="Heading1"/>
      </w:pPr>
      <w:r>
        <w:t xml:space="preserve">5. Proceso de optimización</w:t>
      </w:r>
    </w:p>
    <w:p>
      <w:pPr>
        <w:spacing w:after="120"/>
        <w:jc w:val="both"/>
      </w:pPr>
      <w:r>
        <w:t xml:space="preserve">El modelo se optimizó de forma incremental, midiendo el F1-macro en prueba tras cada cambio. La siguiente tabla resume la evolución (etapa A sobre una versión previa del gold set; el salto principal provino de </w:t>
      </w:r>
      <w:r>
        <w:rPr>
          <w:b/>
          <w:bCs/>
        </w:rPr>
        <w:t xml:space="preserve">eliminar un sesgo manual en los pesos de clase, ajustar los hiperparámetros y corregir el truncamiento de texto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00"/>
        <w:gridCol w:w="1500"/>
        <w:gridCol w:w="20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Cambio aplicado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F1-macro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Efecto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Configuración inicial (boost manual de neutro, LR 5e-6, MAX_LEN 160)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0.590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Perdía vs. baseline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 boost; LR 1e-5, weight decay 0.10, dropout 0.45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0.645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+0.055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Aumento a 10 épocas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0.659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+0.014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MAX_LEN 160 → 256 (recupera texto truncado)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0.674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+0.015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Focal Loss (γ=2.0)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0.649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Descartada (−0.025)</w:t>
            </w:r>
          </w:p>
        </w:tc>
      </w:tr>
    </w:tbl>
    <w:p>
      <w:pPr>
        <w:spacing w:after="200" w:before="60"/>
      </w:pPr>
      <w:r>
        <w:rPr>
          <w:i/>
          <w:iCs/>
          <w:color w:val="555555"/>
          <w:sz w:val="17"/>
          <w:szCs w:val="17"/>
        </w:rPr>
        <w:t xml:space="preserve">Tabla 3. Evolución del F1-macro durante la optimización (etapa A).</w:t>
      </w:r>
    </w:p>
    <w:p>
      <w:pPr>
        <w:spacing w:after="120"/>
        <w:jc w:val="both"/>
      </w:pPr>
      <w:r>
        <w:rPr>
          <w:b/>
          <w:bCs/>
        </w:rPr>
        <w:t xml:space="preserve">Hallazgo relevante: </w:t>
      </w:r>
      <w:r>
        <w:t xml:space="preserve">el diagnóstico de longitudes de token mostró que con MAX_LEN = 160 se truncaba el 16 % de las reseñas, perdiendo en promedio ~100 tokens en las reseñas largas. Aumentar a 256 redujo el truncamiento al 5.8 % y mejoró el rendimiento de las tres clases simultáneamente.</w:t>
      </w:r>
    </w:p>
    <w:p>
      <w:pPr>
        <w:pStyle w:val="Heading1"/>
      </w:pPr>
      <w:r>
        <w:t xml:space="preserve">6. Resultados finales y comparación con baselines</w:t>
      </w:r>
    </w:p>
    <w:p>
      <w:pPr>
        <w:spacing w:after="120"/>
        <w:jc w:val="both"/>
      </w:pPr>
      <w:r>
        <w:t xml:space="preserve">Sobre el gold set corregido (2 776 ejemplos), el modelo final se comparó contra seis baselines. El modelo BERT+TextCNN supera a todos: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866"/>
        <w:gridCol w:w="1867"/>
        <w:gridCol w:w="1867"/>
      </w:tblGrid>
      <w:tr>
        <w:trPr>
          <w:tblHeader/>
        </w:trP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F1-macro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F1-weighted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BERT + TextCNN (propuesto)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0.663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0.640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0.663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TF-IDF + SVM lineal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0.634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0.601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0.633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TF-IDF + Regresión logística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0.632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0.592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0.631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TF-IDF + Random Forest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0.632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0.575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0.618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TF-IDF + Complement NB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0.527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0.383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0.464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TF-IDF + Naive Bayes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0.532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0.364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0.429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Clase mayoritaria</w:t>
            </w:r>
          </w:p>
        </w:tc>
        <w:tc>
          <w:tcPr>
            <w:tcW w:type="dxa" w:w="18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0.451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0.207</w:t>
            </w:r>
          </w:p>
        </w:tc>
        <w:tc>
          <w:tcPr>
            <w:tcW w:type="dxa" w:w="18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0.281</w:t>
            </w:r>
          </w:p>
        </w:tc>
      </w:tr>
    </w:tbl>
    <w:p>
      <w:pPr>
        <w:spacing w:after="200" w:before="60"/>
      </w:pPr>
      <w:r>
        <w:rPr>
          <w:i/>
          <w:iCs/>
          <w:color w:val="555555"/>
          <w:sz w:val="17"/>
          <w:szCs w:val="17"/>
        </w:rPr>
        <w:t xml:space="preserve">Tabla 4. Comparación del modelo propuesto frente a baselines (conjunto de prueba).</w:t>
      </w:r>
    </w:p>
    <w:p>
      <w:pPr>
        <w:spacing w:after="120"/>
        <w:jc w:val="both"/>
      </w:pPr>
      <w:r>
        <w:t xml:space="preserve">Ganancia del modelo propuesto sobre el mejor baseline (SVM): </w:t>
      </w:r>
      <w:r>
        <w:rPr>
          <w:b/>
          <w:bCs/>
        </w:rPr>
        <w:t xml:space="preserve">+0.039 de F1-macro (+6.5 %)</w:t>
      </w:r>
      <w:r>
        <w:t xml:space="preserve">. El área bajo la curva ROC (AUC) por clase fue: negativo 0.835, neutro 0.812, positivo 0.837 — todas por encima de 0.81, lo que indica una buena capacidad de discriminación interna del modelo.</w:t>
      </w:r>
    </w:p>
    <w:p>
      <w:pPr>
        <w:pStyle w:val="Heading1"/>
      </w:pPr>
      <w:r>
        <w:t xml:space="preserve">7. Resultados por clase y análisis de errores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Clase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Precisión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Soporte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Negativo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0.579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0.518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0.547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85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Neutro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0.601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0.692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0.643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146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Positivo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0.757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0.705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0.730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190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Promedio macro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0.646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0.638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0.640</w:t>
            </w:r>
          </w:p>
        </w:tc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421</w:t>
            </w:r>
          </w:p>
        </w:tc>
      </w:tr>
    </w:tbl>
    <w:p>
      <w:pPr>
        <w:spacing w:after="200" w:before="60"/>
      </w:pPr>
      <w:r>
        <w:rPr>
          <w:i/>
          <w:iCs/>
          <w:color w:val="555555"/>
          <w:sz w:val="17"/>
          <w:szCs w:val="17"/>
        </w:rPr>
        <w:t xml:space="preserve">Tabla 5. Métricas por clase en el conjunto de prueba.</w:t>
      </w:r>
    </w:p>
    <w:p>
      <w:pPr>
        <w:spacing w:after="120"/>
        <w:jc w:val="both"/>
      </w:pPr>
      <w:r>
        <w:t xml:space="preserve">El análisis de errores muestra que el principal punto de confusión es la </w:t>
      </w:r>
      <w:r>
        <w:rPr>
          <w:b/>
          <w:bCs/>
        </w:rPr>
        <w:t xml:space="preserve">clase neutro</w:t>
      </w:r>
      <w:r>
        <w:t xml:space="preserve">: la mayoría de los errores corresponden a casos positivos o negativos sutiles clasificados como neutros, y viceversa. Esto es coherente con la naturaleza fronteriza de la clase neutro y con el ruido de anotación detectado en la auditoría manual.</w:t>
      </w:r>
    </w:p>
    <w:p>
      <w:pPr>
        <w:pStyle w:val="Heading1"/>
      </w:pPr>
      <w:r>
        <w:t xml:space="preserve">8. Estudio de ablación: necesidad del token de aspecto</w:t>
      </w:r>
    </w:p>
    <w:p>
      <w:pPr>
        <w:spacing w:after="120"/>
        <w:jc w:val="both"/>
      </w:pPr>
      <w:r>
        <w:t xml:space="preserve">Para verificar qué información usa realmente el modelo, se realizó un estudio de ablación entrenando una variante </w:t>
      </w:r>
      <w:r>
        <w:rPr>
          <w:b/>
          <w:bCs/>
        </w:rPr>
        <w:t xml:space="preserve">sin el token de aspecto</w:t>
      </w:r>
      <w:r>
        <w:t xml:space="preserve"> en la entrada (solo el texto de la reseña). Se comparó además con un baseline trivial que predice la clase mayoritaria de cada aspecto sin leer el texto.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  <w:gridCol w:w="1700"/>
        <w:gridCol w:w="1700"/>
        <w:gridCol w:w="1700"/>
      </w:tblGrid>
      <w:tr>
        <w:trPr>
          <w:tblHeader/>
        </w:trPr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Usa aspecto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Usa texto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F1-macro</w:t>
            </w:r>
          </w:p>
        </w:tc>
      </w:tr>
      <w:tr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Mayoría por aspecto (sin leer texto)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0.584</w:t>
            </w:r>
          </w:p>
        </w:tc>
      </w:tr>
      <w:tr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Modelo sin token de aspecto (solo texto)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0.494</w:t>
            </w:r>
          </w:p>
        </w:tc>
      </w:tr>
      <w:tr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Modelo completo (aspecto + texto)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Sí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0.655</w:t>
            </w:r>
          </w:p>
        </w:tc>
      </w:tr>
    </w:tbl>
    <w:p>
      <w:pPr>
        <w:spacing w:after="200" w:before="60"/>
      </w:pPr>
      <w:r>
        <w:rPr>
          <w:i/>
          <w:iCs/>
          <w:color w:val="555555"/>
          <w:sz w:val="17"/>
          <w:szCs w:val="17"/>
        </w:rPr>
        <w:t xml:space="preserve">Tabla 6. Estudio de ablación del token de aspecto.</w:t>
      </w:r>
    </w:p>
    <w:p>
      <w:pPr>
        <w:spacing w:after="120"/>
        <w:jc w:val="both"/>
      </w:pPr>
      <w:r>
        <w:rPr>
          <w:b/>
          <w:bCs/>
        </w:rPr>
        <w:t xml:space="preserve">Conclusión: </w:t>
      </w:r>
      <w:r>
        <w:t xml:space="preserve">al eliminar el token de aspecto el F1-macro cae a 0.494, incluso por debajo del baseline de mayoría por aspecto (0.584). Esto ocurre porque una misma reseña aparece asociada a varios aspectos; sin el token, el modelo no puede determinar sobre qué aspecto opinar. El modelo completo (0.655) supera tanto al uso exclusivo del aspecto (+0.071) como al uso exclusivo del texto (+0.161), lo que demuestra que </w:t>
      </w:r>
      <w:r>
        <w:rPr>
          <w:b/>
          <w:bCs/>
        </w:rPr>
        <w:t xml:space="preserve">el token de aspecto es necesario y que el texto aporta una contribución real y medible</w:t>
      </w:r>
      <w:r>
        <w:t xml:space="preserve">. Este resultado justifica empíricamente el diseño de la entrada del modelo.</w:t>
      </w:r>
    </w:p>
    <w:p>
      <w:pPr>
        <w:pStyle w:val="Heading1"/>
      </w:pPr>
      <w:r>
        <w:t xml:space="preserve">9. Experimentos secundarios descartados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Focal Loss (γ=2.0): </w:t>
      </w:r>
      <w:r>
        <w:t xml:space="preserve">redujo el F1-macro de 0.674 a 0.649. La pérdida focal sobre-enfatiza casos difíciles que en este corpus suelen ser ruido de anotación en la frontera neutro/negativo. Se mantuvo la entropía cruzada ponderada.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Ensemble de 3 semillas: </w:t>
      </w:r>
      <w:r>
        <w:t xml:space="preserve">descartado por restricción de hardware. En la GPU disponible (NVIDIA GTX 1650 Ti, 4 GB de VRAM) el costo estimado superaba las 20 horas con una ganancia esperada marginal (+0.01–0.02), por lo que no se justificaba el intercambio.</w:t>
      </w:r>
    </w:p>
    <w:p>
      <w:pPr>
        <w:pStyle w:val="Heading1"/>
      </w:pPr>
      <w:r>
        <w:t xml:space="preserve">10. Limitaciones y trabajo futuro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Dependencia del prior por aspecto: </w:t>
      </w:r>
      <w:r>
        <w:t xml:space="preserve">para aspectos con fuerte sesgo de clase (p. ej. «aforo_multitudes»), las predicciones sobre el corpus completo tienden a concentrarse en la clase mayoritaria. La auditoría de etiquetas mitiga este efecto donde se aplica.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Aspectos de bajo soporte: </w:t>
      </w:r>
      <w:r>
        <w:t xml:space="preserve">aspectos como «alojamiento», «seguridad» o «gastronomía» tienen pocos ejemplos en prueba, por lo que su F1 es estadísticamente ruidoso.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Objetivo PPI: </w:t>
      </w:r>
      <w:r>
        <w:t xml:space="preserve">el F1-macro final (0.64–0.67) se encuentra cerca pero por debajo del objetivo de 0.70. El siguiente salto requiere principalmente más datos de calidad, no más ajuste de hiperparámetros.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 xml:space="preserve">Trabajo futuro: </w:t>
      </w:r>
      <w:r>
        <w:t xml:space="preserve">evaluar un modelo base en español (p. ej. BETO), continuar la auditoría dirigida de aspectos con ruido, y explorar balanceo de clases por aspecto.</w:t>
      </w:r>
    </w:p>
    <w:p>
      <w:pPr>
        <w:pStyle w:val="Heading1"/>
      </w:pPr>
      <w:r>
        <w:t xml:space="preserve">11. Conclusiones</w:t>
      </w:r>
    </w:p>
    <w:p>
      <w:pPr>
        <w:spacing w:after="120"/>
        <w:jc w:val="both"/>
      </w:pPr>
      <w:r>
        <w:t xml:space="preserve">El modelo híbrido BERT multilingüe + TextCNN propuesto supera de forma consistente a los baselines clásicos de TF-IDF en la tarea de ABSA sobre reseñas turísticas peruanas, con una ganancia de +6.5 % de F1-macro sobre el mejor baseline. El proceso de optimización —centrado en ingeniería de datos (corrección de truncamiento, limpieza por auditoría) e hiperparámetros— elevó el F1-macro de 0.590 a 0.674 sin modificar el modelo base.</w:t>
      </w:r>
    </w:p>
    <w:p>
      <w:pPr>
        <w:spacing w:after="120"/>
        <w:jc w:val="both"/>
      </w:pPr>
      <w:r>
        <w:t xml:space="preserve">El estudio de ablación aporta evidencia metodológica sólida: demuestra que el token de aspecto es imprescindible para la tarea y que el componente textual contribuye de forma medible al desempeño. El conjunto de entregables (predicciones a nivel de corpus y matriz ABSA destino × aspecto) queda disponible para la fase de explotación posterior.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ABSA Turismo Perú — Fase 2 V3   |  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E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Documentación de tesis</dc:creator>
  <cp:lastModifiedBy>Un-named</cp:lastModifiedBy>
  <cp:revision>1</cp:revision>
  <dcterms:created xsi:type="dcterms:W3CDTF">2026-06-17T19:13:41.866Z</dcterms:created>
  <dcterms:modified xsi:type="dcterms:W3CDTF">2026-06-17T19:13:41.868Z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