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Resultados — Fase 2 (módulo ABSA)</w:t>
      </w:r>
    </w:p>
    <w:p>
      <w:r>
        <w:t xml:space="preserve">Resultados sobre el </w:t>
      </w:r>
      <w:r>
        <w:rPr>
          <w:b/>
        </w:rPr>
        <w:t>test estratificado del gold v4</w:t>
      </w:r>
      <w:r>
        <w:t xml:space="preserve"> (610 instancias, partición</w:t>
      </w:r>
    </w:p>
    <w:p>
      <w:r>
        <w:t xml:space="preserve">70/15/15 por </w:t>
      </w:r>
      <w:r>
        <w:rPr>
          <w:rFonts w:ascii="Courier New" w:hAnsi="Courier New"/>
          <w:color w:val="C7254E"/>
          <w:sz w:val="18"/>
        </w:rPr>
        <w:t>review_uid</w:t>
      </w:r>
      <w:r>
        <w:t>, sin fuga). Las métricas de los modelos profundos son el</w:t>
      </w:r>
    </w:p>
    <w:p>
      <w:r>
        <w:rPr>
          <w:b/>
        </w:rPr>
        <w:t>ensemble calibrado</w:t>
      </w:r>
      <w:r>
        <w:t xml:space="preserve"> de </w:t>
      </w:r>
      <w:r>
        <w:rPr>
          <w:b/>
        </w:rPr>
        <w:t>5 semillas</w:t>
      </w:r>
      <w:r>
        <w:t xml:space="preserve">. La métrica principal es </w:t>
      </w:r>
      <w:r>
        <w:rPr>
          <w:b/>
        </w:rPr>
        <w:t>F1-macro</w:t>
      </w:r>
      <w:r>
        <w:t>.</w:t>
      </w:r>
    </w:p>
    <w:p>
      <w:pPr>
        <w:pStyle w:val="Heading2"/>
      </w:pPr>
      <w:r>
        <w:t>1. Comparación de modelos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Modelo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F1-macro (test)</w:t>
            </w:r>
          </w:p>
        </w:tc>
      </w:tr>
      <w:tr>
        <w:tc>
          <w:tcPr>
            <w:tcW w:type="dxa" w:w="4320"/>
          </w:tcPr>
          <w:p>
            <w:r/>
            <w:r>
              <w:t>TF-IDF + Logistic Regression (baseline)</w:t>
            </w:r>
          </w:p>
        </w:tc>
        <w:tc>
          <w:tcPr>
            <w:tcW w:type="dxa" w:w="4320"/>
          </w:tcPr>
          <w:p>
            <w:r/>
            <w:r>
              <w:t>0.574</w:t>
            </w:r>
          </w:p>
        </w:tc>
      </w:tr>
      <w:tr>
        <w:tc>
          <w:tcPr>
            <w:tcW w:type="dxa" w:w="4320"/>
          </w:tcPr>
          <w:p>
            <w:r/>
            <w:r>
              <w:t>BERT multilingual + TextCNN (base oficial PPI)</w:t>
            </w:r>
          </w:p>
        </w:tc>
        <w:tc>
          <w:tcPr>
            <w:tcW w:type="dxa" w:w="4320"/>
          </w:tcPr>
          <w:p>
            <w:r/>
            <w:r>
              <w:t>0.651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XLM-R + TextCNN (modelo final)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0.709</w:t>
            </w:r>
          </w:p>
        </w:tc>
      </w:tr>
    </w:tbl>
    <w:p>
      <w:r>
        <w:t>Progresión clara: el baseline clásico queda lejos; XLM-R supera a la base oficial.</w:t>
      </w:r>
    </w:p>
    <w:p>
      <w:r>
        <w:t xml:space="preserve">La mejora de XLM-R sobre BERT es </w:t>
      </w:r>
      <w:r>
        <w:rPr>
          <w:b/>
        </w:rPr>
        <w:t>estadísticamente significativa</w:t>
      </w:r>
      <w:r>
        <w:t xml:space="preserve"> (ver §4).</w:t>
      </w:r>
    </w:p>
    <w:p>
      <w:pPr>
        <w:pStyle w:val="Heading2"/>
      </w:pPr>
      <w:r>
        <w:t>2. Métricas por clase (XLM-R, modelo final)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Clase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F1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Recall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Mínimo spec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¿Cumple?</w:t>
            </w:r>
          </w:p>
        </w:tc>
      </w:tr>
      <w:tr>
        <w:tc>
          <w:tcPr>
            <w:tcW w:type="dxa" w:w="1728"/>
          </w:tcPr>
          <w:p>
            <w:r/>
            <w:r>
              <w:t>negativo</w:t>
            </w:r>
          </w:p>
        </w:tc>
        <w:tc>
          <w:tcPr>
            <w:tcW w:type="dxa" w:w="1728"/>
          </w:tcPr>
          <w:p>
            <w:r/>
            <w:r>
              <w:t>0.636</w:t>
            </w:r>
          </w:p>
        </w:tc>
        <w:tc>
          <w:tcPr>
            <w:tcW w:type="dxa" w:w="1728"/>
          </w:tcPr>
          <w:p>
            <w:r/>
            <w:r>
              <w:t>0.651</w:t>
            </w:r>
          </w:p>
        </w:tc>
        <w:tc>
          <w:tcPr>
            <w:tcW w:type="dxa" w:w="1728"/>
          </w:tcPr>
          <w:p>
            <w:r/>
            <w:r>
              <w:t>F1 ≥ 0.60 y recall ≥ 0.60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neutro</w:t>
            </w:r>
          </w:p>
        </w:tc>
        <w:tc>
          <w:tcPr>
            <w:tcW w:type="dxa" w:w="1728"/>
          </w:tcPr>
          <w:p>
            <w:r/>
            <w:r>
              <w:t>0.736</w:t>
            </w:r>
          </w:p>
        </w:tc>
        <w:tc>
          <w:tcPr>
            <w:tcW w:type="dxa" w:w="1728"/>
          </w:tcPr>
          <w:p>
            <w:r/>
            <w:r>
              <w:t>0.705</w:t>
            </w:r>
          </w:p>
        </w:tc>
        <w:tc>
          <w:tcPr>
            <w:tcW w:type="dxa" w:w="1728"/>
          </w:tcPr>
          <w:p>
            <w:r/>
            <w:r>
              <w:t>F1 ≥ 0.60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positivo</w:t>
            </w:r>
          </w:p>
        </w:tc>
        <w:tc>
          <w:tcPr>
            <w:tcW w:type="dxa" w:w="1728"/>
          </w:tcPr>
          <w:p>
            <w:r/>
            <w:r>
              <w:t>0.755</w:t>
            </w:r>
          </w:p>
        </w:tc>
        <w:tc>
          <w:tcPr>
            <w:tcW w:type="dxa" w:w="1728"/>
          </w:tcPr>
          <w:p>
            <w:r/>
            <w:r>
              <w:t>0.700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macro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0.709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≥ 0.70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</w:tbl>
    <w:p>
      <w:r>
        <w:t xml:space="preserve">Accuracy = 0.721. Comparativa por clase vs BERT en </w:t>
      </w:r>
      <w:r>
        <w:rPr>
          <w:rFonts w:ascii="Courier New" w:hAnsi="Courier New"/>
          <w:color w:val="C7254E"/>
          <w:sz w:val="18"/>
        </w:rPr>
        <w:t>outputs/rigor_estadistico/f1_por_clase.png</w:t>
      </w:r>
      <w:r>
        <w:t>.</w:t>
      </w:r>
    </w:p>
    <w:p>
      <w:r>
        <w:t xml:space="preserve">Matriz de confusión: </w:t>
      </w:r>
      <w:r>
        <w:rPr>
          <w:rFonts w:ascii="Courier New" w:hAnsi="Courier New"/>
          <w:color w:val="C7254E"/>
          <w:sz w:val="18"/>
        </w:rPr>
        <w:t>outputs/rigor_estadistico/confusion_xlmr.png</w:t>
      </w:r>
      <w:r>
        <w:t>.</w:t>
      </w:r>
    </w:p>
    <w:p>
      <w:pPr>
        <w:pStyle w:val="Heading2"/>
      </w:pPr>
      <w:r>
        <w:t>3. Estabilidad por semillas (5 semillas)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Modelo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F1-macro media ± std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¿Estable (std ≤ 0.03)?</w:t>
            </w:r>
          </w:p>
        </w:tc>
      </w:tr>
      <w:tr>
        <w:tc>
          <w:tcPr>
            <w:tcW w:type="dxa" w:w="2880"/>
          </w:tcPr>
          <w:p>
            <w:r/>
            <w:r>
              <w:t>XLM-R + TextCNN</w:t>
            </w:r>
          </w:p>
        </w:tc>
        <w:tc>
          <w:tcPr>
            <w:tcW w:type="dxa" w:w="2880"/>
          </w:tcPr>
          <w:p>
            <w:r/>
            <w:r>
              <w:t>0.691 ± 0.016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BERT + TextCNN</w:t>
            </w:r>
          </w:p>
        </w:tc>
        <w:tc>
          <w:tcPr>
            <w:tcW w:type="dxa" w:w="2880"/>
          </w:tcPr>
          <w:p>
            <w:r/>
            <w:r>
              <w:t>0.646 ± 0.009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</w:tbl>
    <w:p>
      <w:r>
        <w:t xml:space="preserve">El resultado </w:t>
      </w:r>
      <w:r>
        <w:rPr>
          <w:b/>
        </w:rPr>
        <w:t>no depende de una corrida afortunada</w:t>
      </w:r>
      <w:r>
        <w:t>: el F1-macro es estable entre</w:t>
      </w:r>
    </w:p>
    <w:p>
      <w:r>
        <w:t xml:space="preserve">semillas. El valor reportado (0.709) es el </w:t>
      </w:r>
      <w:r>
        <w:rPr>
          <w:b/>
        </w:rPr>
        <w:t>ensemble</w:t>
      </w:r>
      <w:r>
        <w:t xml:space="preserve"> de las 5.</w:t>
      </w:r>
    </w:p>
    <w:p>
      <w:pPr>
        <w:pStyle w:val="Heading2"/>
      </w:pPr>
      <w:r>
        <w:t>4. Intervalos de confianza y significancia (análisis posterior, sin re-entrenar)</w:t>
      </w:r>
    </w:p>
    <w:p>
      <w:r>
        <w:rPr>
          <w:b/>
        </w:rPr>
        <w:t>Bootstrap (B=2000), XLM-R: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Métrica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Puntual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IC 95%</w:t>
            </w:r>
          </w:p>
        </w:tc>
      </w:tr>
      <w:tr>
        <w:tc>
          <w:tcPr>
            <w:tcW w:type="dxa" w:w="2880"/>
          </w:tcPr>
          <w:p>
            <w:r/>
            <w:r>
              <w:t>F1-macro</w:t>
            </w:r>
          </w:p>
        </w:tc>
        <w:tc>
          <w:tcPr>
            <w:tcW w:type="dxa" w:w="2880"/>
          </w:tcPr>
          <w:p>
            <w:r/>
            <w:r>
              <w:t>0.708</w:t>
            </w:r>
          </w:p>
        </w:tc>
        <w:tc>
          <w:tcPr>
            <w:tcW w:type="dxa" w:w="2880"/>
          </w:tcPr>
          <w:p>
            <w:r/>
            <w:r>
              <w:t>[0.672, 0.745]</w:t>
            </w:r>
          </w:p>
        </w:tc>
      </w:tr>
      <w:tr>
        <w:tc>
          <w:tcPr>
            <w:tcW w:type="dxa" w:w="2880"/>
          </w:tcPr>
          <w:p>
            <w:r/>
            <w:r>
              <w:t>F1 negativo</w:t>
            </w:r>
          </w:p>
        </w:tc>
        <w:tc>
          <w:tcPr>
            <w:tcW w:type="dxa" w:w="2880"/>
          </w:tcPr>
          <w:p>
            <w:r/>
            <w:r>
              <w:t>0.635</w:t>
            </w:r>
          </w:p>
        </w:tc>
        <w:tc>
          <w:tcPr>
            <w:tcW w:type="dxa" w:w="2880"/>
          </w:tcPr>
          <w:p>
            <w:r/>
            <w:r>
              <w:t>[0.566, 0.701]</w:t>
            </w:r>
          </w:p>
        </w:tc>
      </w:tr>
      <w:tr>
        <w:tc>
          <w:tcPr>
            <w:tcW w:type="dxa" w:w="2880"/>
          </w:tcPr>
          <w:p>
            <w:r/>
            <w:r>
              <w:t>Recall negativo</w:t>
            </w:r>
          </w:p>
        </w:tc>
        <w:tc>
          <w:tcPr>
            <w:tcW w:type="dxa" w:w="2880"/>
          </w:tcPr>
          <w:p>
            <w:r/>
            <w:r>
              <w:t>0.651</w:t>
            </w:r>
          </w:p>
        </w:tc>
        <w:tc>
          <w:tcPr>
            <w:tcW w:type="dxa" w:w="2880"/>
          </w:tcPr>
          <w:p>
            <w:r/>
            <w:r>
              <w:t>[0.564, 0.731]</w:t>
            </w:r>
          </w:p>
        </w:tc>
      </w:tr>
      <w:tr>
        <w:tc>
          <w:tcPr>
            <w:tcW w:type="dxa" w:w="2880"/>
          </w:tcPr>
          <w:p>
            <w:r/>
            <w:r>
              <w:t>F1 neutro</w:t>
            </w:r>
          </w:p>
        </w:tc>
        <w:tc>
          <w:tcPr>
            <w:tcW w:type="dxa" w:w="2880"/>
          </w:tcPr>
          <w:p>
            <w:r/>
            <w:r>
              <w:t>0.735</w:t>
            </w:r>
          </w:p>
        </w:tc>
        <w:tc>
          <w:tcPr>
            <w:tcW w:type="dxa" w:w="2880"/>
          </w:tcPr>
          <w:p>
            <w:r/>
            <w:r>
              <w:t>[0.693, 0.777]</w:t>
            </w:r>
          </w:p>
        </w:tc>
      </w:tr>
    </w:tbl>
    <w:p>
      <w:r>
        <w:t xml:space="preserve">&gt; Lectura honesta: el F1-macro </w:t>
      </w:r>
      <w:r>
        <w:rPr>
          <w:b/>
        </w:rPr>
        <w:t>puntual cruza 0.70</w:t>
      </w:r>
      <w:r>
        <w:t>, pero con n=610 el IC 95% baja a</w:t>
      </w:r>
    </w:p>
    <w:p>
      <w:r>
        <w:t>&gt; 0.672. Se reporta así por rigor; no se usa para mover umbrales.</w:t>
      </w:r>
    </w:p>
    <w:p>
      <w:r>
        <w:rPr>
          <w:b/>
        </w:rPr>
        <w:t>McNemar XLM-R vs BERT (errores pareados, mismo test):</w:t>
      </w:r>
    </w:p>
    <w:p>
      <w:pPr>
        <w:pStyle w:val="ListBullet"/>
      </w:pPr>
      <w:r>
        <w:t xml:space="preserve">Contingencia: ambos correctos 375 · </w:t>
      </w:r>
      <w:r>
        <w:rPr>
          <w:b/>
        </w:rPr>
        <w:t>XLM-R sí / BERT no: 65</w:t>
      </w:r>
      <w:r>
        <w:t xml:space="preserve"> · BERT sí / XLM-R no: 34 · ambos incorrectos 136.</w:t>
      </w:r>
    </w:p>
    <w:p>
      <w:pPr>
        <w:pStyle w:val="ListBullet"/>
      </w:pPr>
      <w:r>
        <w:rPr>
          <w:b/>
        </w:rPr>
        <w:t>p ≈ 0.0024 → la mejora de XLM-R sobre BERT es estadísticamente significativa.</w:t>
      </w:r>
    </w:p>
    <w:p>
      <w:r>
        <w:t xml:space="preserve">Distribución bootstrap: </w:t>
      </w:r>
      <w:r>
        <w:rPr>
          <w:rFonts w:ascii="Courier New" w:hAnsi="Courier New"/>
          <w:color w:val="C7254E"/>
          <w:sz w:val="18"/>
        </w:rPr>
        <w:t>outputs/rigor_estadistico/bootstrap_f1_macro.png</w:t>
      </w:r>
      <w:r>
        <w:t>.</w:t>
      </w:r>
    </w:p>
    <w:p>
      <w:pPr>
        <w:pStyle w:val="Heading2"/>
      </w:pPr>
      <w:r>
        <w:t>5. Desempeño por aspecto (XLM-R)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F1-macro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F1-macro</w:t>
            </w:r>
          </w:p>
        </w:tc>
      </w:tr>
      <w:tr>
        <w:tc>
          <w:tcPr>
            <w:tcW w:type="dxa" w:w="2160"/>
          </w:tcPr>
          <w:p>
            <w:r/>
            <w:r>
              <w:t>limpieza</w:t>
            </w:r>
          </w:p>
        </w:tc>
        <w:tc>
          <w:tcPr>
            <w:tcW w:type="dxa" w:w="2160"/>
          </w:tcPr>
          <w:p>
            <w:r/>
            <w:r>
              <w:t>0.71</w:t>
            </w:r>
          </w:p>
        </w:tc>
        <w:tc>
          <w:tcPr>
            <w:tcW w:type="dxa" w:w="2160"/>
          </w:tcPr>
          <w:p>
            <w:r/>
            <w:r>
              <w:t>atractivos</w:t>
            </w:r>
          </w:p>
        </w:tc>
        <w:tc>
          <w:tcPr>
            <w:tcW w:type="dxa" w:w="2160"/>
          </w:tcPr>
          <w:p>
            <w:r/>
            <w:r>
              <w:t>0.54</w:t>
            </w:r>
          </w:p>
        </w:tc>
      </w:tr>
      <w:tr>
        <w:tc>
          <w:tcPr>
            <w:tcW w:type="dxa" w:w="2160"/>
          </w:tcPr>
          <w:p>
            <w:r/>
            <w:r>
              <w:t>seguridad</w:t>
            </w:r>
          </w:p>
        </w:tc>
        <w:tc>
          <w:tcPr>
            <w:tcW w:type="dxa" w:w="2160"/>
          </w:tcPr>
          <w:p>
            <w:r/>
            <w:r>
              <w:t>0.66</w:t>
            </w:r>
          </w:p>
        </w:tc>
        <w:tc>
          <w:tcPr>
            <w:tcW w:type="dxa" w:w="2160"/>
          </w:tcPr>
          <w:p>
            <w:r/>
            <w:r>
              <w:t>clima</w:t>
            </w:r>
          </w:p>
        </w:tc>
        <w:tc>
          <w:tcPr>
            <w:tcW w:type="dxa" w:w="2160"/>
          </w:tcPr>
          <w:p>
            <w:r/>
            <w:r>
              <w:t>0.53</w:t>
            </w:r>
          </w:p>
        </w:tc>
      </w:tr>
      <w:tr>
        <w:tc>
          <w:tcPr>
            <w:tcW w:type="dxa" w:w="2160"/>
          </w:tcPr>
          <w:p>
            <w:r/>
            <w:r>
              <w:t>atencion_servicio</w:t>
            </w:r>
          </w:p>
        </w:tc>
        <w:tc>
          <w:tcPr>
            <w:tcW w:type="dxa" w:w="2160"/>
          </w:tcPr>
          <w:p>
            <w:r/>
            <w:r>
              <w:t>0.56</w:t>
            </w:r>
          </w:p>
        </w:tc>
        <w:tc>
          <w:tcPr>
            <w:tcW w:type="dxa" w:w="2160"/>
          </w:tcPr>
          <w:p>
            <w:r/>
            <w:r>
              <w:t>gastronomia</w:t>
            </w:r>
          </w:p>
        </w:tc>
        <w:tc>
          <w:tcPr>
            <w:tcW w:type="dxa" w:w="2160"/>
          </w:tcPr>
          <w:p>
            <w:r/>
            <w:r>
              <w:t>0.47</w:t>
            </w:r>
          </w:p>
        </w:tc>
      </w:tr>
      <w:tr>
        <w:tc>
          <w:tcPr>
            <w:tcW w:type="dxa" w:w="2160"/>
          </w:tcPr>
          <w:p>
            <w:r/>
            <w:r>
              <w:t>accesibilidad</w:t>
            </w:r>
          </w:p>
        </w:tc>
        <w:tc>
          <w:tcPr>
            <w:tcW w:type="dxa" w:w="2160"/>
          </w:tcPr>
          <w:p>
            <w:r/>
            <w:r>
              <w:t>0.56</w:t>
            </w:r>
          </w:p>
        </w:tc>
        <w:tc>
          <w:tcPr>
            <w:tcW w:type="dxa" w:w="2160"/>
          </w:tcPr>
          <w:p>
            <w:r/>
            <w:r>
              <w:t>aforo_multitudes</w:t>
            </w:r>
          </w:p>
        </w:tc>
        <w:tc>
          <w:tcPr>
            <w:tcW w:type="dxa" w:w="2160"/>
          </w:tcPr>
          <w:p>
            <w:r/>
            <w:r>
              <w:t>0.46</w:t>
            </w:r>
          </w:p>
        </w:tc>
      </w:tr>
      <w:tr>
        <w:tc>
          <w:tcPr>
            <w:tcW w:type="dxa" w:w="2160"/>
          </w:tcPr>
          <w:p>
            <w:r/>
            <w:r>
              <w:t>costos</w:t>
            </w:r>
          </w:p>
        </w:tc>
        <w:tc>
          <w:tcPr>
            <w:tcW w:type="dxa" w:w="2160"/>
          </w:tcPr>
          <w:p>
            <w:r/>
            <w:r>
              <w:t>0.56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alojamiento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0.29</w:t>
            </w:r>
          </w:p>
        </w:tc>
      </w:tr>
    </w:tbl>
    <w:p>
      <w:r>
        <w:t>Los aspectos reforzados en v4 mejoraron (p. ej. limpieza 0.43→0.71). Comparativa</w:t>
      </w:r>
    </w:p>
    <w:p>
      <w:r>
        <w:t xml:space="preserve">v3 vs v4 y BERT vs XLM-R en </w:t>
      </w:r>
      <w:r>
        <w:rPr>
          <w:rFonts w:ascii="Courier New" w:hAnsi="Courier New"/>
          <w:color w:val="C7254E"/>
          <w:sz w:val="18"/>
        </w:rPr>
        <w:t>outputs/rigor_estadistico/f1_por_aspecto.png</w:t>
      </w:r>
      <w:r>
        <w:t>.</w:t>
      </w:r>
    </w:p>
    <w:p>
      <w:r>
        <w:rPr>
          <w:b/>
        </w:rPr>
        <w:t>Análisis de errores</w:t>
      </w:r>
      <w:r>
        <w:t xml:space="preserve"> (170/610 = 27.9%): se concentran en la frontera </w:t>
      </w:r>
      <w:r>
        <w:rPr>
          <w:b/>
        </w:rPr>
        <w:t>↔neutro</w:t>
      </w:r>
    </w:p>
    <w:p>
      <w:r>
        <w:t>(positivo→neutro 63, negativo→neutro 37). Patrones tentativos: ambigüedad semántica,</w:t>
      </w:r>
    </w:p>
    <w:p>
      <w:r>
        <w:t xml:space="preserve">reseñas mixtas, aspecto débil. Ejemplos en </w:t>
      </w:r>
      <w:r>
        <w:rPr>
          <w:rFonts w:ascii="Courier New" w:hAnsi="Courier New"/>
          <w:color w:val="C7254E"/>
          <w:sz w:val="18"/>
        </w:rPr>
        <w:t>outputs/rigor_estadistico/errores_cualitativos.csv</w:t>
      </w:r>
      <w:r>
        <w:t>.</w:t>
      </w:r>
    </w:p>
    <w:p>
      <w:pPr>
        <w:pStyle w:val="Heading2"/>
      </w:pPr>
      <w:r>
        <w:t>6. Matriz destino-aspecto-sentimiento</w:t>
      </w:r>
    </w:p>
    <w:p>
      <w:r>
        <w:t xml:space="preserve">Producto final de la Fase 2 (insumo de la Fase 3): </w:t>
      </w:r>
      <w:r>
        <w:rPr>
          <w:b/>
        </w:rPr>
        <w:t>100 celdas</w:t>
      </w:r>
      <w:r>
        <w:t xml:space="preserve"> (10 destinos × 10</w:t>
      </w:r>
    </w:p>
    <w:p>
      <w:r>
        <w:t xml:space="preserve">aspectos), con </w:t>
      </w:r>
      <w:r>
        <w:rPr>
          <w:rFonts w:ascii="Courier New" w:hAnsi="Courier New"/>
          <w:color w:val="C7254E"/>
          <w:sz w:val="18"/>
        </w:rPr>
        <w:t>sentiment_score</w:t>
      </w:r>
      <w:r>
        <w:t xml:space="preserve">, </w:t>
      </w:r>
      <w:r>
        <w:rPr>
          <w:rFonts w:ascii="Courier New" w:hAnsi="Courier New"/>
          <w:color w:val="C7254E"/>
          <w:sz w:val="18"/>
        </w:rPr>
        <w:t>score_ajustado</w:t>
      </w:r>
      <w:r>
        <w:t xml:space="preserve">, </w:t>
      </w:r>
      <w:r>
        <w:rPr>
          <w:rFonts w:ascii="Courier New" w:hAnsi="Courier New"/>
          <w:color w:val="C7254E"/>
          <w:sz w:val="18"/>
        </w:rPr>
        <w:t>dominant_label</w:t>
      </w:r>
      <w:r>
        <w:t xml:space="preserve">, </w:t>
      </w:r>
      <w:r>
        <w:rPr>
          <w:rFonts w:ascii="Courier New" w:hAnsi="Courier New"/>
          <w:color w:val="C7254E"/>
          <w:sz w:val="18"/>
        </w:rPr>
        <w:t>evidence_status</w:t>
      </w:r>
      <w:r>
        <w:t>,</w:t>
      </w:r>
    </w:p>
    <w:p>
      <w:r>
        <w:rPr>
          <w:rFonts w:ascii="Courier New" w:hAnsi="Courier New"/>
          <w:color w:val="C7254E"/>
          <w:sz w:val="18"/>
        </w:rPr>
        <w:t>confidence</w:t>
      </w:r>
      <w:r>
        <w:t xml:space="preserve"> y </w:t>
      </w:r>
      <w:r>
        <w:rPr>
          <w:rFonts w:ascii="Courier New" w:hAnsi="Courier New"/>
          <w:color w:val="C7254E"/>
          <w:sz w:val="18"/>
        </w:rPr>
        <w:t>conflict_flag</w:t>
      </w:r>
      <w:r>
        <w:t>.</w:t>
      </w:r>
    </w:p>
    <w:p>
      <w:pPr>
        <w:pStyle w:val="ListBullet"/>
      </w:pPr>
      <w:r>
        <w:t xml:space="preserve">Niveles de evidencia: 95 </w:t>
      </w:r>
      <w:r>
        <w:rPr>
          <w:i/>
        </w:rPr>
        <w:t>suficiente</w:t>
      </w:r>
      <w:r>
        <w:t xml:space="preserve">, 4 </w:t>
      </w:r>
      <w:r>
        <w:rPr>
          <w:i/>
        </w:rPr>
        <w:t>insuficiente</w:t>
      </w:r>
      <w:r>
        <w:t xml:space="preserve">, 1 </w:t>
      </w:r>
      <w:r>
        <w:rPr>
          <w:i/>
        </w:rPr>
        <w:t>baja</w:t>
      </w:r>
      <w:r>
        <w:t>; 3 celdas en conflicto.</w:t>
      </w:r>
    </w:p>
    <w:p>
      <w:pPr>
        <w:pStyle w:val="ListBullet"/>
      </w:pPr>
      <w:r>
        <w:t>**A diferencia de un proxy por estrellas (que daría casi todo positivo), la matriz</w:t>
      </w:r>
    </w:p>
    <w:p>
      <w:r>
        <w:t xml:space="preserve">discrimina sentimiento por aspecto.** Ej. Machu Picchu: </w:t>
      </w:r>
      <w:r>
        <w:rPr>
          <w:rFonts w:ascii="Courier New" w:hAnsi="Courier New"/>
          <w:color w:val="C7254E"/>
          <w:sz w:val="18"/>
        </w:rPr>
        <w:t>aforo_multitudes</w:t>
      </w:r>
      <w:r>
        <w:t xml:space="preserve"> = −0.54</w:t>
      </w:r>
    </w:p>
    <w:p>
      <w:r>
        <w:t xml:space="preserve">(negativo), </w:t>
      </w:r>
      <w:r>
        <w:rPr>
          <w:rFonts w:ascii="Courier New" w:hAnsi="Courier New"/>
          <w:color w:val="C7254E"/>
          <w:sz w:val="18"/>
        </w:rPr>
        <w:t>clima</w:t>
      </w:r>
      <w:r>
        <w:t xml:space="preserve"> = −0.51 (negativo), </w:t>
      </w:r>
      <w:r>
        <w:rPr>
          <w:rFonts w:ascii="Courier New" w:hAnsi="Courier New"/>
          <w:color w:val="C7254E"/>
          <w:sz w:val="18"/>
        </w:rPr>
        <w:t>atractivos</w:t>
      </w:r>
      <w:r>
        <w:t xml:space="preserve"> = +0.97 (positivo), </w:t>
      </w:r>
      <w:r>
        <w:rPr>
          <w:rFonts w:ascii="Courier New" w:hAnsi="Courier New"/>
          <w:color w:val="C7254E"/>
          <w:sz w:val="18"/>
        </w:rPr>
        <w:t>seguridad</w:t>
      </w:r>
    </w:p>
    <w:p>
      <w:r>
        <w:t>= mixta/conflictiva (confianza 0.65).</w:t>
      </w:r>
    </w:p>
    <w:p>
      <w:pPr>
        <w:pStyle w:val="ListBullet"/>
      </w:pPr>
      <w:r>
        <w:t xml:space="preserve">Archivo: </w:t>
      </w:r>
      <w:r>
        <w:rPr>
          <w:rFonts w:ascii="Courier New" w:hAnsi="Courier New"/>
          <w:color w:val="C7254E"/>
          <w:sz w:val="18"/>
        </w:rPr>
        <w:t>outputs/matrices/matriz_destino_aspecto_sentimiento.{csv,json}</w:t>
      </w:r>
      <w:r>
        <w:t>.</w:t>
      </w:r>
    </w:p>
    <w:p>
      <w:pPr>
        <w:pStyle w:val="Heading2"/>
      </w:pPr>
      <w:r>
        <w:t>7. Limitaciones</w:t>
      </w:r>
    </w:p>
    <w:p>
      <w:pPr>
        <w:pStyle w:val="ListBullet"/>
      </w:pPr>
      <w:r>
        <w:rPr>
          <w:b/>
        </w:rPr>
        <w:t>Aspectos con bajo soporte:</w:t>
      </w:r>
      <w:r>
        <w:t xml:space="preserve"> </w:t>
      </w:r>
      <w:r>
        <w:rPr>
          <w:rFonts w:ascii="Courier New" w:hAnsi="Courier New"/>
          <w:color w:val="C7254E"/>
          <w:sz w:val="18"/>
        </w:rPr>
        <w:t>alojamiento</w:t>
      </w:r>
      <w:r>
        <w:t xml:space="preserve"> (F1 0.29) y </w:t>
      </w:r>
      <w:r>
        <w:rPr>
          <w:rFonts w:ascii="Courier New" w:hAnsi="Courier New"/>
          <w:color w:val="C7254E"/>
          <w:sz w:val="18"/>
        </w:rPr>
        <w:t>aforo_multitudes</w:t>
      </w:r>
      <w:r>
        <w:t xml:space="preserve"> (0.46)</w:t>
      </w:r>
    </w:p>
    <w:p>
      <w:r>
        <w:t xml:space="preserve">están limitados por la </w:t>
      </w:r>
      <w:r>
        <w:rPr>
          <w:b/>
        </w:rPr>
        <w:t>escasez del corpus</w:t>
      </w:r>
      <w:r>
        <w:t xml:space="preserve"> (p. ej. alojamiento ~282 menciones; las</w:t>
      </w:r>
    </w:p>
    <w:p>
      <w:r>
        <w:t xml:space="preserve">multitudes casi nunca se elogian), </w:t>
      </w:r>
      <w:r>
        <w:rPr>
          <w:b/>
        </w:rPr>
        <w:t>no por el modelo</w:t>
      </w:r>
      <w:r>
        <w:t>. Declarados como limitación.</w:t>
      </w:r>
    </w:p>
    <w:p>
      <w:pPr>
        <w:pStyle w:val="ListBullet"/>
      </w:pPr>
      <w:r>
        <w:rPr>
          <w:b/>
        </w:rPr>
        <w:t>Frontera negativo↔neutro:</w:t>
      </w:r>
      <w:r>
        <w:t xml:space="preserve"> principal fuente de error, propia de la subjetividad de</w:t>
      </w:r>
    </w:p>
    <w:p>
      <w:r>
        <w:t>la tarea.</w:t>
      </w:r>
    </w:p>
    <w:p>
      <w:pPr>
        <w:pStyle w:val="ListBullet"/>
      </w:pPr>
      <w:r>
        <w:rPr>
          <w:b/>
        </w:rPr>
        <w:t>Extracción de aspectos por reglas:</w:t>
      </w:r>
      <w:r>
        <w:t xml:space="preserve"> sesgo de cobertura (~84.5%); una extracción</w:t>
      </w:r>
    </w:p>
    <w:p>
      <w:r>
        <w:t>neuronal queda como trabajo futuro.</w:t>
      </w:r>
    </w:p>
    <w:p>
      <w:pPr>
        <w:pStyle w:val="ListBullet"/>
      </w:pPr>
      <w:r>
        <w:rPr>
          <w:b/>
        </w:rPr>
        <w:t>Comparación entre versiones del gold (v3/v4):</w:t>
      </w:r>
      <w:r>
        <w:t xml:space="preserve"> no es estricta (tests distintos); se</w:t>
      </w:r>
    </w:p>
    <w:p>
      <w:r>
        <w:t>usa solo como referencia de evolución.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