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Trazabilidad y construcción del gold set (Fase 1 → Fase 2)</w:t>
      </w:r>
    </w:p>
    <w:p>
      <w:r>
        <w:t>&gt; Documento de metodología listo para el capítulo correspondiente de la tesis.</w:t>
      </w:r>
    </w:p>
    <w:p>
      <w:r>
        <w:t xml:space="preserve">&gt; Resume el flujo de datos y la construcción </w:t>
      </w:r>
      <w:r>
        <w:rPr>
          <w:b/>
        </w:rPr>
        <w:t>iterativa</w:t>
      </w:r>
      <w:r>
        <w:t xml:space="preserve"> del gold set, de modo que</w:t>
      </w:r>
    </w:p>
    <w:p>
      <w:r>
        <w:t>&gt; el proceso se lea como un refinamiento guiado por evidencia y no como una serie de</w:t>
      </w:r>
    </w:p>
    <w:p>
      <w:r>
        <w:t>&gt; repeticiones.</w:t>
      </w:r>
    </w:p>
    <w:p>
      <w:pPr>
        <w:pStyle w:val="Heading2"/>
      </w:pPr>
      <w:r>
        <w:t>1. Rol de cada fase</w:t>
      </w:r>
    </w:p>
    <w:p>
      <w:r>
        <w:t xml:space="preserve">La </w:t>
      </w:r>
      <w:r>
        <w:rPr>
          <w:b/>
        </w:rPr>
        <w:t>Fase 1 no produce el gold set final</w:t>
      </w:r>
      <w:r>
        <w:t xml:space="preserve">, sino los </w:t>
      </w:r>
      <w:r>
        <w:rPr>
          <w:b/>
        </w:rPr>
        <w:t>insumos</w:t>
      </w:r>
      <w:r>
        <w:t xml:space="preserve"> de los que el gold</w:t>
      </w:r>
    </w:p>
    <w:p>
      <w:r>
        <w:t>set nace y luego se refina en la Fase 2. Concretamente, la Fase 1 entrega:</w:t>
      </w:r>
    </w:p>
    <w:p>
      <w:pPr>
        <w:pStyle w:val="ListNumber"/>
      </w:pPr>
      <w:r>
        <w:rPr>
          <w:b/>
        </w:rPr>
        <w:t>Corpus limpio</w:t>
      </w:r>
      <w:r>
        <w:t>: reseñas de Google Maps de 10 centros turísticos (español e</w:t>
      </w:r>
    </w:p>
    <w:p>
      <w:r>
        <w:t xml:space="preserve">inglés), depuradas y deduplicadas (de 36 829 reseñas crudas a </w:t>
      </w:r>
      <w:r>
        <w:rPr>
          <w:b/>
        </w:rPr>
        <w:t>12 657</w:t>
      </w:r>
      <w:r>
        <w:t xml:space="preserve"> reseñas</w:t>
      </w:r>
    </w:p>
    <w:p>
      <w:r>
        <w:t>del corpus ABSA, aplicando un umbral mínimo de longitud derivado empíricamente).</w:t>
      </w:r>
    </w:p>
    <w:p>
      <w:pPr>
        <w:pStyle w:val="ListNumber"/>
      </w:pPr>
      <w:r>
        <w:rPr>
          <w:b/>
        </w:rPr>
        <w:t>Léxico de aspectos</w:t>
      </w:r>
      <w:r>
        <w:t>: el diccionario bilingüe que detecta, por reglas, cuáles de</w:t>
      </w:r>
    </w:p>
    <w:p>
      <w:r>
        <w:t>los 10 aspectos turísticos se mencionan en cada reseña.</w:t>
      </w:r>
    </w:p>
    <w:p>
      <w:pPr>
        <w:pStyle w:val="ListNumber"/>
      </w:pPr>
      <w:r>
        <w:rPr>
          <w:b/>
        </w:rPr>
        <w:t>Base de anotación</w:t>
      </w:r>
      <w:r>
        <w:t xml:space="preserve"> (</w:t>
      </w:r>
      <w:r>
        <w:rPr>
          <w:rFonts w:ascii="Courier New" w:hAnsi="Courier New"/>
          <w:color w:val="C7254E"/>
          <w:sz w:val="18"/>
        </w:rPr>
        <w:t>gold_set_base_para_anotacion.csv</w:t>
      </w:r>
      <w:r>
        <w:t>, 445 filas): la</w:t>
      </w:r>
    </w:p>
    <w:p>
      <w:r>
        <w:rPr>
          <w:i/>
        </w:rPr>
        <w:t>plantilla/semilla</w:t>
      </w:r>
      <w:r>
        <w:t xml:space="preserve"> estratificada desde la que arranca la anotación humana.</w:t>
      </w:r>
    </w:p>
    <w:p>
      <w:r>
        <w:t xml:space="preserve">La </w:t>
      </w:r>
      <w:r>
        <w:rPr>
          <w:b/>
        </w:rPr>
        <w:t>Fase 2</w:t>
      </w:r>
      <w:r>
        <w:t xml:space="preserve"> construye el </w:t>
      </w:r>
      <w:r>
        <w:rPr>
          <w:b/>
        </w:rPr>
        <w:t>gold set</w:t>
      </w:r>
      <w:r>
        <w:t xml:space="preserve"> (de forma iterativa) y, sobre él, entrena y</w:t>
      </w:r>
    </w:p>
    <w:p>
      <w:r>
        <w:t xml:space="preserve">evalúa el modelo ABSA que produce la </w:t>
      </w:r>
      <w:r>
        <w:rPr>
          <w:b/>
        </w:rPr>
        <w:t>matriz destino-aspecto-sentimiento</w:t>
      </w:r>
      <w:r>
        <w:t xml:space="preserve"> que</w:t>
      </w:r>
    </w:p>
    <w:p>
      <w:r>
        <w:t>consumirá la Fase 3.</w:t>
      </w:r>
    </w:p>
    <w:p>
      <w:pPr>
        <w:pStyle w:val="Heading2"/>
      </w:pPr>
      <w:r>
        <w:t>2. El módulo ABSA es un flujo híbrido (declaración metodológica)</w:t>
      </w:r>
    </w:p>
    <w:p>
      <w:r>
        <w:t>La extracción de aspectos la realiza un **diccionario validado (etapa basada en</w:t>
      </w:r>
    </w:p>
    <w:p>
      <w:r>
        <w:t>reglas)</w:t>
      </w:r>
      <w:r>
        <w:rPr>
          <w:b/>
        </w:rPr>
        <w:t xml:space="preserve">, mientras que la </w:t>
      </w:r>
      <w:r>
        <w:t>clasificación de polaridad</w:t>
      </w:r>
      <w:r>
        <w:rPr>
          <w:b/>
        </w:rPr>
        <w:t xml:space="preserve"> la realiza un </w:t>
      </w:r>
      <w:r>
        <w:t>modelo</w:t>
      </w:r>
    </w:p>
    <w:p>
      <w:r>
        <w:t>profundo</w:t>
      </w:r>
      <w:r>
        <w:rPr>
          <w:b/>
        </w:rPr>
        <w:t xml:space="preserve">. Por tanto, el proceso ABSA </w:t>
      </w:r>
      <w:r>
        <w:t>no es completamente neuronal** y así se</w:t>
      </w:r>
    </w:p>
    <w:p>
      <w:r>
        <w:t>declara: *"extracción de aspectos mediante diccionario + clasificación de polaridad</w:t>
      </w:r>
    </w:p>
    <w:p>
      <w:r>
        <w:t>mediante modelo Transformer"*.</w:t>
      </w:r>
    </w:p>
    <w:p>
      <w:pPr>
        <w:pStyle w:val="Heading2"/>
      </w:pPr>
      <w:r>
        <w:t>3. Construcción iterativa del gold set</w:t>
      </w:r>
    </w:p>
    <w:p>
      <w:r>
        <w:t xml:space="preserve">El gold set se construyó de forma </w:t>
      </w:r>
      <w:r>
        <w:rPr>
          <w:b/>
        </w:rPr>
        <w:t>incremental</w:t>
      </w:r>
      <w:r>
        <w:t>, y **cada iteración respondió a una</w:t>
      </w:r>
    </w:p>
    <w:p>
      <w:r>
        <w:t>limitación detectada por el análisis de errores**, no a un reintento arbitrario: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Iteración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Qué se hizo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Justificación (evidencia que la motivó)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Acuerdo (κ)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Tamaño</w:t>
            </w:r>
          </w:p>
        </w:tc>
      </w:tr>
      <w:tr>
        <w:tc>
          <w:tcPr>
            <w:tcW w:type="dxa" w:w="1728"/>
          </w:tcPr>
          <w:p>
            <w:r/>
            <w:r>
              <w:t>Base (Fase 1)</w:t>
            </w:r>
          </w:p>
        </w:tc>
        <w:tc>
          <w:tcPr>
            <w:tcW w:type="dxa" w:w="1728"/>
          </w:tcPr>
          <w:p>
            <w:r/>
            <w:r>
              <w:t>Plantilla de anotación estratificada</w:t>
            </w:r>
          </w:p>
        </w:tc>
        <w:tc>
          <w:tcPr>
            <w:tcW w:type="dxa" w:w="1728"/>
          </w:tcPr>
          <w:p>
            <w:r/>
            <w:r>
              <w:t>Semilla del corpus para iniciar la anotación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445</w:t>
            </w:r>
          </w:p>
        </w:tc>
      </w:tr>
      <w:tr>
        <w:tc>
          <w:tcPr>
            <w:tcW w:type="dxa" w:w="1728"/>
          </w:tcPr>
          <w:p>
            <w:r/>
            <w:r>
              <w:t>Gold consenso</w:t>
            </w:r>
          </w:p>
        </w:tc>
        <w:tc>
          <w:tcPr>
            <w:tcW w:type="dxa" w:w="1728"/>
          </w:tcPr>
          <w:p>
            <w:r/>
            <w:r>
              <w:t>Anotación por 3 jueces + etiqueta de consenso</w:t>
            </w:r>
          </w:p>
        </w:tc>
        <w:tc>
          <w:tcPr>
            <w:tcW w:type="dxa" w:w="1728"/>
          </w:tcPr>
          <w:p>
            <w:r/>
            <w:r>
              <w:t>Construir un gold confiable con acuerdo medido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0.92</w:t>
            </w:r>
          </w:p>
        </w:tc>
        <w:tc>
          <w:tcPr>
            <w:tcW w:type="dxa" w:w="1728"/>
          </w:tcPr>
          <w:p>
            <w:r/>
            <w:r>
              <w:t>2 866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Gold v3</w:t>
            </w:r>
          </w:p>
        </w:tc>
        <w:tc>
          <w:tcPr>
            <w:tcW w:type="dxa" w:w="1728"/>
          </w:tcPr>
          <w:p>
            <w:r/>
            <w:r>
              <w:t xml:space="preserve">Ampliación dirigida de </w:t>
            </w:r>
            <w:r>
              <w:rPr>
                <w:b/>
              </w:rPr>
              <w:t>negativos</w:t>
            </w:r>
          </w:p>
        </w:tc>
        <w:tc>
          <w:tcPr>
            <w:tcW w:type="dxa" w:w="1728"/>
          </w:tcPr>
          <w:p>
            <w:r/>
            <w:r>
              <w:t xml:space="preserve">El análisis por clase mostró que la </w:t>
            </w:r>
            <w:r>
              <w:rPr>
                <w:b/>
              </w:rPr>
              <w:t>clase negativa</w:t>
            </w:r>
            <w:r>
              <w:t xml:space="preserve"> era el cuello de botella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0.89</w:t>
            </w:r>
          </w:p>
        </w:tc>
        <w:tc>
          <w:tcPr>
            <w:tcW w:type="dxa" w:w="1728"/>
          </w:tcPr>
          <w:p>
            <w:r/>
            <w:r>
              <w:t>3 562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Gold v4</w:t>
            </w:r>
          </w:p>
        </w:tc>
        <w:tc>
          <w:tcPr>
            <w:tcW w:type="dxa" w:w="1728"/>
          </w:tcPr>
          <w:p>
            <w:r/>
            <w:r>
              <w:t xml:space="preserve">Refuerzo de </w:t>
            </w:r>
            <w:r>
              <w:rPr>
                <w:b/>
              </w:rPr>
              <w:t>aspectos débiles</w:t>
            </w:r>
            <w:r>
              <w:t xml:space="preserve"> (clima, aforo, limpieza)</w:t>
            </w:r>
          </w:p>
        </w:tc>
        <w:tc>
          <w:tcPr>
            <w:tcW w:type="dxa" w:w="1728"/>
          </w:tcPr>
          <w:p>
            <w:r/>
            <w:r>
              <w:t xml:space="preserve">El desempeño </w:t>
            </w:r>
            <w:r>
              <w:rPr>
                <w:b/>
              </w:rPr>
              <w:t>por aspecto</w:t>
            </w:r>
            <w:r>
              <w:t xml:space="preserve"> mostró aspectos con baja señal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0.82</w:t>
            </w:r>
          </w:p>
        </w:tc>
        <w:tc>
          <w:tcPr>
            <w:tcW w:type="dxa" w:w="1728"/>
          </w:tcPr>
          <w:p>
            <w:r/>
            <w:r>
              <w:t>4 045</w:t>
            </w:r>
          </w:p>
        </w:tc>
      </w:tr>
    </w:tbl>
    <w:p>
      <w:r>
        <w:t xml:space="preserve">Cada ítem del gold set conserva una columna </w:t>
      </w:r>
      <w:r>
        <w:rPr>
          <w:rFonts w:ascii="Courier New" w:hAnsi="Courier New"/>
          <w:color w:val="C7254E"/>
          <w:sz w:val="18"/>
        </w:rPr>
        <w:t>origen</w:t>
      </w:r>
      <w:r>
        <w:t xml:space="preserve"> (p. ej. </w:t>
      </w:r>
      <w:r>
        <w:rPr>
          <w:rFonts w:ascii="Courier New" w:hAnsi="Courier New"/>
          <w:color w:val="C7254E"/>
          <w:sz w:val="18"/>
        </w:rPr>
        <w:t>consenso_v2</w:t>
      </w:r>
      <w:r>
        <w:t>,</w:t>
      </w:r>
    </w:p>
    <w:p>
      <w:r>
        <w:rPr>
          <w:rFonts w:ascii="Courier New" w:hAnsi="Courier New"/>
          <w:color w:val="C7254E"/>
          <w:sz w:val="18"/>
        </w:rPr>
        <w:t>refuerzo_aspectos_v4</w:t>
      </w:r>
      <w:r>
        <w:t xml:space="preserve">) que permite </w:t>
      </w:r>
      <w:r>
        <w:rPr>
          <w:b/>
        </w:rPr>
        <w:t>trazar de qué iteración proviene</w:t>
      </w:r>
      <w:r>
        <w:t xml:space="preserve"> cada ejemplo.</w:t>
      </w:r>
    </w:p>
    <w:p>
      <w:pPr>
        <w:pStyle w:val="Heading3"/>
      </w:pPr>
      <w:r>
        <w:t>Efecto del refuerzo de aspectos (v3 → v4)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v3 (neg/neu/pos)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v4 (neg/neu/pos)</w:t>
            </w:r>
          </w:p>
        </w:tc>
      </w:tr>
      <w:tr>
        <w:tc>
          <w:tcPr>
            <w:tcW w:type="dxa" w:w="2880"/>
          </w:tcPr>
          <w:p>
            <w:r/>
            <w:r>
              <w:t>clima</w:t>
            </w:r>
          </w:p>
        </w:tc>
        <w:tc>
          <w:tcPr>
            <w:tcW w:type="dxa" w:w="2880"/>
          </w:tcPr>
          <w:p>
            <w:r/>
            <w:r>
              <w:t>65 / 30 / 28</w:t>
            </w:r>
          </w:p>
        </w:tc>
        <w:tc>
          <w:tcPr>
            <w:tcW w:type="dxa" w:w="2880"/>
          </w:tcPr>
          <w:p>
            <w:r/>
            <w:r>
              <w:t>125 / 290 / 62</w:t>
            </w:r>
          </w:p>
        </w:tc>
      </w:tr>
      <w:tr>
        <w:tc>
          <w:tcPr>
            <w:tcW w:type="dxa" w:w="2880"/>
          </w:tcPr>
          <w:p>
            <w:r/>
            <w:r>
              <w:t>aforo_multitudes</w:t>
            </w:r>
          </w:p>
        </w:tc>
        <w:tc>
          <w:tcPr>
            <w:tcW w:type="dxa" w:w="2880"/>
          </w:tcPr>
          <w:p>
            <w:r/>
            <w:r>
              <w:t>153 / 105 / 28</w:t>
            </w:r>
          </w:p>
        </w:tc>
        <w:tc>
          <w:tcPr>
            <w:tcW w:type="dxa" w:w="2880"/>
          </w:tcPr>
          <w:p>
            <w:r/>
            <w:r>
              <w:t>161 / 110 / 74</w:t>
            </w:r>
          </w:p>
        </w:tc>
      </w:tr>
      <w:tr>
        <w:tc>
          <w:tcPr>
            <w:tcW w:type="dxa" w:w="2880"/>
          </w:tcPr>
          <w:p>
            <w:r/>
            <w:r>
              <w:t>limpieza</w:t>
            </w:r>
          </w:p>
        </w:tc>
        <w:tc>
          <w:tcPr>
            <w:tcW w:type="dxa" w:w="2880"/>
          </w:tcPr>
          <w:p>
            <w:r/>
            <w:r>
              <w:t>74 / 72 / 152</w:t>
            </w:r>
          </w:p>
        </w:tc>
        <w:tc>
          <w:tcPr>
            <w:tcW w:type="dxa" w:w="2880"/>
          </w:tcPr>
          <w:p>
            <w:r/>
            <w:r>
              <w:t>89 / 109 / 170</w:t>
            </w:r>
          </w:p>
        </w:tc>
      </w:tr>
      <w:tr>
        <w:tc>
          <w:tcPr>
            <w:tcW w:type="dxa" w:w="2880"/>
          </w:tcPr>
          <w:p>
            <w:r/>
            <w:r>
              <w:t>alojamiento</w:t>
            </w:r>
          </w:p>
        </w:tc>
        <w:tc>
          <w:tcPr>
            <w:tcW w:type="dxa" w:w="2880"/>
          </w:tcPr>
          <w:p>
            <w:r/>
            <w:r>
              <w:t>5 / 83 / 17</w:t>
            </w:r>
          </w:p>
        </w:tc>
        <w:tc>
          <w:tcPr>
            <w:tcW w:type="dxa" w:w="2880"/>
          </w:tcPr>
          <w:p>
            <w:r/>
            <w:r>
              <w:t xml:space="preserve">5 / 83 / 17 </w:t>
            </w:r>
            <w:r>
              <w:rPr>
                <w:i/>
              </w:rPr>
              <w:t>(sin cambio)</w:t>
            </w:r>
          </w:p>
        </w:tc>
      </w:tr>
    </w:tbl>
    <w:p>
      <w:pPr>
        <w:pStyle w:val="Heading2"/>
      </w:pPr>
      <w:r>
        <w:t>4. Diseño experimental (sobre cualquier versión del gold set)</w:t>
      </w:r>
    </w:p>
    <w:p>
      <w:pPr>
        <w:pStyle w:val="ListBullet"/>
      </w:pPr>
      <w:r>
        <w:rPr>
          <w:b/>
        </w:rPr>
        <w:t>Partición 70/15/15</w:t>
      </w:r>
      <w:r>
        <w:t xml:space="preserve"> por </w:t>
      </w:r>
      <w:r>
        <w:rPr>
          <w:rFonts w:ascii="Courier New" w:hAnsi="Courier New"/>
          <w:color w:val="C7254E"/>
          <w:sz w:val="18"/>
        </w:rPr>
        <w:t>review_uid</w:t>
      </w:r>
      <w:r>
        <w:t xml:space="preserve"> (no por fila), con **verificación explícita</w:t>
      </w:r>
    </w:p>
    <w:p>
      <w:r>
        <w:t>de cero fuga** entre train/validation/test.</w:t>
      </w:r>
    </w:p>
    <w:p>
      <w:pPr>
        <w:pStyle w:val="ListBullet"/>
      </w:pPr>
      <w:r>
        <w:rPr>
          <w:b/>
        </w:rPr>
        <w:t>≥ 3 semillas</w:t>
      </w:r>
      <w:r>
        <w:t xml:space="preserve"> y reporte de </w:t>
      </w:r>
      <w:r>
        <w:rPr>
          <w:b/>
        </w:rPr>
        <w:t>media ± desviación estándar</w:t>
      </w:r>
      <w:r>
        <w:t xml:space="preserve"> (la selección del</w:t>
      </w:r>
    </w:p>
    <w:p>
      <w:r>
        <w:t>modelo no se basa en la mejor corrida).</w:t>
      </w:r>
    </w:p>
    <w:p>
      <w:pPr>
        <w:pStyle w:val="ListBullet"/>
      </w:pPr>
      <w:r>
        <w:rPr>
          <w:b/>
        </w:rPr>
        <w:t>Selección de hiperparámetros por validación</w:t>
      </w:r>
      <w:r>
        <w:t>, nunca mirando el test.</w:t>
      </w:r>
    </w:p>
    <w:p>
      <w:pPr>
        <w:pStyle w:val="Heading2"/>
      </w:pPr>
      <w:r>
        <w:t>5. Cómo comparar versiones (advertencia metodológica)</w:t>
      </w:r>
    </w:p>
    <w:p>
      <w:r>
        <w:t xml:space="preserve">Las versiones del gold set (v3, v4) </w:t>
      </w:r>
      <w:r>
        <w:rPr>
          <w:b/>
        </w:rPr>
        <w:t>no son comparables de forma estricta</w:t>
      </w:r>
      <w:r>
        <w:t xml:space="preserve"> entre sí,</w:t>
      </w:r>
    </w:p>
    <w:p>
      <w:r>
        <w:t xml:space="preserve">porque cada una se </w:t>
      </w:r>
      <w:r>
        <w:rPr>
          <w:b/>
        </w:rPr>
        <w:t>re-particiona</w:t>
      </w:r>
      <w:r>
        <w:t xml:space="preserve"> y por tanto tiene un </w:t>
      </w:r>
      <w:r>
        <w:rPr>
          <w:b/>
        </w:rPr>
        <w:t>conjunto de test distinto</w:t>
      </w:r>
      <w:r>
        <w:t>.</w:t>
      </w:r>
    </w:p>
    <w:p>
      <w:r>
        <w:t xml:space="preserve">La comparación entre versiones debe presentarse como </w:t>
      </w:r>
      <w:r>
        <w:rPr>
          <w:b/>
        </w:rPr>
        <w:t>referencia de evolución</w:t>
      </w:r>
      <w:r>
        <w:t>, no</w:t>
      </w:r>
    </w:p>
    <w:p>
      <w:r>
        <w:t>como una prueba estricta en el mismo test. La mejora real se sostiene con:</w:t>
      </w:r>
    </w:p>
    <w:p>
      <w:pPr>
        <w:pStyle w:val="ListBullet"/>
      </w:pPr>
      <w:r>
        <w:t xml:space="preserve">el </w:t>
      </w:r>
      <w:r>
        <w:rPr>
          <w:b/>
        </w:rPr>
        <w:t>desempeño por aspecto</w:t>
      </w:r>
      <w:r>
        <w:t xml:space="preserve"> (especialmente los aspectos reforzados), y</w:t>
      </w:r>
    </w:p>
    <w:p>
      <w:pPr>
        <w:pStyle w:val="ListBullet"/>
      </w:pPr>
      <w:r>
        <w:t xml:space="preserve">la </w:t>
      </w:r>
      <w:r>
        <w:rPr>
          <w:b/>
        </w:rPr>
        <w:t>estabilidad por semillas</w:t>
      </w:r>
      <w:r>
        <w:t xml:space="preserve"> (desviación estándar del F1-macro).</w:t>
      </w:r>
    </w:p>
    <w:p>
      <w:pPr>
        <w:pStyle w:val="Heading2"/>
      </w:pPr>
      <w:r>
        <w:t>6. Limitaciones declaradas</w:t>
      </w:r>
    </w:p>
    <w:p>
      <w:pPr>
        <w:pStyle w:val="ListBullet"/>
      </w:pPr>
      <w:r>
        <w:rPr>
          <w:b/>
        </w:rPr>
        <w:t>`alojamiento`</w:t>
      </w:r>
      <w:r>
        <w:t xml:space="preserve"> permanece con baja señal </w:t>
      </w:r>
      <w:r>
        <w:rPr>
          <w:b/>
        </w:rPr>
        <w:t>por límite del corpus</w:t>
      </w:r>
      <w:r>
        <w:t>: el corpus</w:t>
      </w:r>
    </w:p>
    <w:p>
      <w:r>
        <w:t>completo contiene apenas ~282 menciones del aspecto (los centros son atractivos, no</w:t>
      </w:r>
    </w:p>
    <w:p>
      <w:r>
        <w:t>hoteles), por lo que no puede balancearse mediante más anotación. Se declara como</w:t>
      </w:r>
    </w:p>
    <w:p>
      <w:r>
        <w:t xml:space="preserve">limitación; la matriz lo marca con nivel de evidencia </w:t>
      </w:r>
      <w:r>
        <w:rPr>
          <w:i/>
        </w:rPr>
        <w:t>insuficiente/baja</w:t>
      </w:r>
      <w:r>
        <w:t xml:space="preserve"> y el</w:t>
      </w:r>
    </w:p>
    <w:p>
      <w:r>
        <w:t>recomendador lo penaliza por confianza.</w:t>
      </w:r>
    </w:p>
    <w:p>
      <w:pPr>
        <w:pStyle w:val="ListBullet"/>
      </w:pPr>
      <w:r>
        <w:t xml:space="preserve">La extracción de aspectos por diccionario implica un </w:t>
      </w:r>
      <w:r>
        <w:rPr>
          <w:b/>
        </w:rPr>
        <w:t>sesgo de cobertura</w:t>
      </w:r>
      <w:r>
        <w:t>: las</w:t>
      </w:r>
    </w:p>
    <w:p>
      <w:r>
        <w:t>menciones que el léxico no captura no entran al estudio. Una extracción neuronal de</w:t>
      </w:r>
    </w:p>
    <w:p>
      <w:r>
        <w:t>aspectos se plantea como trabajo futuro.</w:t>
      </w:r>
    </w:p>
    <w:p>
      <w:pPr>
        <w:pStyle w:val="Heading2"/>
      </w:pPr>
      <w:r>
        <w:t>7. Redacción sugerida (párrafo modelo)</w:t>
      </w:r>
    </w:p>
    <w:p>
      <w:r>
        <w:t>&gt; "El gold set se construyó de forma incremental a partir de la base de anotación de</w:t>
      </w:r>
    </w:p>
    <w:p>
      <w:r>
        <w:t>&gt; la Fase 1. Tras un conjunto inicial anotado por tres jueces (Fleiss κ = 0.92), el</w:t>
      </w:r>
    </w:p>
    <w:p>
      <w:r>
        <w:t>&gt; análisis de errores reveló dos limitaciones de señal —la clase negativa y un grupo</w:t>
      </w:r>
    </w:p>
    <w:p>
      <w:r>
        <w:t>&gt; de aspectos poco representados—, que se atendieron mediante ampliaciones dirigidas</w:t>
      </w:r>
    </w:p>
    <w:p>
      <w:r>
        <w:t>&gt; (v3: refuerzo de negativos, κ = 0.89; v4: refuerzo de clima, aforo y limpieza,</w:t>
      </w:r>
    </w:p>
    <w:p>
      <w:r>
        <w:t>&gt; κ = 0.82). Cada ampliación conserva trazabilidad de origen y respeta la misma</w:t>
      </w:r>
    </w:p>
    <w:p>
      <w:r>
        <w:t>&gt; taxonomía de 10 aspectos y las mismas etiquetas de polaridad. El módulo ABSA es un</w:t>
      </w:r>
    </w:p>
    <w:p>
      <w:r>
        <w:t>&gt; flujo híbrido: la detección de aspectos se realiza con un diccionario validado y la</w:t>
      </w:r>
    </w:p>
    <w:p>
      <w:r>
        <w:t>&gt; clasificación de polaridad con un modelo Transformer, lo que se declara explícitamente</w:t>
      </w:r>
    </w:p>
    <w:p>
      <w:r>
        <w:t>&gt; para no atribuir todo el proceso a la red neuronal."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