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8F376" w14:textId="77777777" w:rsidR="000B3701" w:rsidRDefault="000B3701" w:rsidP="000B3701">
      <w:r>
        <w:t>Enrollment_Rate_5_16 = ENROLLMENT_RATE_5_16, # Proportion of the population between 5 and 16 years old who are attending the educational system. When DANE's population projections do not adequately capture internal migratory flows, it can reach values greater than 100%.</w:t>
      </w:r>
    </w:p>
    <w:p w14:paraId="7CF09CE7" w14:textId="77777777" w:rsidR="000B3701" w:rsidRDefault="000B3701" w:rsidP="000B3701">
      <w:proofErr w:type="spellStart"/>
      <w:r>
        <w:t>Net_Coverage</w:t>
      </w:r>
      <w:proofErr w:type="spellEnd"/>
      <w:r>
        <w:t xml:space="preserve"> = NET_COVERAGE, # It is the ratio between the number of students enrolled in transition, primary, secondary, and high school who have the theoretical age (5 to 16 years) and the total population of that same age. When DANE's population projections do not adequately capture internal migratory flows, it can reach values greater than 100%.</w:t>
      </w:r>
    </w:p>
    <w:p w14:paraId="35C03C1C" w14:textId="77777777" w:rsidR="000B3701" w:rsidRDefault="000B3701" w:rsidP="000B3701">
      <w:proofErr w:type="spellStart"/>
      <w:r>
        <w:t>Net_Coverage_Transition</w:t>
      </w:r>
      <w:proofErr w:type="spellEnd"/>
      <w:r>
        <w:t xml:space="preserve"> = NET_COVERAGE_TRANSITION, # It is the ratio between the number of students enrolled in transition who have the theoretical age to attend this level (5 years) and the total population of that same age. When DANE's population projections do not adequately capture internal migratory flows, it can reach values greater than 100%.</w:t>
      </w:r>
    </w:p>
    <w:p w14:paraId="2ACED11E" w14:textId="77777777" w:rsidR="000B3701" w:rsidRDefault="000B3701" w:rsidP="000B3701">
      <w:proofErr w:type="spellStart"/>
      <w:r>
        <w:t>Net_Coverage_Primary</w:t>
      </w:r>
      <w:proofErr w:type="spellEnd"/>
      <w:r>
        <w:t xml:space="preserve"> = NET_COVERAGE_PRIMARY, # It is the ratio between the number of students enrolled in primary who have the theoretical age to attend this level (6 to 10 years) and the total population of that same age. When DANE's population projections do not adequately capture internal migratory flows, it can reach values greater than 100%.</w:t>
      </w:r>
    </w:p>
    <w:p w14:paraId="5B3948A9" w14:textId="77777777" w:rsidR="000B3701" w:rsidRDefault="000B3701" w:rsidP="000B3701">
      <w:proofErr w:type="spellStart"/>
      <w:r>
        <w:t>Net_Coverage_Secondary</w:t>
      </w:r>
      <w:proofErr w:type="spellEnd"/>
      <w:r>
        <w:t xml:space="preserve"> = NET_COVERAGE_SECONDARY, # It is the ratio between the number of students enrolled in secondary who have the theoretical age to attend this level (11 to 14 years) and the total population of that same age. When DANE's population projections do not adequately capture internal migratory flows, it can reach values greater than 100%.</w:t>
      </w:r>
    </w:p>
    <w:p w14:paraId="3FA5504A" w14:textId="77777777" w:rsidR="000B3701" w:rsidRDefault="000B3701" w:rsidP="000B3701">
      <w:proofErr w:type="spellStart"/>
      <w:r>
        <w:t>Net_Coverage_HighSchool</w:t>
      </w:r>
      <w:proofErr w:type="spellEnd"/>
      <w:r>
        <w:t xml:space="preserve"> = NET_COVERAGE_HIGH_SCHOOL, # It is the ratio between the number of students enrolled in high school who have the theoretical age to attend this level (15 to 16 years) and the total population of that same age. When DANE's population projections do not adequately capture internal migratory flows, it can reach values greater than 100%.</w:t>
      </w:r>
    </w:p>
    <w:p w14:paraId="4405F901" w14:textId="77777777" w:rsidR="000B3701" w:rsidRDefault="000B3701" w:rsidP="000B3701">
      <w:proofErr w:type="spellStart"/>
      <w:r>
        <w:t>Dropout_Rate</w:t>
      </w:r>
      <w:proofErr w:type="spellEnd"/>
      <w:r>
        <w:t xml:space="preserve"> = DROPOUT_RATE, # Intra-annual dropout rate of the official sector. Identifies the proportion of enrolled students who, due to cultural factors, conjunctural situations, or the provision of educational service, leave their studies during the academic year.</w:t>
      </w:r>
    </w:p>
    <w:p w14:paraId="342E7833" w14:textId="77777777" w:rsidR="000B3701" w:rsidRDefault="000B3701" w:rsidP="000B3701">
      <w:proofErr w:type="spellStart"/>
      <w:r>
        <w:t>Dropout_Rate_Transition</w:t>
      </w:r>
      <w:proofErr w:type="spellEnd"/>
      <w:r>
        <w:t xml:space="preserve"> = DROPOUT_RATE_TRANSITION, # Intra-annual dropout rate of the official sector in transition. Identifies the proportion of enrolled students who, due to cultural factors, conjunctural situations, or the provision of educational service, leave their studies during the academic year.</w:t>
      </w:r>
    </w:p>
    <w:p w14:paraId="75C61863" w14:textId="77777777" w:rsidR="000B3701" w:rsidRDefault="000B3701" w:rsidP="000B3701">
      <w:proofErr w:type="spellStart"/>
      <w:r>
        <w:t>Dropout_Rate_Primary</w:t>
      </w:r>
      <w:proofErr w:type="spellEnd"/>
      <w:r>
        <w:t xml:space="preserve"> = DROPOUT_RATE_PRIMARY, # Intra-annual dropout rate of the official sector in primary. Identifies the proportion of enrolled students who, due to cultural factors, conjunctural situations, or the provision of educational service, leave their studies during the academic year.</w:t>
      </w:r>
    </w:p>
    <w:p w14:paraId="4BA28254" w14:textId="77777777" w:rsidR="000B3701" w:rsidRDefault="000B3701" w:rsidP="000B3701">
      <w:proofErr w:type="spellStart"/>
      <w:r>
        <w:t>Dropout_Rate_Secondary</w:t>
      </w:r>
      <w:proofErr w:type="spellEnd"/>
      <w:r>
        <w:t xml:space="preserve"> = DROPOUT_RATE_SECONDARY, # Intra-annual dropout rate of the official sector in secondary. Identifies the proportion of enrolled students who, due to cultural factors, conjunctural situations, or the provision of educational service, leave their studies during the academic year.</w:t>
      </w:r>
    </w:p>
    <w:p w14:paraId="346EADCD" w14:textId="77777777" w:rsidR="000B3701" w:rsidRDefault="000B3701" w:rsidP="000B3701">
      <w:proofErr w:type="spellStart"/>
      <w:r>
        <w:t>Dropout_Rate_HighSchool</w:t>
      </w:r>
      <w:proofErr w:type="spellEnd"/>
      <w:r>
        <w:t xml:space="preserve"> = DROPOUT_RATE_HIGH_SCHOOL, # Intra-annual dropout rate of the official sector in high school. Identifies the proportion of enrolled students who, due to cultural factors, </w:t>
      </w:r>
      <w:r>
        <w:lastRenderedPageBreak/>
        <w:t>conjunctural situations, or the provision of educational service, leave their studies during the academic year.</w:t>
      </w:r>
    </w:p>
    <w:p w14:paraId="150E70C9" w14:textId="77777777" w:rsidR="000B3701" w:rsidRDefault="000B3701" w:rsidP="000B3701">
      <w:proofErr w:type="spellStart"/>
      <w:r>
        <w:t>Pass_Rate</w:t>
      </w:r>
      <w:proofErr w:type="spellEnd"/>
      <w:r>
        <w:t xml:space="preserve"> = PASS_RATE, # Pass rate of students in the official sector. Identifies the percentage of students in preschool, basic, and high school education who pass according to current educational plans and programs.</w:t>
      </w:r>
    </w:p>
    <w:p w14:paraId="6609844B" w14:textId="77777777" w:rsidR="000B3701" w:rsidRDefault="000B3701" w:rsidP="000B3701">
      <w:proofErr w:type="spellStart"/>
      <w:r>
        <w:t>Pass_Rate_Transition</w:t>
      </w:r>
      <w:proofErr w:type="spellEnd"/>
      <w:r>
        <w:t xml:space="preserve"> = PASS_RATE_TRANSITION, # Pass rate of students in the official sector in transition. Identifies the percentage of students at this educational level who pass according to current educational plans and programs.</w:t>
      </w:r>
    </w:p>
    <w:p w14:paraId="162510B5" w14:textId="77777777" w:rsidR="000B3701" w:rsidRDefault="000B3701" w:rsidP="000B3701">
      <w:proofErr w:type="spellStart"/>
      <w:r>
        <w:t>Pass_Rate_Primary</w:t>
      </w:r>
      <w:proofErr w:type="spellEnd"/>
      <w:r>
        <w:t xml:space="preserve"> = PASS_RATE_PRIMARY, # Pass rate of students in the official sector in primary. Identifies the percentage of students at this educational level who pass according to current educational plans and programs.</w:t>
      </w:r>
    </w:p>
    <w:p w14:paraId="26FEB2F7" w14:textId="77777777" w:rsidR="000B3701" w:rsidRDefault="000B3701" w:rsidP="000B3701">
      <w:proofErr w:type="spellStart"/>
      <w:r>
        <w:t>Pass_Rate_Secondary</w:t>
      </w:r>
      <w:proofErr w:type="spellEnd"/>
      <w:r>
        <w:t xml:space="preserve"> = PASS_RATE_SECONDARY, # Pass rate of students in the official sector in secondary. Identifies the percentage of students at this educational level who pass according to current educational plans and programs.</w:t>
      </w:r>
    </w:p>
    <w:p w14:paraId="142484F3" w14:textId="77777777" w:rsidR="000B3701" w:rsidRDefault="000B3701" w:rsidP="000B3701">
      <w:proofErr w:type="spellStart"/>
      <w:r>
        <w:t>Pass_Rate_HighSchool</w:t>
      </w:r>
      <w:proofErr w:type="spellEnd"/>
      <w:r>
        <w:t xml:space="preserve"> = PASS_RATE_HIGH_SCHOOL, # Pass rate of students in the official sector in high school. Identifies the percentage of students at this educational level who pass according to current educational plans and programs.</w:t>
      </w:r>
    </w:p>
    <w:p w14:paraId="580D223C" w14:textId="77777777" w:rsidR="000B3701" w:rsidRDefault="000B3701" w:rsidP="000B3701">
      <w:proofErr w:type="spellStart"/>
      <w:r>
        <w:t>Fail_Rate</w:t>
      </w:r>
      <w:proofErr w:type="spellEnd"/>
      <w:r>
        <w:t xml:space="preserve"> = FAIL_RATE, # Failure rate of students in the official sector. Identifies the percentage of students in preschool, basic, and high school education who fail according to current educational plans and programs.</w:t>
      </w:r>
    </w:p>
    <w:p w14:paraId="0AE74E56" w14:textId="77777777" w:rsidR="000B3701" w:rsidRDefault="000B3701" w:rsidP="000B3701">
      <w:proofErr w:type="spellStart"/>
      <w:r>
        <w:t>Fail_Rate_Transition</w:t>
      </w:r>
      <w:proofErr w:type="spellEnd"/>
      <w:r>
        <w:t xml:space="preserve"> = FAIL_RATE_TRANSITION, # Failure rate of students in the official sector in transition. Identifies the percentage of students at this educational level who fail according to current educational plans and programs.</w:t>
      </w:r>
    </w:p>
    <w:p w14:paraId="66B4FA5A" w14:textId="77777777" w:rsidR="000B3701" w:rsidRDefault="000B3701" w:rsidP="000B3701">
      <w:proofErr w:type="spellStart"/>
      <w:r>
        <w:t>Fail_Rate_Primary</w:t>
      </w:r>
      <w:proofErr w:type="spellEnd"/>
      <w:r>
        <w:t xml:space="preserve"> = FAIL_RATE_PRIMARY, # Failure rate of students in the official sector in primary. Identifies the percentage of students at this educational level who fail according to current educational plans and programs.</w:t>
      </w:r>
    </w:p>
    <w:p w14:paraId="47F548FA" w14:textId="77777777" w:rsidR="000B3701" w:rsidRDefault="000B3701" w:rsidP="000B3701">
      <w:proofErr w:type="spellStart"/>
      <w:r>
        <w:t>Fail_Rate_Secondary</w:t>
      </w:r>
      <w:proofErr w:type="spellEnd"/>
      <w:r>
        <w:t xml:space="preserve"> = FAIL_RATE_SECONDARY, # Repetition rate of the official sector. Corresponds to the percentage of students enrolled in secondary education who are repeating the same grade as the previous year.</w:t>
      </w:r>
    </w:p>
    <w:p w14:paraId="36DB8753" w14:textId="27FD8972" w:rsidR="001B4229" w:rsidRDefault="000B3701" w:rsidP="000B3701">
      <w:proofErr w:type="spellStart"/>
      <w:r>
        <w:t>Fail_Rate_HighSchool</w:t>
      </w:r>
      <w:proofErr w:type="spellEnd"/>
      <w:r>
        <w:t xml:space="preserve"> = FAIL_RATE_HIGH_SCHOOL # Repetition rate of the official sector. Corresponds to the percentage of students enrolled in high school who are repeating the same grade as the previous year.</w:t>
      </w:r>
    </w:p>
    <w:sectPr w:rsidR="001B4229" w:rsidSect="000B3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01"/>
    <w:rsid w:val="00077954"/>
    <w:rsid w:val="000B3701"/>
    <w:rsid w:val="00175348"/>
    <w:rsid w:val="001B4229"/>
    <w:rsid w:val="00684BAA"/>
    <w:rsid w:val="00847E06"/>
    <w:rsid w:val="009C33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DEA4"/>
  <w15:chartTrackingRefBased/>
  <w15:docId w15:val="{3E1EDA4D-DFD1-42F9-8D6F-7248CB330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0B37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B37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B370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B370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B370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B370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B370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B370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B370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3701"/>
    <w:rPr>
      <w:rFonts w:asciiTheme="majorHAnsi" w:eastAsiaTheme="majorEastAsia" w:hAnsiTheme="majorHAnsi" w:cstheme="majorBidi"/>
      <w:color w:val="2F5496" w:themeColor="accent1" w:themeShade="BF"/>
      <w:sz w:val="40"/>
      <w:szCs w:val="40"/>
      <w:lang w:val="en-US"/>
    </w:rPr>
  </w:style>
  <w:style w:type="character" w:customStyle="1" w:styleId="Ttulo2Car">
    <w:name w:val="Título 2 Car"/>
    <w:basedOn w:val="Fuentedeprrafopredeter"/>
    <w:link w:val="Ttulo2"/>
    <w:uiPriority w:val="9"/>
    <w:semiHidden/>
    <w:rsid w:val="000B3701"/>
    <w:rPr>
      <w:rFonts w:asciiTheme="majorHAnsi" w:eastAsiaTheme="majorEastAsia" w:hAnsiTheme="majorHAnsi" w:cstheme="majorBidi"/>
      <w:color w:val="2F5496" w:themeColor="accent1" w:themeShade="BF"/>
      <w:sz w:val="32"/>
      <w:szCs w:val="32"/>
      <w:lang w:val="en-US"/>
    </w:rPr>
  </w:style>
  <w:style w:type="character" w:customStyle="1" w:styleId="Ttulo3Car">
    <w:name w:val="Título 3 Car"/>
    <w:basedOn w:val="Fuentedeprrafopredeter"/>
    <w:link w:val="Ttulo3"/>
    <w:uiPriority w:val="9"/>
    <w:semiHidden/>
    <w:rsid w:val="000B3701"/>
    <w:rPr>
      <w:rFonts w:eastAsiaTheme="majorEastAsia" w:cstheme="majorBidi"/>
      <w:color w:val="2F5496" w:themeColor="accent1" w:themeShade="BF"/>
      <w:sz w:val="28"/>
      <w:szCs w:val="28"/>
      <w:lang w:val="en-US"/>
    </w:rPr>
  </w:style>
  <w:style w:type="character" w:customStyle="1" w:styleId="Ttulo4Car">
    <w:name w:val="Título 4 Car"/>
    <w:basedOn w:val="Fuentedeprrafopredeter"/>
    <w:link w:val="Ttulo4"/>
    <w:uiPriority w:val="9"/>
    <w:semiHidden/>
    <w:rsid w:val="000B3701"/>
    <w:rPr>
      <w:rFonts w:eastAsiaTheme="majorEastAsia" w:cstheme="majorBidi"/>
      <w:i/>
      <w:iCs/>
      <w:color w:val="2F5496" w:themeColor="accent1" w:themeShade="BF"/>
      <w:lang w:val="en-US"/>
    </w:rPr>
  </w:style>
  <w:style w:type="character" w:customStyle="1" w:styleId="Ttulo5Car">
    <w:name w:val="Título 5 Car"/>
    <w:basedOn w:val="Fuentedeprrafopredeter"/>
    <w:link w:val="Ttulo5"/>
    <w:uiPriority w:val="9"/>
    <w:semiHidden/>
    <w:rsid w:val="000B3701"/>
    <w:rPr>
      <w:rFonts w:eastAsiaTheme="majorEastAsia" w:cstheme="majorBidi"/>
      <w:color w:val="2F5496" w:themeColor="accent1" w:themeShade="BF"/>
      <w:lang w:val="en-US"/>
    </w:rPr>
  </w:style>
  <w:style w:type="character" w:customStyle="1" w:styleId="Ttulo6Car">
    <w:name w:val="Título 6 Car"/>
    <w:basedOn w:val="Fuentedeprrafopredeter"/>
    <w:link w:val="Ttulo6"/>
    <w:uiPriority w:val="9"/>
    <w:semiHidden/>
    <w:rsid w:val="000B3701"/>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0B3701"/>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0B3701"/>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0B3701"/>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0B3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3701"/>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0B370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B3701"/>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0B3701"/>
    <w:pPr>
      <w:spacing w:before="160"/>
      <w:jc w:val="center"/>
    </w:pPr>
    <w:rPr>
      <w:i/>
      <w:iCs/>
      <w:color w:val="404040" w:themeColor="text1" w:themeTint="BF"/>
    </w:rPr>
  </w:style>
  <w:style w:type="character" w:customStyle="1" w:styleId="CitaCar">
    <w:name w:val="Cita Car"/>
    <w:basedOn w:val="Fuentedeprrafopredeter"/>
    <w:link w:val="Cita"/>
    <w:uiPriority w:val="29"/>
    <w:rsid w:val="000B3701"/>
    <w:rPr>
      <w:i/>
      <w:iCs/>
      <w:color w:val="404040" w:themeColor="text1" w:themeTint="BF"/>
      <w:lang w:val="en-US"/>
    </w:rPr>
  </w:style>
  <w:style w:type="paragraph" w:styleId="Prrafodelista">
    <w:name w:val="List Paragraph"/>
    <w:basedOn w:val="Normal"/>
    <w:uiPriority w:val="34"/>
    <w:qFormat/>
    <w:rsid w:val="000B3701"/>
    <w:pPr>
      <w:ind w:left="720"/>
      <w:contextualSpacing/>
    </w:pPr>
  </w:style>
  <w:style w:type="character" w:styleId="nfasisintenso">
    <w:name w:val="Intense Emphasis"/>
    <w:basedOn w:val="Fuentedeprrafopredeter"/>
    <w:uiPriority w:val="21"/>
    <w:qFormat/>
    <w:rsid w:val="000B3701"/>
    <w:rPr>
      <w:i/>
      <w:iCs/>
      <w:color w:val="2F5496" w:themeColor="accent1" w:themeShade="BF"/>
    </w:rPr>
  </w:style>
  <w:style w:type="paragraph" w:styleId="Citadestacada">
    <w:name w:val="Intense Quote"/>
    <w:basedOn w:val="Normal"/>
    <w:next w:val="Normal"/>
    <w:link w:val="CitadestacadaCar"/>
    <w:uiPriority w:val="30"/>
    <w:qFormat/>
    <w:rsid w:val="000B37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B3701"/>
    <w:rPr>
      <w:i/>
      <w:iCs/>
      <w:color w:val="2F5496" w:themeColor="accent1" w:themeShade="BF"/>
      <w:lang w:val="en-US"/>
    </w:rPr>
  </w:style>
  <w:style w:type="character" w:styleId="Referenciaintensa">
    <w:name w:val="Intense Reference"/>
    <w:basedOn w:val="Fuentedeprrafopredeter"/>
    <w:uiPriority w:val="32"/>
    <w:qFormat/>
    <w:rsid w:val="000B370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887</Words>
  <Characters>4884</Characters>
  <Application>Microsoft Office Word</Application>
  <DocSecurity>0</DocSecurity>
  <Lines>40</Lines>
  <Paragraphs>11</Paragraphs>
  <ScaleCrop>false</ScaleCrop>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Guijarro</dc:creator>
  <cp:keywords/>
  <dc:description/>
  <cp:lastModifiedBy>Alvaro Guijarro</cp:lastModifiedBy>
  <cp:revision>1</cp:revision>
  <dcterms:created xsi:type="dcterms:W3CDTF">2024-04-05T15:24:00Z</dcterms:created>
  <dcterms:modified xsi:type="dcterms:W3CDTF">2024-04-05T15:25:00Z</dcterms:modified>
</cp:coreProperties>
</file>