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CCC7" w14:textId="5EBF4B74" w:rsidR="001B4229" w:rsidRPr="00EA3C95" w:rsidRDefault="00EA3C95" w:rsidP="00EA3C95">
      <w:pPr>
        <w:jc w:val="center"/>
        <w:rPr>
          <w:rFonts w:ascii="Times New Roman" w:hAnsi="Times New Roman" w:cs="Times New Roman"/>
          <w:sz w:val="32"/>
          <w:szCs w:val="32"/>
        </w:rPr>
      </w:pPr>
      <w:r w:rsidRPr="00EA3C95">
        <w:rPr>
          <w:rFonts w:ascii="Times New Roman" w:hAnsi="Times New Roman" w:cs="Times New Roman"/>
          <w:sz w:val="32"/>
          <w:szCs w:val="32"/>
        </w:rPr>
        <w:t>Predicting job creation in Colombian cities with key economic, social, demographic, political, or geospatial information</w:t>
      </w:r>
    </w:p>
    <w:p w14:paraId="0621B99E" w14:textId="77777777" w:rsidR="00EA3C95" w:rsidRPr="00EA3C95" w:rsidRDefault="00EA3C95" w:rsidP="00EA3C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2059A" w14:textId="77777777" w:rsidR="00EA3C95" w:rsidRPr="00EA3C95" w:rsidRDefault="00EA3C95" w:rsidP="00EA3C95">
      <w:pPr>
        <w:rPr>
          <w:rFonts w:ascii="Times New Roman" w:hAnsi="Times New Roman" w:cs="Times New Roman"/>
          <w:sz w:val="32"/>
          <w:szCs w:val="32"/>
        </w:rPr>
      </w:pPr>
    </w:p>
    <w:sectPr w:rsidR="00EA3C95" w:rsidRPr="00EA3C95" w:rsidSect="00EA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5"/>
    <w:rsid w:val="00077954"/>
    <w:rsid w:val="00175348"/>
    <w:rsid w:val="001B4229"/>
    <w:rsid w:val="00684BAA"/>
    <w:rsid w:val="00847E06"/>
    <w:rsid w:val="009C336A"/>
    <w:rsid w:val="00EA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50F62"/>
  <w15:chartTrackingRefBased/>
  <w15:docId w15:val="{8A775B3F-3E25-4C26-821D-12E44650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A3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C9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C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C9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C9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C95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C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C95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C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C95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A3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C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C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A3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C9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EA3C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C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C95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A3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Guijarro</dc:creator>
  <cp:keywords/>
  <dc:description/>
  <cp:lastModifiedBy>Alvaro Guijarro</cp:lastModifiedBy>
  <cp:revision>1</cp:revision>
  <dcterms:created xsi:type="dcterms:W3CDTF">2024-04-01T10:26:00Z</dcterms:created>
  <dcterms:modified xsi:type="dcterms:W3CDTF">2024-04-01T10:28:00Z</dcterms:modified>
</cp:coreProperties>
</file>