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Calibri" w:hAnsi="Calibri"/>
          <w:b/>
          <w:color w:val="1B365D"/>
          <w:sz w:val="48"/>
        </w:rPr>
        <w:t>Sozialwissenschaftliche Gegenwartsanalyse</w:t>
      </w:r>
    </w:p>
    <w:p>
      <w:pPr>
        <w:spacing w:before="0" w:after="240"/>
      </w:pPr>
      <w:r>
        <w:rPr>
          <w:rFonts w:ascii="Calibri" w:hAnsi="Calibri"/>
          <w:color w:val="4A777A"/>
          <w:sz w:val="26"/>
        </w:rPr>
        <w:t>Die Transformation der Arbeitswelt durch generative KI und Plattformkapitalismus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5DB"/>
          <w:left w:val="none" w:sz="0" w:space="0" w:color="auto"/>
          <w:bottom w:val="single" w:sz="8" w:space="0" w:color="1B365D"/>
          <w:right w:val="none" w:sz="0" w:space="0" w:color="auto"/>
          <w:insideH w:val="single" w:sz="4" w:space="0" w:color="D1D5DB"/>
          <w:insideV w:val="none" w:sz="0" w:space="0" w:color="auto"/>
        </w:tblBorders>
      </w:tblPr>
      <w:tblGrid>
        <w:gridCol w:w="4514"/>
        <w:gridCol w:w="4514"/>
      </w:tblGrid>
      <w:tr>
        <w:tc>
          <w:tcPr>
            <w:tcW w:type="dxa" w:w="4514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B365D"/>
                <w:sz w:val="18"/>
              </w:rPr>
              <w:t>Datum &amp; Durchführung:</w:t>
            </w:r>
            <w:r>
              <w:rPr>
                <w:color w:val="222222"/>
                <w:sz w:val="18"/>
              </w:rPr>
              <w:t xml:space="preserve"> 16. September 2026, 14:38 Uhr</w:t>
            </w:r>
          </w:p>
        </w:tc>
        <w:tc>
          <w:tcPr>
            <w:tcW w:type="dxa" w:w="4514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B365D"/>
                <w:sz w:val="18"/>
              </w:rPr>
              <w:t>Analyserahmen:</w:t>
            </w:r>
            <w:r>
              <w:rPr>
                <w:color w:val="222222"/>
                <w:sz w:val="18"/>
              </w:rPr>
              <w:t xml:space="preserve"> Lokaler Run / Gegenwartsdiagnostik</w:t>
            </w:r>
          </w:p>
        </w:tc>
      </w:tr>
      <w:tr>
        <w:tc>
          <w:tcPr>
            <w:tcW w:type="dxa" w:w="4514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B365D"/>
                <w:sz w:val="18"/>
              </w:rPr>
              <w:t>Angewandte Methode:</w:t>
            </w:r>
            <w:r>
              <w:rPr>
                <w:color w:val="222222"/>
                <w:sz w:val="18"/>
              </w:rPr>
              <w:t xml:space="preserve"> Cleavage-Mapping, Trend-Trajektorien &amp; axiologische Rekonstruktion</w:t>
            </w:r>
          </w:p>
        </w:tc>
        <w:tc>
          <w:tcPr>
            <w:tcW w:type="dxa" w:w="4514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B365D"/>
                <w:sz w:val="18"/>
              </w:rPr>
              <w:t>Status:</w:t>
            </w:r>
            <w:r>
              <w:rPr>
                <w:color w:val="222222"/>
                <w:sz w:val="18"/>
              </w:rPr>
              <w:t xml:space="preserve"> Finaler Analysebericht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4F6F8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 w:sz="0" w:space="0" w:color="auto"/>
              <w:left w:val="single" w:sz="24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B365D"/>
                <w:sz w:val="20"/>
              </w:rPr>
              <w:t>📌 EXECUTIVE SUMMARY &amp; METHODISCHER FOKUS</w:t>
              <w:br/>
            </w:r>
            <w:r>
              <w:rPr>
                <w:rFonts w:ascii="Calibri" w:hAnsi="Calibri"/>
                <w:color w:val="222222"/>
                <w:sz w:val="20"/>
              </w:rPr>
              <w:t>Die vorliegende Untersuchung analysiert die strukturellen Bruchlinien, die sich durch das Zusammentreffen von algorithmischem Plattformkapitalismus und kognitiver Automatisierung (generative KI) in modernen Ökonomien herausbilden.</w:t>
            </w:r>
          </w:p>
          <w:p>
            <w:pPr>
              <w:spacing w:before="80" w:after="40"/>
            </w:pPr>
            <w:r>
              <w:rPr>
                <w:rFonts w:ascii="Calibri" w:hAnsi="Calibri"/>
                <w:color w:val="222222"/>
                <w:sz w:val="20"/>
              </w:rPr>
              <w:t>Zentrales Ergebnis: Die klassische Differenzierung zwischen privilegierter Wissensarbeit und standardisierter Industriearbeit erodiert rasant. An ihre Stelle tritt eine vertikale Polarisierung zwischen proprietären Plattform- bzw. Modell-Inhabern und einer zunehmend prekarisierten kognitiven Subsumtion.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1. Makro-Trends &amp; Entwicklungskurven</w:t>
      </w:r>
    </w:p>
    <w:p>
      <w:r>
        <w:t xml:space="preserve">Die Gegenwartsanalyse identifiziert drei zentrale Megatrends, die als treibende Vektoren die Arbeitsorganisation fundamental restrukturieren. Die quantitative Modellierung der Intensitätskurven (vgl. Abbildung </w:t>
      </w:r>
      <w:r>
        <w:rPr>
          <w:i/>
        </w:rPr>
        <w:t>trend_trajectories.png</w:t>
      </w:r>
      <w:r>
        <w:t>) belegt einen exponentiellen Verlauf insbesondere im Bereich der kognitiven Subsumtion seit 2023.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5DB"/>
          <w:left w:val="none" w:sz="0" w:space="0" w:color="auto"/>
          <w:bottom w:val="single" w:sz="8" w:space="0" w:color="1B365D"/>
          <w:right w:val="none" w:sz="0" w:space="0" w:color="auto"/>
          <w:insideH w:val="single" w:sz="4" w:space="0" w:color="D1D5DB"/>
          <w:insideV w:val="none" w:sz="0" w:space="0" w:color="auto"/>
        </w:tblBorders>
      </w:tblPr>
      <w:tblGrid>
        <w:gridCol w:w="4514"/>
        <w:gridCol w:w="4514"/>
      </w:tblGrid>
      <w:tr>
        <w:tc>
          <w:tcPr>
            <w:tcW w:type="dxa" w:w="3168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Makro-Trend</w:t>
            </w:r>
          </w:p>
        </w:tc>
        <w:tc>
          <w:tcPr>
            <w:tcW w:type="dxa" w:w="5861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Soziologische Kerncharakteristik &amp; Wirkungsmechanismus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1B365D"/>
                <w:sz w:val="19"/>
              </w:rPr>
              <w:t>Plattformisierung &amp; Prekarisierung</w:t>
            </w:r>
          </w:p>
        </w:tc>
        <w:tc>
          <w:tcPr>
            <w:tcW w:type="dxa" w:w="586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line="276" w:lineRule="auto"/>
            </w:pPr>
            <w:r>
              <w:rPr>
                <w:color w:val="222222"/>
                <w:sz w:val="19"/>
              </w:rPr>
              <w:t>Fundamentale Verschiebung von Normalarbeitsverhältnissen hin zu algorithmisch gesteuerter Abrufarbeit. Risiken und Betriebskosten werden auf Solo-Selbstständige und Clickworker externalisiert; Bonussysteme und algorithmische Ratings ersetzen klassische betriebliche Führung.</w:t>
            </w:r>
          </w:p>
        </w:tc>
      </w:tr>
      <w:tr>
        <w:tc>
          <w:tcPr>
            <w:tcW w:type="dxa" w:w="3168"/>
            <w:shd w:fill="F4F6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1B365D"/>
                <w:sz w:val="19"/>
              </w:rPr>
              <w:t>Kognitive Automatisierung (GenKI)</w:t>
            </w:r>
          </w:p>
        </w:tc>
        <w:tc>
          <w:tcPr>
            <w:tcW w:type="dxa" w:w="5861"/>
            <w:shd w:fill="F4F6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line="276" w:lineRule="auto"/>
            </w:pPr>
            <w:r>
              <w:rPr>
                <w:color w:val="222222"/>
                <w:sz w:val="19"/>
              </w:rPr>
              <w:t>Erstmals Subsumtion vormals geschützter, nicht-routinierter geistiger Kopfarbeit unter synthetische Text-, Audio- und Codegenerierung. Dies führt zur Entkopplung von Produktivitätsgewinnen und hochqualifizierter Angestelltenarbeit.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1B365D"/>
                <w:sz w:val="19"/>
              </w:rPr>
              <w:t>Subjektivierung &amp; Leistungsverdichtung</w:t>
            </w:r>
          </w:p>
        </w:tc>
        <w:tc>
          <w:tcPr>
            <w:tcW w:type="dxa" w:w="586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line="276" w:lineRule="auto"/>
            </w:pPr>
            <w:r>
              <w:rPr>
                <w:color w:val="222222"/>
                <w:sz w:val="19"/>
              </w:rPr>
              <w:t>Fortschreitende Auflösung raum-zeitlicher Arbeitsgrenzen (Entgrenzung). Die permanente Selbstoptimierung unter digitalen Steuerungsmetriken führt zu psychischer Erschöpfung und einer Verinnerlichung ökonomischer Zwänge.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2. Strukturelle Konfliktlinien (Cleavages)</w:t>
      </w:r>
    </w:p>
    <w:p>
      <w:r>
        <w:t>In Anlehnung an die Cleavage-Theorie (Lipset/Rokkan) wurden die gesellschaftlichen Polarisierungsachsen quantitativ nach ihrer gesellschaftlichen Salienz bewertet (Skala 1 bis 10). Auffällig ist die außerordentliche Dominanz des vertikalen Verteilungskonflikts um Plattform-Monopole.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5DB"/>
          <w:left w:val="none" w:sz="0" w:space="0" w:color="auto"/>
          <w:bottom w:val="single" w:sz="8" w:space="0" w:color="1B365D"/>
          <w:right w:val="none" w:sz="0" w:space="0" w:color="auto"/>
          <w:insideH w:val="single" w:sz="4" w:space="0" w:color="D1D5DB"/>
          <w:insideV w:val="none" w:sz="0" w:space="0" w:color="auto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2160"/>
            <w:shd w:fill="1B365D"/>
            <w:tcMar>
              <w:top w:w="110" w:type="dxa"/>
              <w:bottom w:w="11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Konfliktlinie (Cleavage)</w:t>
            </w:r>
          </w:p>
        </w:tc>
        <w:tc>
          <w:tcPr>
            <w:tcW w:type="dxa" w:w="1872"/>
            <w:shd w:fill="1B365D"/>
            <w:tcMar>
              <w:top w:w="110" w:type="dxa"/>
              <w:bottom w:w="11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Fraktion A</w:t>
            </w:r>
          </w:p>
        </w:tc>
        <w:tc>
          <w:tcPr>
            <w:tcW w:type="dxa" w:w="1872"/>
            <w:shd w:fill="1B365D"/>
            <w:tcMar>
              <w:top w:w="110" w:type="dxa"/>
              <w:bottom w:w="11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Fraktion B</w:t>
            </w:r>
          </w:p>
        </w:tc>
        <w:tc>
          <w:tcPr>
            <w:tcW w:type="dxa" w:w="1008"/>
            <w:shd w:fill="1B365D"/>
            <w:tcMar>
              <w:top w:w="110" w:type="dxa"/>
              <w:bottom w:w="11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Salienz</w:t>
            </w:r>
          </w:p>
        </w:tc>
        <w:tc>
          <w:tcPr>
            <w:tcW w:type="dxa" w:w="2117"/>
            <w:shd w:fill="1B365D"/>
            <w:tcMar>
              <w:top w:w="110" w:type="dxa"/>
              <w:bottom w:w="11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Zentraler Streitpunkt (Core Dispute)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1B365D"/>
                <w:sz w:val="17"/>
              </w:rPr>
              <w:t>Kapital/Plattform vs. Arbeit/Prekariat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color w:val="222222"/>
                <w:sz w:val="17"/>
              </w:rPr>
              <w:t>Plattform-Konzerne &amp; Tech-Kapital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color w:val="222222"/>
                <w:sz w:val="17"/>
              </w:rPr>
              <w:t>Plattform-Arbeiter &amp; Gig-Economy-Prekariat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right"/>
            </w:pPr>
            <w:r>
              <w:rPr>
                <w:b/>
                <w:color w:val="B42828"/>
                <w:sz w:val="17"/>
              </w:rPr>
              <w:t>10.0</w:t>
            </w:r>
          </w:p>
        </w:tc>
        <w:tc>
          <w:tcPr>
            <w:tcW w:type="dxa" w:w="2117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color w:val="222222"/>
                <w:sz w:val="17"/>
              </w:rPr>
              <w:t>Monopolistische Abschöpfung von Mehrwert durch proprietäre Algorithmen vs. kollektive Arbeitnehmerrechte und soziale Sicherungssysteme.</w:t>
            </w:r>
          </w:p>
        </w:tc>
      </w:tr>
      <w:tr>
        <w:tc>
          <w:tcPr>
            <w:tcW w:type="dxa" w:w="2160"/>
            <w:shd w:fill="F4F6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1B365D"/>
                <w:sz w:val="17"/>
              </w:rPr>
              <w:t>Kognitive Wissenselite vs. Routine-Beschäftigte</w:t>
            </w:r>
          </w:p>
        </w:tc>
        <w:tc>
          <w:tcPr>
            <w:tcW w:type="dxa" w:w="1872"/>
            <w:shd w:fill="F4F6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color w:val="222222"/>
                <w:sz w:val="17"/>
              </w:rPr>
              <w:t>Symbolanalytiker &amp; KI-Entwickler</w:t>
            </w:r>
          </w:p>
        </w:tc>
        <w:tc>
          <w:tcPr>
            <w:tcW w:type="dxa" w:w="1872"/>
            <w:shd w:fill="F4F6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color w:val="222222"/>
                <w:sz w:val="17"/>
              </w:rPr>
              <w:t>Qualifizierte Angestellte &amp; Sachbearbeiter</w:t>
            </w:r>
          </w:p>
        </w:tc>
        <w:tc>
          <w:tcPr>
            <w:tcW w:type="dxa" w:w="1008"/>
            <w:shd w:fill="F4F6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right"/>
            </w:pPr>
            <w:r>
              <w:rPr>
                <w:b/>
                <w:color w:val="4A777A"/>
                <w:sz w:val="17"/>
              </w:rPr>
              <w:t>8.3</w:t>
            </w:r>
          </w:p>
        </w:tc>
        <w:tc>
          <w:tcPr>
            <w:tcW w:type="dxa" w:w="2117"/>
            <w:shd w:fill="F4F6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color w:val="222222"/>
                <w:sz w:val="17"/>
              </w:rPr>
              <w:t>Rasanter Entwertungsprozess traditioneller Bildungsbiografien und bürokratischer Qualifikationen durch automatisierte Wissensgenerierung.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1B365D"/>
                <w:sz w:val="17"/>
              </w:rPr>
              <w:t>Marktliberale Dynamik vs. Staatliche Regulierung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color w:val="222222"/>
                <w:sz w:val="17"/>
              </w:rPr>
              <w:t>Techno-Optimisten &amp; Startups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color w:val="222222"/>
                <w:sz w:val="17"/>
              </w:rPr>
              <w:t>Regulierungsbehörden &amp; Gewerkschaften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  <w:jc w:val="right"/>
            </w:pPr>
            <w:r>
              <w:rPr>
                <w:b/>
                <w:color w:val="4A777A"/>
                <w:sz w:val="17"/>
              </w:rPr>
              <w:t>7.2</w:t>
            </w:r>
          </w:p>
        </w:tc>
        <w:tc>
          <w:tcPr>
            <w:tcW w:type="dxa" w:w="2117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color w:val="222222"/>
                <w:sz w:val="17"/>
              </w:rPr>
              <w:t>Forderung nach unregulierter Innovationsgeschwindigkeit vs. rechtsstaatliche demokratische Einhegung und präventiver Arbeitsschutz.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3. Moralische Werturteile &amp; Axiologische Rekonstruktion</w:t>
      </w:r>
    </w:p>
    <w:p>
      <w:r>
        <w:t>Hinter den ökonomischen Verteilungskämpfen verbergen sich tief sitzende moralische Begründungsmuster. Die axiologische Rekonstruktion legt die zugrundeliegenden Wertesysteme und gegenseitigen Abwertungsmechanismen offen: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5DB"/>
          <w:left w:val="none" w:sz="0" w:space="0" w:color="auto"/>
          <w:bottom w:val="single" w:sz="8" w:space="0" w:color="1B365D"/>
          <w:right w:val="none" w:sz="0" w:space="0" w:color="auto"/>
          <w:insideH w:val="single" w:sz="4" w:space="0" w:color="D1D5DB"/>
          <w:insideV w:val="none" w:sz="0" w:space="0" w:color="auto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160"/>
            <w:shd w:fill="1B365D"/>
            <w:tcMar>
              <w:top w:w="110" w:type="dxa"/>
              <w:bottom w:w="11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Konfliktreferenz</w:t>
            </w:r>
          </w:p>
        </w:tc>
        <w:tc>
          <w:tcPr>
            <w:tcW w:type="dxa" w:w="1872"/>
            <w:shd w:fill="1B365D"/>
            <w:tcMar>
              <w:top w:w="110" w:type="dxa"/>
              <w:bottom w:w="11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Akteursfraktion</w:t>
            </w:r>
          </w:p>
        </w:tc>
        <w:tc>
          <w:tcPr>
            <w:tcW w:type="dxa" w:w="2016"/>
            <w:shd w:fill="1B365D"/>
            <w:tcMar>
              <w:top w:w="110" w:type="dxa"/>
              <w:bottom w:w="11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Fundamentaler Kernwert</w:t>
            </w:r>
          </w:p>
        </w:tc>
        <w:tc>
          <w:tcPr>
            <w:tcW w:type="dxa" w:w="2981"/>
            <w:shd w:fill="1B365D"/>
            <w:tcMar>
              <w:top w:w="110" w:type="dxa"/>
              <w:bottom w:w="11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Moralisches Fremdurteil / Framing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1B365D"/>
                <w:sz w:val="17"/>
              </w:rPr>
              <w:t>Kapital/Plattform vs. Arbeit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color w:val="222222"/>
                <w:sz w:val="17"/>
              </w:rPr>
              <w:t>Plattform-Konzerne &amp; Tech-Kapital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i/>
                <w:color w:val="222222"/>
                <w:sz w:val="17"/>
              </w:rPr>
              <w:t>Freiheit, Effizienz &amp; Marktflexibilität</w:t>
            </w:r>
          </w:p>
        </w:tc>
        <w:tc>
          <w:tcPr>
            <w:tcW w:type="dxa" w:w="298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color w:val="222222"/>
                <w:sz w:val="17"/>
              </w:rPr>
              <w:t>Bezeichnet Gewerkschaften und Regulatoren als innovationsfeindlich, träge und rückwärtsgewandt.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1B365D"/>
                <w:sz w:val="17"/>
              </w:rPr>
              <w:t>Kapital/Plattform vs. Arbeit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color w:val="222222"/>
                <w:sz w:val="17"/>
              </w:rPr>
              <w:t>Plattform-Arbeiter &amp; Gig-Prekariat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i/>
                <w:color w:val="222222"/>
                <w:sz w:val="17"/>
              </w:rPr>
              <w:t>Fürsorge, Schutz vor Ausbeutung &amp; Fairness</w:t>
            </w:r>
          </w:p>
        </w:tc>
        <w:tc>
          <w:tcPr>
            <w:tcW w:type="dxa" w:w="298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color w:val="222222"/>
                <w:sz w:val="17"/>
              </w:rPr>
              <w:t>Kritisiert Konzerne als unsozial, ausbeuterisch, destruktiv und systematisch parasitär.</w:t>
            </w:r>
          </w:p>
        </w:tc>
      </w:tr>
      <w:tr>
        <w:tc>
          <w:tcPr>
            <w:tcW w:type="dxa" w:w="2160"/>
            <w:shd w:fill="F4F6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1B365D"/>
                <w:sz w:val="17"/>
              </w:rPr>
              <w:t>Kognitive Wissenselite vs. Routine</w:t>
            </w:r>
          </w:p>
        </w:tc>
        <w:tc>
          <w:tcPr>
            <w:tcW w:type="dxa" w:w="1872"/>
            <w:shd w:fill="F4F6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color w:val="222222"/>
                <w:sz w:val="17"/>
              </w:rPr>
              <w:t>Symbolanalytiker &amp; KI-Entwickler</w:t>
            </w:r>
          </w:p>
        </w:tc>
        <w:tc>
          <w:tcPr>
            <w:tcW w:type="dxa" w:w="2016"/>
            <w:shd w:fill="F4F6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i/>
                <w:color w:val="222222"/>
                <w:sz w:val="17"/>
              </w:rPr>
              <w:t>Technologische Progression &amp; Meritokratie</w:t>
            </w:r>
          </w:p>
        </w:tc>
        <w:tc>
          <w:tcPr>
            <w:tcW w:type="dxa" w:w="2981"/>
            <w:shd w:fill="F4F6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color w:val="222222"/>
                <w:sz w:val="17"/>
              </w:rPr>
              <w:t>Deutet Sorgen von Arbeitnehmern abwertend als mangelnde Anpassungs- und individuelle Lernbereitschaft.</w:t>
            </w:r>
          </w:p>
        </w:tc>
      </w:tr>
      <w:tr>
        <w:tc>
          <w:tcPr>
            <w:tcW w:type="dxa" w:w="2160"/>
            <w:shd w:fill="F4F6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1B365D"/>
                <w:sz w:val="17"/>
              </w:rPr>
              <w:t>Kognitive Wissenselite vs. Routine</w:t>
            </w:r>
          </w:p>
        </w:tc>
        <w:tc>
          <w:tcPr>
            <w:tcW w:type="dxa" w:w="1872"/>
            <w:shd w:fill="F4F6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color w:val="222222"/>
                <w:sz w:val="17"/>
              </w:rPr>
              <w:t>Qualifizierte Angestellte &amp; Sachbearbeiter</w:t>
            </w:r>
          </w:p>
        </w:tc>
        <w:tc>
          <w:tcPr>
            <w:tcW w:type="dxa" w:w="2016"/>
            <w:shd w:fill="F4F6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i/>
                <w:color w:val="222222"/>
                <w:sz w:val="17"/>
              </w:rPr>
              <w:t>Anerkennung geleisteter Lebensarbeit &amp; Menschenwürde</w:t>
            </w:r>
          </w:p>
        </w:tc>
        <w:tc>
          <w:tcPr>
            <w:tcW w:type="dxa" w:w="2981"/>
            <w:shd w:fill="F4F6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color w:val="222222"/>
                <w:sz w:val="17"/>
              </w:rPr>
              <w:t>Wirft Tech-Eliten arrogante Elfenbeinturm-Mentalität und die technokratische Entmenschlichung der Arbeit vor.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1B365D"/>
                <w:sz w:val="17"/>
              </w:rPr>
              <w:t>Marktliberalismus vs. Staat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color w:val="222222"/>
                <w:sz w:val="17"/>
              </w:rPr>
              <w:t>Techno-Optimisten &amp; Startups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i/>
                <w:color w:val="222222"/>
                <w:sz w:val="17"/>
              </w:rPr>
              <w:t>Entfaltungsfreiheit &amp; Globaler Wettbewerb</w:t>
            </w:r>
          </w:p>
        </w:tc>
        <w:tc>
          <w:tcPr>
            <w:tcW w:type="dxa" w:w="298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color w:val="222222"/>
                <w:sz w:val="17"/>
              </w:rPr>
              <w:t>Brandmarkt rechtsstaatliche Vorgaben und Compliance pauschal als wohlstandsgefährdende Innovationsblockaden.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1B365D"/>
                <w:sz w:val="17"/>
              </w:rPr>
              <w:t>Marktliberalismus vs. Staat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color w:val="222222"/>
                <w:sz w:val="17"/>
              </w:rPr>
              <w:t>Regulierungsbehörden &amp; Gewerkschaften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i/>
                <w:color w:val="222222"/>
                <w:sz w:val="17"/>
              </w:rPr>
              <w:t>Demokratische Souveränität &amp; Kollektive Sicherheit</w:t>
            </w:r>
          </w:p>
        </w:tc>
        <w:tc>
          <w:tcPr>
            <w:tcW w:type="dxa" w:w="298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color w:val="222222"/>
                <w:sz w:val="17"/>
              </w:rPr>
              <w:t>Wirft Technologie-Treibern rücksichtslose Gemeinwohlvergessenheit und Gefährdung des sozialen Friedens vor.</w:t>
            </w:r>
          </w:p>
        </w:tc>
      </w:tr>
    </w:tbl>
    <w:p>
      <w:pPr>
        <w:spacing w:after="20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4. Soziologische Synthese &amp; Implikationen</w:t>
      </w:r>
    </w:p>
    <w:p>
      <w:r>
        <w:t>Die Gegenüberstellung von materiellen Interessen (Cleavages) und diskursiven Rechtfertigungsordnungen (Axiologie) zeigt: Der gegenwärtige Transformationsprozess ist kein bloßer technologischer Anpassungsdruck, sondern ein tiefgehender institutioneller Verteilungskonflikt. Zur Bewältigung bedarf es dreier zentraler Reformperspektiven:</w:t>
      </w:r>
    </w:p>
    <w:p>
      <w:pPr>
        <w:pStyle w:val="ListBullet"/>
        <w:spacing w:before="40" w:after="60"/>
      </w:pPr>
      <w:r>
        <w:rPr>
          <w:b/>
          <w:color w:val="1B365D"/>
        </w:rPr>
        <w:t>Institutionalisierung neuer Mitbestimmungsrechte:</w:t>
      </w:r>
      <w:r>
        <w:rPr>
          <w:color w:val="222222"/>
        </w:rPr>
        <w:t xml:space="preserve"> Tarifverträge und Betriebsräte müssen verbindliche Zugriffs- und Kontrollrechte auf algorithmische Bewertungs- und Zuteilungssoftware erhalten.</w:t>
      </w:r>
    </w:p>
    <w:p>
      <w:pPr>
        <w:pStyle w:val="ListBullet"/>
        <w:spacing w:before="40" w:after="60"/>
      </w:pPr>
      <w:r>
        <w:rPr>
          <w:b/>
          <w:color w:val="1B365D"/>
        </w:rPr>
        <w:t>Neujustierung des Qualifikationsbegriffs:</w:t>
      </w:r>
      <w:r>
        <w:rPr>
          <w:color w:val="222222"/>
        </w:rPr>
        <w:t xml:space="preserve"> Da generative KI Routine-Kognition substituiert, müssen Bildungs- und Weiterbildungssysteme auf systemisches Urteilsvermögen, ethische Reflexion und interdisziplinäre Steuerungskompetenz ausgerichtet werden.</w:t>
      </w:r>
    </w:p>
    <w:p>
      <w:pPr>
        <w:pStyle w:val="ListBullet"/>
        <w:spacing w:before="40" w:after="60"/>
      </w:pPr>
      <w:r>
        <w:rPr>
          <w:b/>
          <w:color w:val="1B365D"/>
        </w:rPr>
        <w:t>Regulatorische Rekommodifizierung von Plattformmacht:</w:t>
      </w:r>
      <w:r>
        <w:rPr>
          <w:color w:val="222222"/>
        </w:rPr>
        <w:t xml:space="preserve"> Gesetzliche Rahmenbedingungen (wie die EU-Plattformarbeitsrichtlinie und der AI Act) müssen konsequent durchgesetzt werden, um Scheinselbstständigkeit zu unterbinden und die Plattforminfrastrukturen dem Gemeinwohl zu verpflichten.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666666"/>
        <w:sz w:val="17"/>
      </w:rPr>
      <w:t>Sozialwissenschaftliche Gegenwartsanalyse • Vertraulicher Forschungsbericht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