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40"/>
        <w:jc w:val="left"/>
      </w:pPr>
      <w:r>
        <w:rPr>
          <w:b/>
          <w:color w:val="007F8B"/>
          <w:sz w:val="22"/>
        </w:rPr>
        <w:t>ARQUITETURA DE SOFTWARE</w:t>
      </w:r>
    </w:p>
    <w:p>
      <w:pPr>
        <w:pStyle w:val="Title"/>
        <w:spacing w:before="180"/>
      </w:pPr>
      <w:r>
        <w:t>API de Gestão Financeira</w:t>
      </w:r>
    </w:p>
    <w:p>
      <w:pPr>
        <w:spacing w:before="160"/>
      </w:pPr>
      <w:r>
        <w:rPr>
          <w:color w:val="426278"/>
          <w:sz w:val="30"/>
        </w:rPr>
        <w:t>Processo de criação, modelo C4 e modelagem UML</w:t>
      </w:r>
    </w:p>
    <w:p>
      <w:pPr>
        <w:spacing w:before="480"/>
      </w:pPr>
      <w:r>
        <w:rPr>
          <w:sz w:val="22"/>
        </w:rPr>
        <w:t>Documento técnico do projeto acadêmico</w:t>
      </w:r>
    </w:p>
    <w:p>
      <w:r>
        <w:rPr>
          <w:color w:val="007F8B"/>
        </w:rPr>
        <w:t>Arquitetura em camadas  •  NestJS  •  PostgreSQL  •  Redis</w:t>
      </w:r>
    </w:p>
    <w:p>
      <w:pPr>
        <w:spacing w:before="2400"/>
      </w:pPr>
      <w:r>
        <w:rPr>
          <w:sz w:val="20"/>
        </w:rPr>
        <w:t>29 de setembro de 2026</w:t>
      </w:r>
    </w:p>
    <w:p>
      <w:r>
        <w:rPr>
          <w:sz w:val="18"/>
        </w:rPr>
        <w:t>Escopo: processo de criação, diagramas C4, classes UML e requisitos não funcionais implementados.</w:t>
      </w:r>
    </w:p>
    <w:p>
      <w:r>
        <w:br w:type="page"/>
      </w:r>
    </w:p>
    <w:p>
      <w:r>
        <w:rPr>
          <w:b/>
        </w:rPr>
        <w:t>Projeto:</w:t>
      </w:r>
      <w:r>
        <w:t xml:space="preserve"> API de Gestão Financeira</w:t>
      </w:r>
    </w:p>
    <w:p>
      <w:r>
        <w:rPr>
          <w:b/>
        </w:rPr>
        <w:t>Versão do documento:</w:t>
      </w:r>
      <w:r>
        <w:t xml:space="preserve"> 1.0</w:t>
      </w:r>
    </w:p>
    <w:p>
      <w:r>
        <w:rPr>
          <w:b/>
        </w:rPr>
        <w:t>Data:</w:t>
      </w:r>
      <w:r>
        <w:t xml:space="preserve"> 29/09/2026</w:t>
      </w:r>
    </w:p>
    <w:p>
      <w:r>
        <w:rPr>
          <w:b/>
        </w:rPr>
        <w:t>Escopo:</w:t>
      </w:r>
      <w:r>
        <w:t xml:space="preserve"> processo de criação, arquitetura C4 (containers e componentes), modelo UML, decisões técnicas e requisitos não funcionais implementados.</w:t>
      </w:r>
    </w:p>
    <w:p>
      <w:pPr>
        <w:pStyle w:val="Heading1"/>
      </w:pPr>
      <w:r>
        <w:t>1. Visão geral</w:t>
      </w:r>
    </w:p>
    <w:p>
      <w:r>
        <w:t>A API permite que uma pessoa usuária gerencie contas financeiras, categorias, receitas e despesas, além de orçamentos mensais. O backend é uma aplicação REST construída em NestJS e TypeScript. PostgreSQL persiste os dados financeiros relacionais; Redis guarda o resultado temporário das operações idempotentes.</w:t>
      </w:r>
    </w:p>
    <w:p>
      <w:r>
        <w:t xml:space="preserve">O trabalho foi organizado a partir dos requisitos do domínio e da avaliação: definir uma arquitetura, modelar as entidades, separar responsabilidades, expor um contrato HTTP documentado e empacotar o ambiente com Docker Compose. A arquitetura escolhida é </w:t>
      </w:r>
      <w:r>
        <w:rPr>
          <w:b/>
        </w:rPr>
        <w:t>em camadas, modularizada por domínio</w:t>
      </w:r>
      <w:r>
        <w:t>. A aplicação não é composta por microserviços: os módulos executam dentro de um único container da API.</w:t>
      </w:r>
    </w:p>
    <w:p>
      <w:pPr>
        <w:pStyle w:val="Heading1"/>
      </w:pPr>
      <w:r>
        <w:t>2. Processo de criação</w:t>
      </w:r>
    </w:p>
    <w:p>
      <w:r>
        <w:t xml:space="preserve">1. </w:t>
      </w:r>
      <w:r>
        <w:rPr>
          <w:b/>
        </w:rPr>
        <w:t>Delimitação do domínio:</w:t>
      </w:r>
      <w:r>
        <w:t xml:space="preserve"> identificar usuários, autenticação, contas, categorias, transações e orçamentos como conceitos centrais da gestão financeira.</w:t>
      </w:r>
    </w:p>
    <w:p>
      <w:r>
        <w:t xml:space="preserve">2. </w:t>
      </w:r>
      <w:r>
        <w:rPr>
          <w:b/>
        </w:rPr>
        <w:t>Requisitos e casos de uso:</w:t>
      </w:r>
      <w:r>
        <w:t xml:space="preserve"> registrar usuário e entrar; manter os próprios dados financeiros; consultar transações por período; limitar acesso administrativo; evitar duplicação em criações repetidas.</w:t>
      </w:r>
    </w:p>
    <w:p>
      <w:r>
        <w:t xml:space="preserve">3. </w:t>
      </w:r>
      <w:r>
        <w:rPr>
          <w:b/>
        </w:rPr>
        <w:t>Modelagem:</w:t>
      </w:r>
      <w:r>
        <w:t xml:space="preserve"> desenhar entidades e relações antes de persistir. Identificadores UUID são usados nas entidades; valores monetários são </w:t>
      </w:r>
      <w:r>
        <w:rPr>
          <w:rFonts w:ascii="Consolas" w:hAnsi="Consolas"/>
          <w:color w:val="006C7D"/>
          <w:sz w:val="18"/>
        </w:rPr>
        <w:t>numeric(14,2)</w:t>
      </w:r>
      <w:r>
        <w:t xml:space="preserve"> no PostgreSQL; as entidades financeiras são associadas ao usuário proprietário.</w:t>
      </w:r>
    </w:p>
    <w:p>
      <w:r>
        <w:t xml:space="preserve">4. </w:t>
      </w:r>
      <w:r>
        <w:rPr>
          <w:b/>
        </w:rPr>
        <w:t>Escolha arquitetural:</w:t>
      </w:r>
      <w:r>
        <w:t xml:space="preserve"> separar entrada HTTP, regras de aplicação e adaptadores de persistência. Agrupar código por domínio para que cada área possa evoluir sem concentrar toda a lógica em um único módulo.</w:t>
      </w:r>
    </w:p>
    <w:p>
      <w:r>
        <w:t xml:space="preserve">5. </w:t>
      </w:r>
      <w:r>
        <w:rPr>
          <w:b/>
        </w:rPr>
        <w:t>Implementação:</w:t>
      </w:r>
      <w:r>
        <w:t xml:space="preserve"> controllers validam e encaminham as requisições; serviços aplicam regras de negócio; entidades TypeORM representam o modelo persistido; componentes comuns tratam autenticação, erros, contexto de requisição e idempotência.</w:t>
      </w:r>
    </w:p>
    <w:p>
      <w:r>
        <w:t xml:space="preserve">6. </w:t>
      </w:r>
      <w:r>
        <w:rPr>
          <w:b/>
        </w:rPr>
        <w:t>Requisitos transversais e contrato:</w:t>
      </w:r>
      <w:r>
        <w:t xml:space="preserve"> configurar JWT/RBAC, </w:t>
      </w:r>
      <w:r>
        <w:rPr>
          <w:rFonts w:ascii="Consolas" w:hAnsi="Consolas"/>
          <w:color w:val="006C7D"/>
          <w:sz w:val="18"/>
        </w:rPr>
        <w:t>Idempotency-Key</w:t>
      </w:r>
      <w:r>
        <w:t>, Problem Details, logs JSON, throttling e Swagger/OpenAPI.</w:t>
      </w:r>
    </w:p>
    <w:p>
      <w:r>
        <w:t xml:space="preserve">7. </w:t>
      </w:r>
      <w:r>
        <w:rPr>
          <w:b/>
        </w:rPr>
        <w:t>Execução reproduzível:</w:t>
      </w:r>
      <w:r>
        <w:t xml:space="preserve"> Docker Compose inicia API, PostgreSQL e Redis, com health checks e volumes nomeados para os dados.</w:t>
      </w:r>
    </w:p>
    <w:p>
      <w:pPr>
        <w:pStyle w:val="Heading1"/>
      </w:pPr>
      <w:r>
        <w:t>3. Arquitetura em camadas e módulos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shd w:fill="173653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Camada</w:t>
            </w:r>
          </w:p>
        </w:tc>
        <w:tc>
          <w:tcPr>
            <w:tcW w:type="dxa" w:w="3331"/>
            <w:vAlign w:val="center"/>
            <w:shd w:fill="173653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Responsabilidade</w:t>
            </w:r>
          </w:p>
        </w:tc>
        <w:tc>
          <w:tcPr>
            <w:tcW w:type="dxa" w:w="3331"/>
            <w:vAlign w:val="center"/>
            <w:shd w:fill="173653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Código representativo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sz w:val="18"/>
              </w:rPr>
              <w:t>Apresentação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sz w:val="18"/>
              </w:rPr>
              <w:t>Rotas HTTP, autenticação da requisição, DTOs e validação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sz w:val="18"/>
              </w:rPr>
              <w:t>`src/modules/*/*.controller.ts`, `src/modules/*/dto/`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sz w:val="18"/>
              </w:rPr>
              <w:t>Aplicação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sz w:val="18"/>
              </w:rPr>
              <w:t>Casos de uso e regras do domínio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sz w:val="18"/>
              </w:rPr>
              <w:t>`AuthService`, `TransactionsService`, `AccountsService`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sz w:val="18"/>
              </w:rPr>
              <w:t>Domínio/modelo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sz w:val="18"/>
              </w:rPr>
              <w:t>Entidades, atributos, vínculos e restrições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sz w:val="18"/>
              </w:rPr>
              <w:t>`*.entity.ts` em cada módulo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sz w:val="18"/>
              </w:rPr>
              <w:t>Infraestrutura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sz w:val="18"/>
              </w:rPr>
              <w:t>Banco relacional, cache/idempotência, configuração e runtime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sz w:val="18"/>
              </w:rPr>
              <w:t>TypeORM, PostgreSQL, Redis, NestJS e Docker</w:t>
            </w:r>
          </w:p>
        </w:tc>
      </w:tr>
      <w:tr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sz w:val="18"/>
              </w:rPr>
              <w:t>Transversal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sz w:val="18"/>
              </w:rPr>
              <w:t>Funções compartilhadas por vários casos de uso</w:t>
            </w:r>
          </w:p>
        </w:tc>
        <w:tc>
          <w:tcPr>
            <w:tcW w:type="dxa" w:w="3331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sz w:val="18"/>
              </w:rPr>
              <w:t>`src/common/` — JWT/RBAC, ID de requisição, erros, idempotência</w:t>
            </w:r>
          </w:p>
        </w:tc>
      </w:tr>
    </w:tbl>
    <w:p>
      <w:pPr>
        <w:spacing w:after="20"/>
      </w:pPr>
    </w:p>
    <w:p>
      <w:r>
        <w:t xml:space="preserve">Os módulos </w:t>
      </w:r>
      <w:r>
        <w:rPr>
          <w:rFonts w:ascii="Consolas" w:hAnsi="Consolas"/>
          <w:color w:val="006C7D"/>
          <w:sz w:val="18"/>
        </w:rPr>
        <w:t>auth</w:t>
      </w:r>
      <w:r>
        <w:t xml:space="preserve">, </w:t>
      </w:r>
      <w:r>
        <w:rPr>
          <w:rFonts w:ascii="Consolas" w:hAnsi="Consolas"/>
          <w:color w:val="006C7D"/>
          <w:sz w:val="18"/>
        </w:rPr>
        <w:t>accounts</w:t>
      </w:r>
      <w:r>
        <w:t xml:space="preserve">, </w:t>
      </w:r>
      <w:r>
        <w:rPr>
          <w:rFonts w:ascii="Consolas" w:hAnsi="Consolas"/>
          <w:color w:val="006C7D"/>
          <w:sz w:val="18"/>
        </w:rPr>
        <w:t>categories</w:t>
      </w:r>
      <w:r>
        <w:t xml:space="preserve">, </w:t>
      </w:r>
      <w:r>
        <w:rPr>
          <w:rFonts w:ascii="Consolas" w:hAnsi="Consolas"/>
          <w:color w:val="006C7D"/>
          <w:sz w:val="18"/>
        </w:rPr>
        <w:t>transactions</w:t>
      </w:r>
      <w:r>
        <w:t xml:space="preserve">, </w:t>
      </w:r>
      <w:r>
        <w:rPr>
          <w:rFonts w:ascii="Consolas" w:hAnsi="Consolas"/>
          <w:color w:val="006C7D"/>
          <w:sz w:val="18"/>
        </w:rPr>
        <w:t>budgets</w:t>
      </w:r>
      <w:r>
        <w:t xml:space="preserve"> e </w:t>
      </w:r>
      <w:r>
        <w:rPr>
          <w:rFonts w:ascii="Consolas" w:hAnsi="Consolas"/>
          <w:color w:val="006C7D"/>
          <w:sz w:val="18"/>
        </w:rPr>
        <w:t>health</w:t>
      </w:r>
      <w:r>
        <w:t xml:space="preserve"> mantêm os elementos de cada domínio próximos. O NestJS compõe controllers e providers por injeção de dependência. Os controllers de categorias e orçamentos acessam repositórios TypeORM diretamente; nos demais domínios, os serviços concentram as operações. Assim, o desenho é modular e em camadas, mas não impõe uma camada de domínio independente ou uma arquitetura hexagonal estrita.</w:t>
      </w:r>
    </w:p>
    <w:p>
      <w:pPr>
        <w:pStyle w:val="Heading1"/>
      </w:pPr>
      <w:r>
        <w:t>4. C4 — Diagrama de contexto</w:t>
      </w:r>
    </w:p>
    <w:p>
      <w:r>
        <w:t>O diagrama de contexto situa a API e seus usuários e sistemas externos.</w:t>
      </w:r>
    </w:p>
    <w:p>
      <w:pPr>
        <w:spacing w:before="100" w:after="80"/>
        <w:jc w:val="center"/>
      </w:pPr>
      <w:r>
        <w:drawing>
          <wp:inline xmlns:a="http://schemas.openxmlformats.org/drawingml/2006/main" xmlns:pic="http://schemas.openxmlformats.org/drawingml/2006/picture">
            <wp:extent cx="6080760" cy="212826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_contex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1282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color w:val="5F7382"/>
          <w:sz w:val="16"/>
        </w:rPr>
        <w:t>4. C4 — Diagrama de contexto — Representação baseada nos módulos e serviços implementados.</w:t>
      </w:r>
    </w:p>
    <w:p>
      <w:pPr>
        <w:pStyle w:val="Heading1"/>
      </w:pPr>
      <w:r>
        <w:t>5. C4 — Diagrama de containers</w:t>
      </w:r>
    </w:p>
    <w:p>
      <w:r>
        <w:t>O limite de execução contém três containers de aplicação/infraestrutura. Swagger UI é servido pela própria aplicação NestJS, não é um container independente.</w:t>
      </w:r>
    </w:p>
    <w:p>
      <w:pPr>
        <w:spacing w:before="100" w:after="80"/>
        <w:jc w:val="center"/>
      </w:pPr>
      <w:r>
        <w:drawing>
          <wp:inline xmlns:a="http://schemas.openxmlformats.org/drawingml/2006/main" xmlns:pic="http://schemas.openxmlformats.org/drawingml/2006/picture">
            <wp:extent cx="6080760" cy="25674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_containe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567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color w:val="5F7382"/>
          <w:sz w:val="16"/>
        </w:rPr>
        <w:t>5. C4 — Diagrama de containers — Representação baseada nos módulos e serviços implementados.</w:t>
      </w:r>
    </w:p>
    <w:p>
      <w:pPr>
        <w:pStyle w:val="Heading3"/>
      </w:pPr>
      <w:r>
        <w:t>Justificativa dos bancos</w:t>
      </w:r>
    </w:p>
    <w:p>
      <w:pPr>
        <w:pStyle w:val="ListBullet"/>
      </w:pPr>
      <w:r>
        <w:rPr>
          <w:b/>
        </w:rPr>
        <w:t>PostgreSQL:</w:t>
      </w:r>
      <w:r>
        <w:t xml:space="preserve"> usuários, contas, categorias, transações e orçamentos têm relações e restrições de integridade. O banco relacional permite chaves estrangeiras, índices e unicidade; </w:t>
      </w:r>
      <w:r>
        <w:rPr>
          <w:rFonts w:ascii="Consolas" w:hAnsi="Consolas"/>
          <w:color w:val="006C7D"/>
          <w:sz w:val="18"/>
        </w:rPr>
        <w:t>numeric(14,2)</w:t>
      </w:r>
      <w:r>
        <w:t xml:space="preserve"> representa valores monetários sem a imprecisão típica de ponto flutuante.</w:t>
      </w:r>
    </w:p>
    <w:p>
      <w:pPr>
        <w:pStyle w:val="ListBullet"/>
      </w:pPr>
      <w:r>
        <w:rPr>
          <w:b/>
        </w:rPr>
        <w:t>Redis:</w:t>
      </w:r>
      <w:r>
        <w:t xml:space="preserve"> a idempotência exige reivindicar uma chave atomicamente (</w:t>
      </w:r>
      <w:r>
        <w:rPr>
          <w:rFonts w:ascii="Consolas" w:hAnsi="Consolas"/>
          <w:color w:val="006C7D"/>
          <w:sz w:val="18"/>
        </w:rPr>
        <w:t>SET ... NX</w:t>
      </w:r>
      <w:r>
        <w:t>), expirar registros após 24 horas e recuperar uma resposta anterior. Redis atende esse uso de baixa latência e os registros podem expirar. Não é a fonte principal dos dados financeiros.</w:t>
      </w:r>
    </w:p>
    <w:p>
      <w:pPr>
        <w:pStyle w:val="Heading1"/>
      </w:pPr>
      <w:r>
        <w:t>6. C4 — Diagrama de componentes</w:t>
      </w:r>
    </w:p>
    <w:p>
      <w:pPr>
        <w:spacing w:before="100" w:after="80"/>
        <w:jc w:val="center"/>
      </w:pPr>
      <w:r>
        <w:drawing>
          <wp:inline xmlns:a="http://schemas.openxmlformats.org/drawingml/2006/main" xmlns:pic="http://schemas.openxmlformats.org/drawingml/2006/picture">
            <wp:extent cx="6080760" cy="35808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_componen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35808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color w:val="5F7382"/>
          <w:sz w:val="16"/>
        </w:rPr>
        <w:t>6. C4 — Diagrama de componentes — Representação baseada nos módulos e serviços implementados.</w:t>
      </w:r>
    </w:p>
    <w:p>
      <w:pPr>
        <w:pStyle w:val="Heading1"/>
      </w:pPr>
      <w:r>
        <w:t>7. UML — Diagrama de classes do modelo</w:t>
      </w:r>
    </w:p>
    <w:p>
      <w:r>
        <w:t>As relações expressam propriedade dos dados por usuário. IDs de usuário e entidade são UUIDs no banco; propriedades de relação ManyToOne são materializadas como chaves estrangeiras pelo TypeORM.</w:t>
      </w:r>
    </w:p>
    <w:p>
      <w:pPr>
        <w:spacing w:before="100" w:after="80"/>
        <w:jc w:val="center"/>
      </w:pPr>
      <w:r>
        <w:drawing>
          <wp:inline xmlns:a="http://schemas.openxmlformats.org/drawingml/2006/main" xmlns:pic="http://schemas.openxmlformats.org/drawingml/2006/picture">
            <wp:extent cx="6080760" cy="40965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ml_class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4096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color w:val="5F7382"/>
          <w:sz w:val="16"/>
        </w:rPr>
        <w:t>7. UML — Diagrama de classes do modelo — O campo Account.type é armazenado como texto no código atual.</w:t>
      </w:r>
    </w:p>
    <w:p>
      <w:pPr>
        <w:pStyle w:val="Heading3"/>
      </w:pPr>
      <w:r>
        <w:t>Restrições relevantes do modelo</w:t>
      </w:r>
    </w:p>
    <w:p>
      <w:pPr>
        <w:pStyle w:val="ListBullet"/>
      </w:pPr>
      <w:r>
        <w:rPr>
          <w:rFonts w:ascii="Consolas" w:hAnsi="Consolas"/>
          <w:color w:val="006C7D"/>
          <w:sz w:val="18"/>
        </w:rPr>
        <w:t>users.email</w:t>
      </w:r>
      <w:r>
        <w:t xml:space="preserve"> é único; </w:t>
      </w:r>
      <w:r>
        <w:rPr>
          <w:rFonts w:ascii="Consolas" w:hAnsi="Consolas"/>
          <w:color w:val="006C7D"/>
          <w:sz w:val="18"/>
        </w:rPr>
        <w:t>passwordHash</w:t>
      </w:r>
      <w:r>
        <w:t xml:space="preserve"> não é selecionado por padrão nas consultas.</w:t>
      </w:r>
    </w:p>
    <w:p>
      <w:pPr>
        <w:pStyle w:val="ListBullet"/>
      </w:pPr>
      <w:r>
        <w:t>Conta tem índice único composto por usuário e nome. Categoria tem índice único por usuário, nome e tipo. Orçamento tem unicidade por usuário, mês e categoria.</w:t>
      </w:r>
    </w:p>
    <w:p>
      <w:pPr>
        <w:pStyle w:val="ListBullet"/>
      </w:pPr>
      <w:r>
        <w:t>Exclusão de usuário propaga para seus dados; transação impede exclusão da conta referenciada (</w:t>
      </w:r>
      <w:r>
        <w:rPr>
          <w:rFonts w:ascii="Consolas" w:hAnsi="Consolas"/>
          <w:color w:val="006C7D"/>
          <w:sz w:val="18"/>
        </w:rPr>
        <w:t>RESTRICT</w:t>
      </w:r>
      <w:r>
        <w:t>); categoria removida é desassociada de transações e orçamentos (</w:t>
      </w:r>
      <w:r>
        <w:rPr>
          <w:rFonts w:ascii="Consolas" w:hAnsi="Consolas"/>
          <w:color w:val="006C7D"/>
          <w:sz w:val="18"/>
        </w:rPr>
        <w:t>SET NULL</w:t>
      </w:r>
      <w:r>
        <w:t>).</w:t>
      </w:r>
    </w:p>
    <w:p>
      <w:pPr>
        <w:pStyle w:val="ListBullet"/>
      </w:pPr>
      <w:r>
        <w:rPr>
          <w:rFonts w:ascii="Consolas" w:hAnsi="Consolas"/>
          <w:color w:val="006C7D"/>
          <w:sz w:val="18"/>
        </w:rPr>
        <w:t>amount</w:t>
      </w:r>
      <w:r>
        <w:t xml:space="preserve">, </w:t>
      </w:r>
      <w:r>
        <w:rPr>
          <w:rFonts w:ascii="Consolas" w:hAnsi="Consolas"/>
          <w:color w:val="006C7D"/>
          <w:sz w:val="18"/>
        </w:rPr>
        <w:t>openingBalance</w:t>
      </w:r>
      <w:r>
        <w:t xml:space="preserve"> e </w:t>
      </w:r>
      <w:r>
        <w:rPr>
          <w:rFonts w:ascii="Consolas" w:hAnsi="Consolas"/>
          <w:color w:val="006C7D"/>
          <w:sz w:val="18"/>
        </w:rPr>
        <w:t>limitAmount</w:t>
      </w:r>
      <w:r>
        <w:t xml:space="preserve"> são </w:t>
      </w:r>
      <w:r>
        <w:rPr>
          <w:rFonts w:ascii="Consolas" w:hAnsi="Consolas"/>
          <w:color w:val="006C7D"/>
          <w:sz w:val="18"/>
        </w:rPr>
        <w:t>numeric(14,2)</w:t>
      </w:r>
      <w:r>
        <w:t xml:space="preserve">. </w:t>
      </w:r>
      <w:r>
        <w:rPr>
          <w:rFonts w:ascii="Consolas" w:hAnsi="Consolas"/>
          <w:color w:val="006C7D"/>
          <w:sz w:val="18"/>
        </w:rPr>
        <w:t>month</w:t>
      </w:r>
      <w:r>
        <w:t xml:space="preserve"> é texto de 7 caracteres no formato ano-mês; a validação do formato é feita no DTO.</w:t>
      </w:r>
    </w:p>
    <w:p>
      <w:pPr>
        <w:pStyle w:val="ListBullet"/>
      </w:pPr>
      <w:r>
        <w:rPr>
          <w:rFonts w:ascii="Consolas" w:hAnsi="Consolas"/>
          <w:color w:val="006C7D"/>
          <w:sz w:val="18"/>
        </w:rPr>
        <w:t>Account.type</w:t>
      </w:r>
      <w:r>
        <w:t xml:space="preserve"> é texto (valor padrão </w:t>
      </w:r>
      <w:r>
        <w:rPr>
          <w:rFonts w:ascii="Consolas" w:hAnsi="Consolas"/>
          <w:color w:val="006C7D"/>
          <w:sz w:val="18"/>
        </w:rPr>
        <w:t>checking</w:t>
      </w:r>
      <w:r>
        <w:t xml:space="preserve">); tipos como </w:t>
      </w:r>
      <w:r>
        <w:rPr>
          <w:rFonts w:ascii="Consolas" w:hAnsi="Consolas"/>
          <w:color w:val="006C7D"/>
          <w:sz w:val="18"/>
        </w:rPr>
        <w:t>savings</w:t>
      </w:r>
      <w:r>
        <w:t xml:space="preserve">, </w:t>
      </w:r>
      <w:r>
        <w:rPr>
          <w:rFonts w:ascii="Consolas" w:hAnsi="Consolas"/>
          <w:color w:val="006C7D"/>
          <w:sz w:val="18"/>
        </w:rPr>
        <w:t>cash</w:t>
      </w:r>
      <w:r>
        <w:t xml:space="preserve"> e </w:t>
      </w:r>
      <w:r>
        <w:rPr>
          <w:rFonts w:ascii="Consolas" w:hAnsi="Consolas"/>
          <w:color w:val="006C7D"/>
          <w:sz w:val="18"/>
        </w:rPr>
        <w:t>credit</w:t>
      </w:r>
      <w:r>
        <w:t xml:space="preserve"> são convenções, não enum PostgreSQL.</w:t>
      </w:r>
    </w:p>
    <w:p>
      <w:pPr>
        <w:pStyle w:val="Heading1"/>
      </w:pPr>
      <w:r>
        <w:t>8. Requisitos não funcionais e comportamento</w:t>
      </w:r>
    </w:p>
    <w:p>
      <w:pPr>
        <w:pStyle w:val="Heading3"/>
      </w:pPr>
      <w:r>
        <w:t>Autenticação e autorização</w:t>
      </w:r>
    </w:p>
    <w:p>
      <w:r>
        <w:t>Registro (</w:t>
      </w:r>
      <w:r>
        <w:rPr>
          <w:rFonts w:ascii="Consolas" w:hAnsi="Consolas"/>
          <w:color w:val="006C7D"/>
          <w:sz w:val="18"/>
        </w:rPr>
        <w:t>POST /api/v1/auth/register</w:t>
      </w:r>
      <w:r>
        <w:t xml:space="preserve">) sempre atribui papel </w:t>
      </w:r>
      <w:r>
        <w:rPr>
          <w:rFonts w:ascii="Consolas" w:hAnsi="Consolas"/>
          <w:color w:val="006C7D"/>
          <w:sz w:val="18"/>
        </w:rPr>
        <w:t>cliente</w:t>
      </w:r>
      <w:r>
        <w:t xml:space="preserve">; senha é armazenada com bcrypt. Login retorna JWT Bearer. Guard JWT protege rotas privadas; </w:t>
      </w:r>
      <w:r>
        <w:rPr>
          <w:rFonts w:ascii="Consolas" w:hAnsi="Consolas"/>
          <w:color w:val="006C7D"/>
          <w:sz w:val="18"/>
        </w:rPr>
        <w:t>RolesGuard</w:t>
      </w:r>
      <w:r>
        <w:t xml:space="preserve"> permite exigir papéis em rotas administrativas. O administrador inicial é criado a partir de </w:t>
      </w:r>
      <w:r>
        <w:rPr>
          <w:rFonts w:ascii="Consolas" w:hAnsi="Consolas"/>
          <w:color w:val="006C7D"/>
          <w:sz w:val="18"/>
        </w:rPr>
        <w:t>ADMIN_EMAIL</w:t>
      </w:r>
      <w:r>
        <w:t xml:space="preserve"> e </w:t>
      </w:r>
      <w:r>
        <w:rPr>
          <w:rFonts w:ascii="Consolas" w:hAnsi="Consolas"/>
          <w:color w:val="006C7D"/>
          <w:sz w:val="18"/>
        </w:rPr>
        <w:t>ADMIN_PASSWORD</w:t>
      </w:r>
      <w:r>
        <w:t xml:space="preserve"> durante a inicialização, caso ainda não exista, e a senha precisa ter pelo menos 12 caracteres. Há rota administrativa de listagem de usuários.</w:t>
      </w:r>
    </w:p>
    <w:p>
      <w:pPr>
        <w:pStyle w:val="Heading3"/>
      </w:pPr>
      <w:r>
        <w:t>Idempotência</w:t>
      </w:r>
    </w:p>
    <w:p>
      <w:r>
        <w:t xml:space="preserve">Criações de conta, categoria, transação e orçamento requerem cabeçalho </w:t>
      </w:r>
      <w:r>
        <w:rPr>
          <w:rFonts w:ascii="Consolas" w:hAnsi="Consolas"/>
          <w:color w:val="006C7D"/>
          <w:sz w:val="18"/>
        </w:rPr>
        <w:t>Idempotency-Key</w:t>
      </w:r>
      <w:r>
        <w:t xml:space="preserve"> (1–128 caracteres permitidos). A chave é escopada por usuário e tipo de operação, e o corpo é identificado por SHA-256. A mesma chave e corpo reproduzem a resposta por 24 horas; chave reaproveitada com corpo diferente resulta em conflito HTTP 409. Chaves em processamento também resultam em 409. Indisponibilidade do Redis impede a operação, retornando erro de serviço indisponível, evitando criação sem garantia de idempotência.</w:t>
      </w:r>
    </w:p>
    <w:p>
      <w:pPr>
        <w:pStyle w:val="Heading3"/>
      </w:pPr>
      <w:r>
        <w:t>Tratamento global de erros</w:t>
      </w:r>
    </w:p>
    <w:p>
      <w:r>
        <w:rPr>
          <w:rFonts w:ascii="Consolas" w:hAnsi="Consolas"/>
          <w:color w:val="006C7D"/>
          <w:sz w:val="18"/>
        </w:rPr>
        <w:t>ProblemDetailsFilter</w:t>
      </w:r>
      <w:r>
        <w:t xml:space="preserve"> captura exceções e responde com tipo </w:t>
      </w:r>
      <w:r>
        <w:rPr>
          <w:rFonts w:ascii="Consolas" w:hAnsi="Consolas"/>
          <w:color w:val="006C7D"/>
          <w:sz w:val="18"/>
        </w:rPr>
        <w:t>application/problem+json</w:t>
      </w:r>
      <w:r>
        <w:t xml:space="preserve">, incluindo </w:t>
      </w:r>
      <w:r>
        <w:rPr>
          <w:rFonts w:ascii="Consolas" w:hAnsi="Consolas"/>
          <w:color w:val="006C7D"/>
          <w:sz w:val="18"/>
        </w:rPr>
        <w:t>type</w:t>
      </w:r>
      <w:r>
        <w:t xml:space="preserve">, </w:t>
      </w:r>
      <w:r>
        <w:rPr>
          <w:rFonts w:ascii="Consolas" w:hAnsi="Consolas"/>
          <w:color w:val="006C7D"/>
          <w:sz w:val="18"/>
        </w:rPr>
        <w:t>title</w:t>
      </w:r>
      <w:r>
        <w:t xml:space="preserve">, </w:t>
      </w:r>
      <w:r>
        <w:rPr>
          <w:rFonts w:ascii="Consolas" w:hAnsi="Consolas"/>
          <w:color w:val="006C7D"/>
          <w:sz w:val="18"/>
        </w:rPr>
        <w:t>status</w:t>
      </w:r>
      <w:r>
        <w:t xml:space="preserve">, </w:t>
      </w:r>
      <w:r>
        <w:rPr>
          <w:rFonts w:ascii="Consolas" w:hAnsi="Consolas"/>
          <w:color w:val="006C7D"/>
          <w:sz w:val="18"/>
        </w:rPr>
        <w:t>detail</w:t>
      </w:r>
      <w:r>
        <w:t xml:space="preserve">, </w:t>
      </w:r>
      <w:r>
        <w:rPr>
          <w:rFonts w:ascii="Consolas" w:hAnsi="Consolas"/>
          <w:color w:val="006C7D"/>
          <w:sz w:val="18"/>
        </w:rPr>
        <w:t>instance</w:t>
      </w:r>
      <w:r>
        <w:t xml:space="preserve"> e </w:t>
      </w:r>
      <w:r>
        <w:rPr>
          <w:rFonts w:ascii="Consolas" w:hAnsi="Consolas"/>
          <w:color w:val="006C7D"/>
          <w:sz w:val="18"/>
        </w:rPr>
        <w:t>requestId</w:t>
      </w:r>
      <w:r>
        <w:t xml:space="preserve">. A estrutura segue o formato Problem Details associado à RFC 7807. O </w:t>
      </w:r>
      <w:r>
        <w:rPr>
          <w:rFonts w:ascii="Consolas" w:hAnsi="Consolas"/>
          <w:color w:val="006C7D"/>
          <w:sz w:val="18"/>
        </w:rPr>
        <w:t>requestId</w:t>
      </w:r>
      <w:r>
        <w:t xml:space="preserve"> corresponde ao contexto de correlação da requisição.</w:t>
      </w:r>
    </w:p>
    <w:p>
      <w:pPr>
        <w:pStyle w:val="Heading3"/>
      </w:pPr>
      <w:r>
        <w:t>Observabilidade básica</w:t>
      </w:r>
    </w:p>
    <w:p>
      <w:r>
        <w:t xml:space="preserve">Middleware aceita </w:t>
      </w:r>
      <w:r>
        <w:rPr>
          <w:rFonts w:ascii="Consolas" w:hAnsi="Consolas"/>
          <w:color w:val="006C7D"/>
          <w:sz w:val="18"/>
        </w:rPr>
        <w:t>Correlation-ID</w:t>
      </w:r>
      <w:r>
        <w:t xml:space="preserve"> ou </w:t>
      </w:r>
      <w:r>
        <w:rPr>
          <w:rFonts w:ascii="Consolas" w:hAnsi="Consolas"/>
          <w:color w:val="006C7D"/>
          <w:sz w:val="18"/>
        </w:rPr>
        <w:t>X-Request-ID</w:t>
      </w:r>
      <w:r>
        <w:t xml:space="preserve"> válido (1–128 caracteres); se ausente ou inválido, gera UUID. Devolve </w:t>
      </w:r>
      <w:r>
        <w:rPr>
          <w:rFonts w:ascii="Consolas" w:hAnsi="Consolas"/>
          <w:color w:val="006C7D"/>
          <w:sz w:val="18"/>
        </w:rPr>
        <w:t>Correlation-ID</w:t>
      </w:r>
      <w:r>
        <w:t xml:space="preserve"> na resposta e emite log JSON no fim da requisição com timestamp, nível, ID, método, caminho, status e duração. Para observabilidade distribuída em nuvem, o mesmo cabeçalho deve ser encaminhado pelo gateway/load balancer.</w:t>
      </w:r>
    </w:p>
    <w:p>
      <w:pPr>
        <w:pStyle w:val="Heading3"/>
      </w:pPr>
      <w:r>
        <w:t>Controle de vazão</w:t>
      </w:r>
    </w:p>
    <w:p>
      <w:r>
        <w:t>Throttler global limita a 100 requisições por minuto por padrão; registro e login limitam a 5 por minuto. O limite configurado usa armazenamento em memória do processo. Em múltiplas réplicas, cada instância aplica sua própria contagem; produção escalada requer armazenamento compartilhado (por exemplo Redis) ou política no API gateway.</w:t>
      </w:r>
    </w:p>
    <w:p>
      <w:pPr>
        <w:pStyle w:val="Heading3"/>
      </w:pPr>
      <w:r>
        <w:t>Contrato de API</w:t>
      </w:r>
    </w:p>
    <w:p>
      <w:r>
        <w:t xml:space="preserve">Swagger/OpenAPI é servido em </w:t>
      </w:r>
      <w:r>
        <w:rPr>
          <w:rFonts w:ascii="Consolas" w:hAnsi="Consolas"/>
          <w:color w:val="006C7D"/>
          <w:sz w:val="18"/>
        </w:rPr>
        <w:t>/docs</w:t>
      </w:r>
      <w:r>
        <w:t xml:space="preserve">; prefixo padrão das rotas é </w:t>
      </w:r>
      <w:r>
        <w:rPr>
          <w:rFonts w:ascii="Consolas" w:hAnsi="Consolas"/>
          <w:color w:val="006C7D"/>
          <w:sz w:val="18"/>
        </w:rPr>
        <w:t>/api/v1</w:t>
      </w:r>
      <w:r>
        <w:t xml:space="preserve">. DTOs descrevem os campos e regras de validação. </w:t>
      </w:r>
      <w:r>
        <w:rPr>
          <w:rFonts w:ascii="Consolas" w:hAnsi="Consolas"/>
          <w:color w:val="006C7D"/>
          <w:sz w:val="18"/>
        </w:rPr>
        <w:t>ValidationPipe</w:t>
      </w:r>
      <w:r>
        <w:t xml:space="preserve"> remove transformações implícitas conforme DTO, rejeita propriedades não declaradas e transforma entradas.</w:t>
      </w:r>
    </w:p>
    <w:p>
      <w:pPr>
        <w:pStyle w:val="Heading3"/>
      </w:pPr>
      <w:r>
        <w:t>Infraestrutura como código e nuvem</w:t>
      </w:r>
    </w:p>
    <w:p>
      <w:r>
        <w:rPr>
          <w:rFonts w:ascii="Consolas" w:hAnsi="Consolas"/>
          <w:color w:val="006C7D"/>
          <w:sz w:val="18"/>
        </w:rPr>
        <w:t>docker-compose.yml</w:t>
      </w:r>
      <w:r>
        <w:t xml:space="preserve"> define serviços da API, PostgreSQL e Redis, dependências condicionadas a health checks e volumes nomeados para persistência local. Inicialização: </w:t>
      </w:r>
      <w:r>
        <w:rPr>
          <w:rFonts w:ascii="Consolas" w:hAnsi="Consolas"/>
          <w:color w:val="006C7D"/>
          <w:sz w:val="18"/>
        </w:rPr>
        <w:t>docker compose up --build</w:t>
      </w:r>
      <w:r>
        <w:t xml:space="preserve">. O Compose é infraestrutura reproduzível de desenvolvimento/demonstração; para nuvem, a API pode ser replicada atrás de balanceador e os bancos substituídos por serviços gerenciados. Migrações, backups, monitoramento/alertas, TLS/ingress, secrets manager e rate limit distribuído são configurações operacionais necessárias antes de produção. </w:t>
      </w:r>
      <w:r>
        <w:rPr>
          <w:rFonts w:ascii="Consolas" w:hAnsi="Consolas"/>
          <w:color w:val="006C7D"/>
          <w:sz w:val="18"/>
        </w:rPr>
        <w:t>DB_SYNCHRONIZE</w:t>
      </w:r>
      <w:r>
        <w:t xml:space="preserve"> deve ficar desabilitado em produção e ser substituído por migrações versionadas.</w:t>
      </w:r>
    </w:p>
    <w:p>
      <w:pPr>
        <w:pStyle w:val="Heading1"/>
      </w:pPr>
      <w:r>
        <w:t>9. Fluxos principais</w:t>
      </w:r>
    </w:p>
    <w:p>
      <w:pPr>
        <w:pStyle w:val="Heading3"/>
      </w:pPr>
      <w:r>
        <w:t>Registrar transação</w:t>
      </w:r>
    </w:p>
    <w:p>
      <w:r>
        <w:t xml:space="preserve">1. Cliente envia </w:t>
      </w:r>
      <w:r>
        <w:rPr>
          <w:rFonts w:ascii="Consolas" w:hAnsi="Consolas"/>
          <w:color w:val="006C7D"/>
          <w:sz w:val="18"/>
        </w:rPr>
        <w:t>POST /api/v1/transactions</w:t>
      </w:r>
      <w:r>
        <w:t xml:space="preserve"> com JWT, DTO e </w:t>
      </w:r>
      <w:r>
        <w:rPr>
          <w:rFonts w:ascii="Consolas" w:hAnsi="Consolas"/>
          <w:color w:val="006C7D"/>
          <w:sz w:val="18"/>
        </w:rPr>
        <w:t>Idempotency-Key</w:t>
      </w:r>
      <w:r>
        <w:t>.</w:t>
      </w:r>
    </w:p>
    <w:p>
      <w:r>
        <w:t>2. Middleware define o ID de correlação; Throttler avalia o limite; guard JWT valida identidade.</w:t>
      </w:r>
    </w:p>
    <w:p>
      <w:r>
        <w:t>3. DTO é validado; controller chama o serviço idempotente com escopo do usuário e fingerprint do payload.</w:t>
      </w:r>
    </w:p>
    <w:p>
      <w:r>
        <w:t>4. Redis reivindica a chave; serviço verifica se conta e categoria pertencem ao usuário e se o tipo de categoria combina com a transação.</w:t>
      </w:r>
    </w:p>
    <w:p>
      <w:r>
        <w:t>5. TypeORM persiste a transação no PostgreSQL; Redis armazena e expira a resposta em 24 horas.</w:t>
      </w:r>
    </w:p>
    <w:p>
      <w:r>
        <w:t xml:space="preserve">6. A resposta inclui o </w:t>
      </w:r>
      <w:r>
        <w:rPr>
          <w:rFonts w:ascii="Consolas" w:hAnsi="Consolas"/>
          <w:color w:val="006C7D"/>
          <w:sz w:val="18"/>
        </w:rPr>
        <w:t>Correlation-ID</w:t>
      </w:r>
      <w:r>
        <w:t>; log estruturado é emitido. Exceções são transformadas em Problem Details.</w:t>
      </w:r>
    </w:p>
    <w:p>
      <w:pPr>
        <w:pStyle w:val="Heading3"/>
      </w:pPr>
      <w:r>
        <w:t>Iniciar o ambiente</w:t>
      </w:r>
    </w:p>
    <w:p>
      <w:r>
        <w:t xml:space="preserve">Compose aguarda os health checks de PostgreSQL e Redis antes de iniciar a API. A API testa conectividade com PostgreSQL no endpoint </w:t>
      </w:r>
      <w:r>
        <w:rPr>
          <w:rFonts w:ascii="Consolas" w:hAnsi="Consolas"/>
          <w:color w:val="006C7D"/>
          <w:sz w:val="18"/>
        </w:rPr>
        <w:t>/api/v1/health</w:t>
      </w:r>
      <w:r>
        <w:t>; Docker usa esse endpoint como health check do serviço.</w:t>
      </w:r>
    </w:p>
    <w:p>
      <w:pPr>
        <w:pStyle w:val="Heading1"/>
      </w:pPr>
      <w:r>
        <w:t>10. Rotas implementadas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shd w:fill="173653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Método e rota</w:t>
            </w:r>
          </w:p>
        </w:tc>
        <w:tc>
          <w:tcPr>
            <w:tcW w:type="dxa" w:w="2498"/>
            <w:vAlign w:val="center"/>
            <w:shd w:fill="173653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Acesso</w:t>
            </w:r>
          </w:p>
        </w:tc>
        <w:tc>
          <w:tcPr>
            <w:tcW w:type="dxa" w:w="2498"/>
            <w:vAlign w:val="center"/>
            <w:shd w:fill="173653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Idempotency-Key</w:t>
            </w:r>
          </w:p>
        </w:tc>
        <w:tc>
          <w:tcPr>
            <w:tcW w:type="dxa" w:w="2498"/>
            <w:vAlign w:val="center"/>
            <w:shd w:fill="173653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Função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sz w:val="18"/>
              </w:rPr>
              <w:t>`POST /api/v1/auth/register`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sz w:val="18"/>
              </w:rPr>
              <w:t>Público; cria cliente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sz w:val="18"/>
              </w:rPr>
              <w:t>Não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sz w:val="18"/>
              </w:rPr>
              <w:t>Registrar usuário e obter token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sz w:val="18"/>
              </w:rPr>
              <w:t>`POST /api/v1/auth/login`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sz w:val="18"/>
              </w:rPr>
              <w:t>Público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sz w:val="18"/>
              </w:rPr>
              <w:t>Não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sz w:val="18"/>
              </w:rPr>
              <w:t>Autenticar e obter JWT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sz w:val="18"/>
              </w:rPr>
              <w:t>`GET /api/v1/auth/admin/users`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sz w:val="18"/>
              </w:rPr>
              <w:t>Admin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sz w:val="18"/>
              </w:rPr>
              <w:t>Não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sz w:val="18"/>
              </w:rPr>
              <w:t>Listar usuários sem hashes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sz w:val="18"/>
              </w:rPr>
              <w:t>`POST /api/v1/auth/admin/bootstrap`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sz w:val="18"/>
              </w:rPr>
              <w:t>Admin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sz w:val="18"/>
              </w:rPr>
              <w:t>Não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sz w:val="18"/>
              </w:rPr>
              <w:t>Verificar acesso administrativo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sz w:val="18"/>
              </w:rPr>
              <w:t>`GET /api/v1/health`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sz w:val="18"/>
              </w:rPr>
              <w:t>Público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sz w:val="18"/>
              </w:rPr>
              <w:t>Não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sz w:val="18"/>
              </w:rPr>
              <w:t>Verificar API e PostgreSQL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sz w:val="18"/>
              </w:rPr>
              <w:t>`GET/POST /api/v1/accounts`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sz w:val="18"/>
              </w:rPr>
              <w:t>JWT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sz w:val="18"/>
              </w:rPr>
              <w:t>POST sim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sz w:val="18"/>
              </w:rPr>
              <w:t>Consultar/criar contas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sz w:val="18"/>
              </w:rPr>
              <w:t>`DELETE /api/v1/accounts/:id`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sz w:val="18"/>
              </w:rPr>
              <w:t>JWT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sz w:val="18"/>
              </w:rPr>
              <w:t>Não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sz w:val="18"/>
              </w:rPr>
              <w:t>Remover conta própria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sz w:val="18"/>
              </w:rPr>
              <w:t>`GET/POST /api/v1/categories`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sz w:val="18"/>
              </w:rPr>
              <w:t>JWT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sz w:val="18"/>
              </w:rPr>
              <w:t>POST sim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sz w:val="18"/>
              </w:rPr>
              <w:t>Consultar/criar categorias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sz w:val="18"/>
              </w:rPr>
              <w:t>`GET/POST /api/v1/transactions`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sz w:val="18"/>
              </w:rPr>
              <w:t>JWT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sz w:val="18"/>
              </w:rPr>
              <w:t>POST sim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sz w:val="18"/>
              </w:rPr>
              <w:t>Consultar/criar transações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sz w:val="18"/>
              </w:rPr>
              <w:t>`DELETE /api/v1/transactions/:id`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sz w:val="18"/>
              </w:rPr>
              <w:t>JWT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sz w:val="18"/>
              </w:rPr>
              <w:t>Não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sz w:val="18"/>
              </w:rPr>
              <w:t>Remover transação própria</w:t>
            </w:r>
          </w:p>
        </w:tc>
      </w:tr>
      <w:tr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sz w:val="18"/>
              </w:rPr>
              <w:t>`GET/POST /api/v1/budgets`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sz w:val="18"/>
              </w:rPr>
              <w:t>JWT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sz w:val="18"/>
              </w:rPr>
              <w:t>POST sim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sz w:val="18"/>
              </w:rPr>
              <w:t>Consultar/criar orçamentos</w:t>
            </w:r>
          </w:p>
        </w:tc>
      </w:tr>
    </w:tbl>
    <w:p>
      <w:pPr>
        <w:spacing w:after="20"/>
      </w:pPr>
    </w:p>
    <w:p>
      <w:pPr>
        <w:pStyle w:val="Heading1"/>
      </w:pPr>
      <w:r>
        <w:t>11. Execução local</w:t>
      </w:r>
    </w:p>
    <w:p>
      <w:r>
        <w:t xml:space="preserve">1. Copie </w:t>
      </w:r>
      <w:r>
        <w:rPr>
          <w:rFonts w:ascii="Consolas" w:hAnsi="Consolas"/>
          <w:color w:val="006C7D"/>
          <w:sz w:val="18"/>
        </w:rPr>
        <w:t>.env.example</w:t>
      </w:r>
      <w:r>
        <w:t xml:space="preserve"> para </w:t>
      </w:r>
      <w:r>
        <w:rPr>
          <w:rFonts w:ascii="Consolas" w:hAnsi="Consolas"/>
          <w:color w:val="006C7D"/>
          <w:sz w:val="18"/>
        </w:rPr>
        <w:t>.env</w:t>
      </w:r>
      <w:r>
        <w:t xml:space="preserve"> e configure segredos adequados ao ambiente.</w:t>
      </w:r>
    </w:p>
    <w:p>
      <w:r>
        <w:t xml:space="preserve">2. Execute </w:t>
      </w:r>
      <w:r>
        <w:rPr>
          <w:rFonts w:ascii="Consolas" w:hAnsi="Consolas"/>
          <w:color w:val="006C7D"/>
          <w:sz w:val="18"/>
        </w:rPr>
        <w:t>docker compose up --build</w:t>
      </w:r>
      <w:r>
        <w:t>.</w:t>
      </w:r>
    </w:p>
    <w:p>
      <w:r>
        <w:t xml:space="preserve">3. Consulte </w:t>
      </w:r>
      <w:r>
        <w:rPr>
          <w:rFonts w:ascii="Consolas" w:hAnsi="Consolas"/>
          <w:color w:val="006C7D"/>
          <w:sz w:val="18"/>
        </w:rPr>
        <w:t>http://localhost:3000/docs</w:t>
      </w:r>
      <w:r>
        <w:t xml:space="preserve">, </w:t>
      </w:r>
      <w:r>
        <w:rPr>
          <w:rFonts w:ascii="Consolas" w:hAnsi="Consolas"/>
          <w:color w:val="006C7D"/>
          <w:sz w:val="18"/>
        </w:rPr>
        <w:t>http://localhost:3000/api/v1/health</w:t>
      </w:r>
      <w:r>
        <w:t xml:space="preserve"> e as rotas sob </w:t>
      </w:r>
      <w:r>
        <w:rPr>
          <w:rFonts w:ascii="Consolas" w:hAnsi="Consolas"/>
          <w:color w:val="006C7D"/>
          <w:sz w:val="18"/>
        </w:rPr>
        <w:t>/api/v1</w:t>
      </w:r>
      <w:r>
        <w:t>.</w:t>
      </w:r>
    </w:p>
    <w:p>
      <w:pPr>
        <w:pStyle w:val="Heading1"/>
      </w:pPr>
      <w:r>
        <w:t>12. Limites conhecidos e próximos passos</w:t>
      </w:r>
    </w:p>
    <w:p>
      <w:pPr>
        <w:pStyle w:val="ListBullet"/>
      </w:pPr>
      <w:r>
        <w:t>A aplicação atualmente não implementa pagamento, integração bancária, atualização de saldo por evento nem refresh-token, apesar de existirem variáveis de ambiente reservadas a refresh. O domínio implementado é controle financeiro pessoal.</w:t>
      </w:r>
    </w:p>
    <w:p>
      <w:pPr>
        <w:pStyle w:val="ListBullet"/>
      </w:pPr>
      <w:r>
        <w:t>As rotas privadas autenticam o usuário, e as consultas/alterações são filtradas pela propriedade. RBAC explícito é aplicado às rotas administrativas; usuários cliente não têm endpoints de administração.</w:t>
      </w:r>
    </w:p>
    <w:p>
      <w:pPr>
        <w:pStyle w:val="ListBullet"/>
      </w:pPr>
      <w:r>
        <w:t>O throttle atual é local a cada instância. Configure backend Redis compartilhado ou gateway antes de escalar horizontalmente.</w:t>
      </w:r>
    </w:p>
    <w:p>
      <w:pPr>
        <w:pStyle w:val="ListBullet"/>
      </w:pPr>
      <w:r>
        <w:t>Compose publica portas dos bancos para facilitar desenvolvimento. Restrinja/remova essas publicações fora de ambientes locais.</w:t>
      </w:r>
    </w:p>
    <w:p>
      <w:pPr>
        <w:pStyle w:val="ListBullet"/>
      </w:pPr>
      <w:r>
        <w:t>Para operação em produção, adicionar migrações, política de backup e restauração, TLS, rotação de segredos, monitoramento/alertas e testes automatizados do comportamento crítico.</w:t>
      </w:r>
    </w:p>
    <w:p>
      <w:pPr>
        <w:pStyle w:val="Heading1"/>
      </w:pPr>
      <w:r>
        <w:t>13. Referências do projeto</w:t>
      </w:r>
    </w:p>
    <w:p>
      <w:pPr>
        <w:pStyle w:val="ListBullet"/>
      </w:pPr>
      <w:r>
        <w:rPr>
          <w:rFonts w:ascii="Consolas" w:hAnsi="Consolas"/>
          <w:color w:val="006C7D"/>
          <w:sz w:val="18"/>
        </w:rPr>
        <w:t>README.md</w:t>
      </w:r>
      <w:r>
        <w:t xml:space="preserve"> — introdução e comandos rápidos.</w:t>
      </w:r>
    </w:p>
    <w:p>
      <w:pPr>
        <w:pStyle w:val="ListBullet"/>
      </w:pPr>
      <w:r>
        <w:rPr>
          <w:rFonts w:ascii="Consolas" w:hAnsi="Consolas"/>
          <w:color w:val="006C7D"/>
          <w:sz w:val="18"/>
        </w:rPr>
        <w:t>src/app.module.ts</w:t>
      </w:r>
      <w:r>
        <w:t xml:space="preserve"> e </w:t>
      </w:r>
      <w:r>
        <w:rPr>
          <w:rFonts w:ascii="Consolas" w:hAnsi="Consolas"/>
          <w:color w:val="006C7D"/>
          <w:sz w:val="18"/>
        </w:rPr>
        <w:t>src/main.ts</w:t>
      </w:r>
      <w:r>
        <w:t xml:space="preserve"> — composição, middlewares, validação e OpenAPI.</w:t>
      </w:r>
    </w:p>
    <w:p>
      <w:pPr>
        <w:pStyle w:val="ListBullet"/>
      </w:pPr>
      <w:r>
        <w:rPr>
          <w:rFonts w:ascii="Consolas" w:hAnsi="Consolas"/>
          <w:color w:val="006C7D"/>
          <w:sz w:val="18"/>
        </w:rPr>
        <w:t>src/modules/*</w:t>
      </w:r>
      <w:r>
        <w:t xml:space="preserve"> — módulos, controladores, serviços, DTOs e entidades de domínio.</w:t>
      </w:r>
    </w:p>
    <w:p>
      <w:pPr>
        <w:pStyle w:val="ListBullet"/>
      </w:pPr>
      <w:r>
        <w:rPr>
          <w:rFonts w:ascii="Consolas" w:hAnsi="Consolas"/>
          <w:color w:val="006C7D"/>
          <w:sz w:val="18"/>
        </w:rPr>
        <w:t>src/common/</w:t>
      </w:r>
      <w:r>
        <w:t xml:space="preserve"> — requisitos transversais.</w:t>
      </w:r>
    </w:p>
    <w:p>
      <w:pPr>
        <w:pStyle w:val="ListBullet"/>
      </w:pPr>
      <w:r>
        <w:rPr>
          <w:rFonts w:ascii="Consolas" w:hAnsi="Consolas"/>
          <w:color w:val="006C7D"/>
          <w:sz w:val="18"/>
        </w:rPr>
        <w:t>Dockerfile</w:t>
      </w:r>
      <w:r>
        <w:t xml:space="preserve"> e </w:t>
      </w:r>
      <w:r>
        <w:rPr>
          <w:rFonts w:ascii="Consolas" w:hAnsi="Consolas"/>
          <w:color w:val="006C7D"/>
          <w:sz w:val="18"/>
        </w:rPr>
        <w:t>docker-compose.yml</w:t>
      </w:r>
      <w:r>
        <w:t xml:space="preserve"> — empacotamento e serviços locais.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79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7382"/>
        <w:sz w:val="16"/>
      </w:rPr>
      <w:t xml:space="preserve">Documentação arquitetural  •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F7382"/>
        <w:sz w:val="16"/>
      </w:rPr>
      <w:t>API DE GESTÃO FINANCEIRA  |  DOCUMENTAÇÃO ARQUITETURAL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color w:val="28364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3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7F8B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26278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65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Documentação Arquitetural da API de Gestão Financeira</dc:title>
  <dc:subject>Processo de criação, arquitetura C4, UML e requisitos não funcionais</dc:subject>
  <dc:creator>Projeto API de Gestão Financeira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