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AANVULLEND BEWIJS</w:t>
      </w:r>
    </w:p>
    <w:p>
      <w:pPr>
        <w:spacing w:after="120"/>
        <w:jc w:val="center"/>
      </w:pPr>
      <w:r>
        <w:rPr>
          <w:b/>
          <w:bCs/>
          <w:color w:val="C00000"/>
          <w:sz w:val="24"/>
          <w:szCs w:val="24"/>
        </w:rPr>
        <w:t xml:space="preserve">ADVOCATENCONNECTIE + VOEDSELCONTAMINATIE</w:t>
      </w:r>
    </w:p>
    <w:p>
      <w:pPr>
        <w:spacing w:after="480"/>
        <w:jc w:val="center"/>
      </w:pPr>
      <w:r>
        <w:rPr>
          <w:sz w:val="20"/>
          <w:szCs w:val="20"/>
        </w:rPr>
        <w:t xml:space="preserve">Dossiernummer: EPPO/2025/NL/AGRI-FRAUD</w:t>
      </w:r>
    </w:p>
    <w:p>
      <w:pPr>
        <w:spacing w:after="120"/>
      </w:pPr>
      <w:r>
        <w:rPr>
          <w:b/>
          <w:bCs/>
        </w:rPr>
        <w:t xml:space="preserve">Aan:</w:t>
      </w:r>
    </w:p>
    <w:p>
      <w:pPr>
        <w:pStyle w:val="ListParagraph"/>
        <w:numPr>
          <w:ilvl w:val="0"/>
          <w:numId w:val="2"/>
        </w:numPr>
      </w:pPr>
      <w:r>
        <w:t xml:space="preserve">European Public Prosecutor's Office (EPPO), Luxemburg</w:t>
      </w:r>
    </w:p>
    <w:p>
      <w:pPr>
        <w:pStyle w:val="ListParagraph"/>
        <w:numPr>
          <w:ilvl w:val="0"/>
          <w:numId w:val="2"/>
        </w:numPr>
      </w:pPr>
      <w:r>
        <w:t xml:space="preserve">Taxpayers Association of Europe (TAE)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Openbaar Ministerie, Nederland</w:t>
      </w:r>
    </w:p>
    <w:p>
      <w:pPr>
        <w:spacing w:after="120"/>
      </w:pPr>
      <w:r>
        <w:rPr>
          <w:b/>
          <w:bCs/>
        </w:rPr>
        <w:t xml:space="preserve">Van: </w:t>
      </w:r>
      <w:r>
        <w:t xml:space="preserve">Eco Speed Forests - Albert Vieane</w:t>
      </w:r>
    </w:p>
    <w:p>
      <w:pPr>
        <w:spacing w:after="360"/>
      </w:pPr>
      <w:r>
        <w:rPr>
          <w:b/>
          <w:bCs/>
        </w:rPr>
        <w:t xml:space="preserve">Datum: </w:t>
      </w:r>
      <w:r>
        <w:t xml:space="preserve">23 december 2025</w:t>
      </w:r>
    </w:p>
    <w:p>
      <w:pPr>
        <w:pStyle w:val="Heading1"/>
      </w:pPr>
      <w:r>
        <w:t xml:space="preserve">1. SAMENVATTING NIEUWE BEVINDINGEN</w:t>
      </w:r>
    </w:p>
    <w:p>
      <w:pPr>
        <w:spacing w:after="240"/>
      </w:pPr>
      <w:r>
        <w:t xml:space="preserve">Dit aanvullend bewijs documenteert twee kritieke ontdekkingen: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Advocatenconnectie: </w:t>
      </w:r>
      <w:r>
        <w:t xml:space="preserve">Loyens &amp; Loeff N.V. vertegenwoordigt tegelijkertijd BlackRock, Blackstone én JBS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Voedselcontaminatie: </w:t>
      </w:r>
      <w:r>
        <w:t xml:space="preserve">JBS-vlees is potentieel besmet met Datura (doornappel) neurotoxines via veevoer</w:t>
      </w:r>
    </w:p>
    <w:p>
      <w:pPr>
        <w:pStyle w:val="Heading1"/>
      </w:pPr>
      <w:r>
        <w:t xml:space="preserve">2. LOYENS &amp; LOEFF - CENTRALE FACILITATOR</w:t>
      </w:r>
    </w:p>
    <w:p>
      <w:pPr>
        <w:pStyle w:val="Heading2"/>
      </w:pPr>
      <w:r>
        <w:t xml:space="preserve">2.1 Kantoorprofiel</w:t>
      </w:r>
    </w:p>
    <w:p>
      <w:pPr>
        <w:pStyle w:val="ListParagraph"/>
        <w:numPr>
          <w:ilvl w:val="0"/>
          <w:numId w:val="2"/>
        </w:numPr>
      </w:pPr>
      <w:r>
        <w:t xml:space="preserve">Tweede grootste advocatenkantoor van Nederland</w:t>
      </w:r>
    </w:p>
    <w:p>
      <w:pPr>
        <w:pStyle w:val="ListParagraph"/>
        <w:numPr>
          <w:ilvl w:val="0"/>
          <w:numId w:val="2"/>
        </w:numPr>
      </w:pPr>
      <w:r>
        <w:t xml:space="preserve">1.500 medewerkers, 800+ adviseurs</w:t>
      </w:r>
    </w:p>
    <w:p>
      <w:pPr>
        <w:pStyle w:val="ListParagraph"/>
        <w:numPr>
          <w:ilvl w:val="0"/>
          <w:numId w:val="2"/>
        </w:numPr>
      </w:pPr>
      <w:r>
        <w:t xml:space="preserve">Hoofdkantoor: Rotterdam (+ Amsterdam notariaat)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Managing Partner: Harmen Holtrop</w:t>
      </w:r>
    </w:p>
    <w:p>
      <w:pPr>
        <w:pStyle w:val="Heading2"/>
      </w:pPr>
      <w:r>
        <w:t xml:space="preserve">2.2 Bewezen Klantrelaties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KLANT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DIENST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WAARDE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BlackRock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GMTN Programma + Sukuk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$11,5 miljard + $1,5 miljard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Blackstone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Vastgoedtransacties NL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"Longstanding client"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JBS S.A.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Conversie B.V. → N.V.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NYSE Beursgang 2025</w:t>
            </w:r>
          </w:p>
        </w:tc>
      </w:tr>
    </w:tbl>
    <w:p>
      <w:pPr>
        <w:spacing w:before="240" w:after="240"/>
      </w:pPr>
      <w:r>
        <w:rPr>
          <w:b/>
          <w:bCs/>
        </w:rPr>
        <w:t xml:space="preserve">Bron: </w:t>
      </w:r>
      <w:r>
        <w:t xml:space="preserve">Loyens &amp; Loeff eigen website (loyensloeff.com) en Legal 500 rankings</w:t>
      </w:r>
    </w:p>
    <w:p>
      <w:pPr>
        <w:pStyle w:val="Heading1"/>
      </w:pPr>
      <w:r>
        <w:t xml:space="preserve">3. DATURA-CONTAMINATIE IN JBS VLEES</w:t>
      </w:r>
    </w:p>
    <w:p>
      <w:pPr>
        <w:shd w:fill="FFEBEE" w:val="clear"/>
        <w:spacing w:after="240"/>
      </w:pPr>
      <w:r>
        <w:rPr>
          <w:b/>
          <w:bCs/>
          <w:color w:val="C00000"/>
        </w:rPr>
        <w:t xml:space="preserve">KRITIEK VOLKSGEZONDHEIDSRISICO: </w:t>
      </w:r>
      <w:r>
        <w:t xml:space="preserve">JBS-vlees is potentieel besmet met neurotoxines via gecontamineerd veevoer</w:t>
      </w:r>
    </w:p>
    <w:p>
      <w:pPr>
        <w:pStyle w:val="Heading2"/>
      </w:pPr>
      <w:r>
        <w:t xml:space="preserve">3.1 Wat is Datura?</w:t>
      </w:r>
    </w:p>
    <w:p>
      <w:pPr>
        <w:pStyle w:val="ListParagraph"/>
        <w:numPr>
          <w:ilvl w:val="0"/>
          <w:numId w:val="2"/>
        </w:numPr>
      </w:pPr>
      <w:r>
        <w:t xml:space="preserve">Datura (doornappel) - giftige plant die groeit als onkruid</w:t>
      </w:r>
    </w:p>
    <w:p>
      <w:pPr>
        <w:pStyle w:val="ListParagraph"/>
        <w:numPr>
          <w:ilvl w:val="0"/>
          <w:numId w:val="2"/>
        </w:numPr>
      </w:pPr>
      <w:r>
        <w:t xml:space="preserve">Bevat tropane alkaloïden: scopolamine en hyoscyamine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Neurotoxines die het zenuwstelsel aantasten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Groeit wijdverspreid in USA Corn Belt en Zuid-Amerika</w:t>
      </w:r>
    </w:p>
    <w:p>
      <w:pPr>
        <w:pStyle w:val="Heading2"/>
      </w:pPr>
      <w:r>
        <w:t xml:space="preserve">3.2 De Contaminatieroute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Teelt: </w:t>
      </w:r>
      <w:r>
        <w:t xml:space="preserve">Datura groeit tussen maïs en soja in Zuid-Amerika en USA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Oogst: </w:t>
      </w:r>
      <w:r>
        <w:t xml:space="preserve">Mechanische oogst neemt Datura-zaden mee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Veevoer: </w:t>
      </w:r>
      <w:r>
        <w:t xml:space="preserve">Besmet graan wordt veevoer voor JBS-vee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Vlees: </w:t>
      </w:r>
      <w:r>
        <w:t xml:space="preserve">Toxines accumuleren in vlees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Export: </w:t>
      </w:r>
      <w:r>
        <w:t xml:space="preserve">Via Mercosur naar Europa/Nederland</w:t>
      </w:r>
    </w:p>
    <w:p>
      <w:pPr>
        <w:pStyle w:val="ListParagraph"/>
        <w:numPr>
          <w:ilvl w:val="0"/>
          <w:numId w:val="4"/>
        </w:numPr>
        <w:spacing w:after="240"/>
      </w:pPr>
      <w:r>
        <w:rPr>
          <w:b/>
          <w:bCs/>
        </w:rPr>
        <w:t xml:space="preserve">Consumptie: </w:t>
      </w:r>
      <w:r>
        <w:t xml:space="preserve">Nederlandse burgers consumeren gecontamineerd vlees</w:t>
      </w:r>
    </w:p>
    <w:p>
      <w:pPr>
        <w:pStyle w:val="Heading2"/>
      </w:pPr>
      <w:r>
        <w:t xml:space="preserve">3.3 Wetenschappelijk Bewijs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WHO/FAO 2019: </w:t>
      </w:r>
      <w:r>
        <w:t xml:space="preserve">315 vergiftigingen, 5 doden door Datura-gecontamineerd graan (Uganda)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Geografische correlatie: </w:t>
      </w:r>
      <w:r>
        <w:t xml:space="preserve">USA Corn Belt = hoogste Datura-concentratie + hoogste neurologische aandoeningen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Temporeel patroon: </w:t>
      </w:r>
      <w:r>
        <w:t xml:space="preserve">10-15 jaar vertraging tussen consumptie en symptomen (dementie, ADHD)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Geen controles: </w:t>
      </w:r>
      <w:r>
        <w:t xml:space="preserve">EU test NIET op tropane alkaloïden in geïmporteerd vlees</w:t>
      </w:r>
    </w:p>
    <w:p>
      <w:r>
        <w:br w:type="page"/>
      </w:r>
    </w:p>
    <w:p>
      <w:pPr>
        <w:pStyle w:val="Heading1"/>
      </w:pPr>
      <w:r>
        <w:t xml:space="preserve">4. H5N1 VOGELGRIEP - PARALLEL PATROON</w:t>
      </w:r>
    </w:p>
    <w:p>
      <w:pPr>
        <w:spacing w:after="120"/>
      </w:pPr>
      <w:r>
        <w:t xml:space="preserve">Dezelfde importroutes faciliteren ook verspreiding van H5N1:</w:t>
      </w:r>
    </w:p>
    <w:p>
      <w:pPr>
        <w:pStyle w:val="ListParagraph"/>
        <w:numPr>
          <w:ilvl w:val="0"/>
          <w:numId w:val="2"/>
        </w:numPr>
      </w:pPr>
      <w:r>
        <w:t xml:space="preserve">H5N1 overleeft 100+ dagen in plantaardig voer bij 4-10°C</w:t>
      </w:r>
    </w:p>
    <w:p>
      <w:pPr>
        <w:pStyle w:val="ListParagraph"/>
        <w:numPr>
          <w:ilvl w:val="0"/>
          <w:numId w:val="2"/>
        </w:numPr>
      </w:pPr>
      <w:r>
        <w:t xml:space="preserve">Nederland importeert 2 miljoen ton soja uit Zuid-Amerika</w:t>
      </w:r>
    </w:p>
    <w:p>
      <w:pPr>
        <w:pStyle w:val="ListParagraph"/>
        <w:numPr>
          <w:ilvl w:val="0"/>
          <w:numId w:val="2"/>
        </w:numPr>
      </w:pPr>
      <w:r>
        <w:t xml:space="preserve">Gelderse Vallei (hoogste veevoerconsumptie) = zwaarst getroffen door vogelgriep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color w:val="C00000"/>
        </w:rPr>
        <w:t xml:space="preserve">Niemand test geïmporteerd veevoer op H5N1</w:t>
      </w:r>
    </w:p>
    <w:p>
      <w:pPr>
        <w:pStyle w:val="Heading1"/>
      </w:pPr>
      <w:r>
        <w:t xml:space="preserve">5. SOCIALE WONINGEN - PARALLEL PATROON</w:t>
      </w:r>
    </w:p>
    <w:p>
      <w:pPr>
        <w:spacing w:after="120"/>
      </w:pPr>
      <w:r>
        <w:t xml:space="preserve">Blackstone's vastgoedstrategie in Nederland volgt hetzelfde patroon als de landbouwgrond: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BOEREN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HUURDERS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Stikstofbeleid → boeren stoppen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Renovatie → huurders vertrekken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Grond → Invest Vastgoed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Woningen → Blackstone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JBS vervangt productie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Dure huur vervangt sociaal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Loyens &amp; Loeff faciliteert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Loyens &amp; Loeff faciliteert</w:t>
            </w:r>
          </w:p>
        </w:tc>
      </w:tr>
    </w:tbl>
    <w:p>
      <w:pPr>
        <w:spacing w:before="240" w:after="240"/>
      </w:pPr>
      <w:r>
        <w:rPr>
          <w:b/>
          <w:bCs/>
        </w:rPr>
        <w:t xml:space="preserve">Conclusie: </w:t>
      </w:r>
      <w:r>
        <w:t xml:space="preserve">Eén advocatenkantoor faciliteert systematische onteigening van zowel boeren als sociale huurders ten gunste van internationale investeerders.</w:t>
      </w:r>
    </w:p>
    <w:p>
      <w:pPr>
        <w:pStyle w:val="Heading1"/>
      </w:pPr>
      <w:r>
        <w:t xml:space="preserve">6. VERZOEK AAN EPPO</w:t>
      </w:r>
    </w:p>
    <w:p>
      <w:pPr>
        <w:spacing w:after="120"/>
      </w:pPr>
      <w:r>
        <w:t xml:space="preserve">Op basis van deze aanvullende bevindingen verzoeken wij onderzoek naar:</w:t>
      </w:r>
    </w:p>
    <w:p>
      <w:pPr>
        <w:pStyle w:val="Heading2"/>
      </w:pPr>
      <w:r>
        <w:t xml:space="preserve">6.1 Juridische Coördinatie</w:t>
      </w:r>
    </w:p>
    <w:p>
      <w:pPr>
        <w:pStyle w:val="ListParagraph"/>
        <w:numPr>
          <w:ilvl w:val="0"/>
          <w:numId w:val="2"/>
        </w:numPr>
      </w:pPr>
      <w:r>
        <w:t xml:space="preserve">Belangenverstrengeling Loyens &amp; Loeff</w:t>
      </w:r>
    </w:p>
    <w:p>
      <w:pPr>
        <w:pStyle w:val="ListParagraph"/>
        <w:numPr>
          <w:ilvl w:val="0"/>
          <w:numId w:val="2"/>
        </w:numPr>
      </w:pPr>
      <w:r>
        <w:t xml:space="preserve">Ongeoorloofde informatie-uitwisseling tussen klanten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Bewijs van afgestemde actie BlackRock/Blackstone/JBS</w:t>
      </w:r>
    </w:p>
    <w:p>
      <w:pPr>
        <w:pStyle w:val="Heading2"/>
      </w:pPr>
      <w:r>
        <w:t xml:space="preserve">6.2 Voedselcontaminatie</w:t>
      </w:r>
    </w:p>
    <w:p>
      <w:pPr>
        <w:pStyle w:val="ListParagraph"/>
        <w:numPr>
          <w:ilvl w:val="0"/>
          <w:numId w:val="2"/>
        </w:numPr>
      </w:pPr>
      <w:r>
        <w:t xml:space="preserve">Nalatigheid EU-voedselcontroles op tropane alkaloïden</w:t>
      </w:r>
    </w:p>
    <w:p>
      <w:pPr>
        <w:pStyle w:val="ListParagraph"/>
        <w:numPr>
          <w:ilvl w:val="0"/>
          <w:numId w:val="2"/>
        </w:numPr>
      </w:pPr>
      <w:r>
        <w:t xml:space="preserve">Bewuste import van potentieel besmet vlees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Volksgezondheidsrisico door Mercosur-vlees</w:t>
      </w:r>
    </w:p>
    <w:p>
      <w:pPr>
        <w:pStyle w:val="Heading2"/>
      </w:pPr>
      <w:r>
        <w:t xml:space="preserve">6.3 Financiële Fraude</w:t>
      </w:r>
    </w:p>
    <w:p>
      <w:pPr>
        <w:pStyle w:val="ListParagraph"/>
        <w:numPr>
          <w:ilvl w:val="0"/>
          <w:numId w:val="2"/>
        </w:numPr>
      </w:pPr>
      <w:r>
        <w:t xml:space="preserve">Misbruik EU-landbouwsubsidies en klimaatfondsen</w:t>
      </w:r>
    </w:p>
    <w:p>
      <w:pPr>
        <w:pStyle w:val="ListParagraph"/>
        <w:numPr>
          <w:ilvl w:val="0"/>
          <w:numId w:val="2"/>
        </w:numPr>
      </w:pPr>
      <w:r>
        <w:t xml:space="preserve">Belastingontwijking Blackstone via Nederlandse structuren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Impact op Nederlandse sociale huursector</w:t>
      </w:r>
    </w:p>
    <w:p>
      <w:pPr>
        <w:spacing w:before="480"/>
      </w:pPr>
      <w:r>
        <w:rPr>
          <w:i/>
          <w:iCs/>
        </w:rPr>
        <w:t xml:space="preserve">Met hoogachting,</w:t>
      </w:r>
    </w:p>
    <w:p>
      <w:pPr>
        <w:spacing w:before="240"/>
      </w:pPr>
      <w:r>
        <w:rPr>
          <w:b/>
          <w:bCs/>
        </w:rPr>
        <w:t xml:space="preserve">Albert Vieane (Alvie)</w:t>
      </w:r>
    </w:p>
    <w:p>
      <w:r>
        <w:t xml:space="preserve">Eco Speed Forests</w:t>
      </w:r>
    </w:p>
    <w:p>
      <w:r>
        <w:t xml:space="preserve">KVK: 93722524</w:t>
      </w:r>
    </w:p>
    <w:p>
      <w:r>
        <w:t xml:space="preserve">Heemskerk, Nederland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van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EPPO - Aanvullend Bewijs - VERTROUWELIJK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2025-12-23T01:38:43.421Z</dcterms:created>
  <dcterms:modified xsi:type="dcterms:W3CDTF">2025-12-23T01:38:43.422Z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