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STRAFRECHTELIJK DOSSIER</w:t>
      </w:r>
    </w:p>
    <w:p>
      <w:pPr>
        <w:spacing w:after="400"/>
        <w:jc w:val="center"/>
      </w:pPr>
      <w:r>
        <w:rPr>
          <w:b/>
          <w:bCs/>
          <w:color w:val="8B0000"/>
          <w:sz w:val="28"/>
          <w:szCs w:val="28"/>
        </w:rPr>
        <w:t xml:space="preserve">DE OVERNAME VAN EUROPA'S VOEDSELVOORZIENING</w:t>
      </w:r>
    </w:p>
    <w:p>
      <w:pPr>
        <w:spacing w:after="200"/>
        <w:jc w:val="center"/>
      </w:pPr>
      <w:r>
        <w:rPr>
          <w:i/>
          <w:iCs/>
          <w:sz w:val="22"/>
          <w:szCs w:val="22"/>
        </w:rPr>
        <w:t xml:space="preserve">Een chronologisch dossier over gecoördineerde fraude, corruptie en marktmanipulatie</w:t>
      </w:r>
    </w:p>
    <w:p>
      <w:pPr>
        <w:spacing w:before="800"/>
      </w:pPr>
    </w:p>
    <w:p>
      <w:pPr>
        <w:jc w:val="center"/>
      </w:pPr>
      <w:r>
        <w:rPr>
          <w:sz w:val="20"/>
          <w:szCs w:val="20"/>
        </w:rPr>
        <w:t xml:space="preserve">Ingediend bij:</w:t>
      </w:r>
    </w:p>
    <w:p>
      <w:pPr>
        <w:jc w:val="center"/>
      </w:pPr>
      <w:r>
        <w:rPr>
          <w:b/>
          <w:bCs/>
          <w:sz w:val="24"/>
          <w:szCs w:val="24"/>
        </w:rPr>
        <w:t xml:space="preserve">European Public Prosecutor's Office (EPPO)</w:t>
      </w:r>
    </w:p>
    <w:p>
      <w:pPr>
        <w:jc w:val="center"/>
      </w:pPr>
      <w:r>
        <w:rPr>
          <w:b/>
          <w:bCs/>
          <w:sz w:val="24"/>
          <w:szCs w:val="24"/>
        </w:rPr>
        <w:t xml:space="preserve">OLAF — Europees Bureau voor Fraudebestrijding</w:t>
      </w:r>
    </w:p>
    <w:p>
      <w:pPr>
        <w:jc w:val="center"/>
      </w:pPr>
      <w:r>
        <w:rPr>
          <w:b/>
          <w:bCs/>
          <w:sz w:val="24"/>
          <w:szCs w:val="24"/>
        </w:rPr>
        <w:t xml:space="preserve">FIOD — Fiscale Inlichtingen- en Opsporingsdienst</w:t>
      </w:r>
    </w:p>
    <w:p>
      <w:pPr>
        <w:spacing w:before="600"/>
      </w:pPr>
    </w:p>
    <w:p>
      <w:pPr>
        <w:jc w:val="center"/>
      </w:pPr>
      <w:r>
        <w:rPr>
          <w:sz w:val="20"/>
          <w:szCs w:val="20"/>
        </w:rPr>
        <w:t xml:space="preserve">Referentie: EPPO-2025-NL-OVERNAME-001</w:t>
      </w:r>
    </w:p>
    <w:p>
      <w:pPr>
        <w:jc w:val="center"/>
      </w:pPr>
      <w:r>
        <w:rPr>
          <w:sz w:val="20"/>
          <w:szCs w:val="20"/>
        </w:rPr>
        <w:t xml:space="preserve">Datum: 13 december 2025</w:t>
      </w:r>
    </w:p>
    <w:p>
      <w:pPr>
        <w:spacing w:before="400"/>
        <w:jc w:val="center"/>
      </w:pPr>
      <w:r>
        <w:rPr>
          <w:b/>
          <w:bCs/>
          <w:color w:val="8B0000"/>
          <w:sz w:val="24"/>
          <w:szCs w:val="24"/>
        </w:rPr>
        <w:t xml:space="preserve">VERTROUWELIJK</w:t>
      </w:r>
    </w:p>
    <w:p>
      <w:r>
        <w:br w:type="page"/>
      </w:r>
    </w:p>
    <w:p>
      <w:pPr>
        <w:pStyle w:val="Heading1"/>
      </w:pPr>
      <w:r>
        <w:t xml:space="preserve">PROLOOG: WAT U GAAT LEZEN</w:t>
      </w:r>
    </w:p>
    <w:p>
      <w:pPr>
        <w:spacing w:after="200"/>
      </w:pPr>
      <w:r>
        <w:t xml:space="preserve">Dit dossier beschrijft geen losse incidenten. Het beschrijft een </w:t>
      </w:r>
      <w:r>
        <w:rPr>
          <w:b/>
          <w:bCs/>
        </w:rPr>
        <w:t xml:space="preserve">gecoördineerde operatie</w:t>
      </w:r>
      <w:r>
        <w:t xml:space="preserve"> die zich over meer dan tien jaar heeft voltrokken, met als doel de overname van Europa's voedselvoorziening door een crimineel netwerk van Wall Street investeerders en Braziliaanse vleesbaronnen.</w:t>
      </w:r>
    </w:p>
    <w:p>
      <w:pPr>
        <w:spacing w:after="200"/>
      </w:pPr>
      <w:r>
        <w:t xml:space="preserve">De operatie volgde een logische volgorde:</w:t>
      </w:r>
    </w:p>
    <w:p>
      <w:pPr>
        <w:pStyle w:val="ListParagraph"/>
        <w:numPr>
          <w:ilvl w:val="0"/>
          <w:numId w:val="2"/>
        </w:numPr>
      </w:pPr>
      <w:r>
        <w:rPr>
          <w:b/>
          <w:bCs/>
        </w:rPr>
        <w:t xml:space="preserve">2014: </w:t>
      </w:r>
      <w:r>
        <w:t xml:space="preserve">Creëer een 'probleem' (stikstof) en richt tegelijk de grondspeculatie-infrastructuur op</w:t>
      </w:r>
    </w:p>
    <w:p>
      <w:pPr>
        <w:pStyle w:val="ListParagraph"/>
        <w:numPr>
          <w:ilvl w:val="0"/>
          <w:numId w:val="2"/>
        </w:numPr>
      </w:pPr>
      <w:r>
        <w:rPr>
          <w:b/>
          <w:bCs/>
        </w:rPr>
        <w:t xml:space="preserve">2017: </w:t>
      </w:r>
      <w:r>
        <w:t xml:space="preserve">Koop veroordeelde criminelen vrij en investeer in hun bedrijf</w:t>
      </w:r>
    </w:p>
    <w:p>
      <w:pPr>
        <w:pStyle w:val="ListParagraph"/>
        <w:numPr>
          <w:ilvl w:val="0"/>
          <w:numId w:val="2"/>
        </w:numPr>
      </w:pPr>
      <w:r>
        <w:rPr>
          <w:b/>
          <w:bCs/>
        </w:rPr>
        <w:t xml:space="preserve">2019: </w:t>
      </w:r>
      <w:r>
        <w:t xml:space="preserve">Installeer EU-leiders die het beleid activeren dat boeren wegdrukt</w:t>
      </w:r>
    </w:p>
    <w:p>
      <w:pPr>
        <w:pStyle w:val="ListParagraph"/>
        <w:numPr>
          <w:ilvl w:val="0"/>
          <w:numId w:val="2"/>
        </w:numPr>
      </w:pPr>
      <w:r>
        <w:rPr>
          <w:b/>
          <w:bCs/>
        </w:rPr>
        <w:t xml:space="preserve">2020-2024: </w:t>
      </w:r>
      <w:r>
        <w:t xml:space="preserve">Koop boerengrond op via speculanten, verkoop met 300% winst</w:t>
      </w:r>
    </w:p>
    <w:p>
      <w:pPr>
        <w:pStyle w:val="ListParagraph"/>
        <w:numPr>
          <w:ilvl w:val="0"/>
          <w:numId w:val="2"/>
        </w:numPr>
      </w:pPr>
      <w:r>
        <w:rPr>
          <w:b/>
          <w:bCs/>
        </w:rPr>
        <w:t xml:space="preserve">2024: </w:t>
      </w:r>
      <w:r>
        <w:t xml:space="preserve">Laat de Mercosur-deal goedkeuren zodat Braziliaans vlees Europa binnen kan</w:t>
      </w:r>
    </w:p>
    <w:p>
      <w:pPr>
        <w:pStyle w:val="ListParagraph"/>
        <w:numPr>
          <w:ilvl w:val="0"/>
          <w:numId w:val="2"/>
        </w:numPr>
      </w:pPr>
      <w:r>
        <w:rPr>
          <w:b/>
          <w:bCs/>
        </w:rPr>
        <w:t xml:space="preserve">2025: </w:t>
      </w:r>
      <w:r>
        <w:t xml:space="preserve">Open een hoofdkantoor in Nederland en val de EU aan via politieke bondgenoten</w:t>
      </w:r>
    </w:p>
    <w:p>
      <w:pPr>
        <w:spacing w:before="200" w:after="200"/>
      </w:pPr>
      <w:r>
        <w:rPr>
          <w:b/>
          <w:bCs/>
        </w:rPr>
        <w:t xml:space="preserve">Het resultaat: </w:t>
      </w:r>
      <w:r>
        <w:t xml:space="preserve">Nederlandse boeren verdwijnen. Hun grond gaat naar projectontwikkelaars. Het voedselvacuüm wordt gevuld door JBS — het grootste vleesconcern ter wereld, gerund door veroordeelde criminelen, en gefinancierd door dezelfde investeerders die profiteren van de bouw op voormalige boerengrond.</w:t>
      </w:r>
    </w:p>
    <w:p>
      <w:pPr>
        <w:spacing w:after="200"/>
      </w:pPr>
      <w:r>
        <w:rPr>
          <w:i/>
          <w:iCs/>
          <w:color w:val="8B0000"/>
        </w:rPr>
        <w:t xml:space="preserve">En niemand vraagt: waarom noemen we stikstof en CO₂ een 'probleem', terwijl het voeding is voor de bomen?</w:t>
      </w:r>
    </w:p>
    <w:p>
      <w:r>
        <w:br w:type="page"/>
      </w:r>
    </w:p>
    <w:p>
      <w:pPr>
        <w:pStyle w:val="Heading1"/>
      </w:pPr>
      <w:r>
        <w:t xml:space="preserve">HOOFDSTUK 1: 2014 — DE VOORBEREIDING</w:t>
      </w:r>
    </w:p>
    <w:p>
      <w:pPr>
        <w:pStyle w:val="Heading2"/>
      </w:pPr>
      <w:r>
        <w:t xml:space="preserve">Het 'Stikstofprobleem' Ontstaat</w:t>
      </w:r>
    </w:p>
    <w:p>
      <w:pPr>
        <w:spacing w:after="200"/>
      </w:pPr>
      <w:r>
        <w:t xml:space="preserve">In 2014 wordt het Nederlandse stikstofbeleid aangescherpt onder druk van EU-regelgeving. Boeren worden geconfronteerd met nieuwe restricties. De boodschap is duidelijk: </w:t>
      </w:r>
      <w:r>
        <w:rPr>
          <w:b/>
          <w:bCs/>
        </w:rPr>
        <w:t xml:space="preserve">landbouw is slecht voor het milieu</w:t>
      </w:r>
      <w:r>
        <w:t xml:space="preserve">.</w:t>
      </w:r>
    </w:p>
    <w:p>
      <w:pPr>
        <w:spacing w:after="200"/>
      </w:pPr>
      <w:r>
        <w:t xml:space="preserve">Wat niemand vertelt: stikstof (N) en koolstofdioxide (CO₂) zijn </w:t>
      </w:r>
      <w:r>
        <w:rPr>
          <w:b/>
          <w:bCs/>
        </w:rPr>
        <w:t xml:space="preserve">essentiële voedingsstoffen voor planten en bomen</w:t>
      </w:r>
      <w:r>
        <w:t xml:space="preserve">. De natuur heeft deze stoffen nodig. Het 'probleem' is geen wetenschappelijk feit — het is een </w:t>
      </w:r>
      <w:r>
        <w:rPr>
          <w:i/>
          <w:iCs/>
        </w:rPr>
        <w:t xml:space="preserve">narratief</w:t>
      </w:r>
      <w:r>
        <w:t xml:space="preserve"> dat een ander doel dient.</w:t>
      </w:r>
    </w:p>
    <w:p>
      <w:pPr>
        <w:pStyle w:val="Heading2"/>
      </w:pPr>
      <w:r>
        <w:t xml:space="preserve">Tegelijkertijd: INVEST VASTGOED Wordt Opgericht</w:t>
      </w:r>
    </w:p>
    <w:p>
      <w:pPr>
        <w:spacing w:after="200"/>
      </w:pPr>
      <w:r>
        <w:t xml:space="preserve">In datzelfde jaar 2014 wordt </w:t>
      </w:r>
      <w:r>
        <w:rPr>
          <w:b/>
          <w:bCs/>
        </w:rPr>
        <w:t xml:space="preserve">Invest Vastgoed B.V.</w:t>
      </w:r>
      <w:r>
        <w:t xml:space="preserve"> opgericht. Toeval? De timing is veelzeggend.</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Borders>
              <w:top w:val="single" w:color="666666" w:sz="1"/>
              <w:left w:val="single" w:color="666666" w:sz="1"/>
              <w:bottom w:val="single" w:color="666666" w:sz="1"/>
              <w:right w:val="single" w:color="666666" w:sz="1"/>
            </w:tcBorders>
            <w:shd w:fill="E8E8E8"/>
          </w:tcPr>
          <w:p>
            <w:r>
              <w:rPr>
                <w:b/>
                <w:bCs/>
              </w:rPr>
              <w:t xml:space="preserve">Gegeven</w:t>
            </w:r>
          </w:p>
        </w:tc>
        <w:tc>
          <w:tcPr>
            <w:tcBorders>
              <w:top w:val="single" w:color="666666" w:sz="1"/>
              <w:left w:val="single" w:color="666666" w:sz="1"/>
              <w:bottom w:val="single" w:color="666666" w:sz="1"/>
              <w:right w:val="single" w:color="666666" w:sz="1"/>
            </w:tcBorders>
            <w:shd w:fill="E8E8E8"/>
          </w:tcPr>
          <w:p>
            <w:r>
              <w:rPr>
                <w:b/>
                <w:bCs/>
              </w:rPr>
              <w:t xml:space="preserve">Details</w:t>
            </w:r>
          </w:p>
        </w:tc>
      </w:tr>
      <w:tr>
        <w:tc>
          <w:tcPr>
            <w:tcBorders>
              <w:top w:val="single" w:color="666666" w:sz="1"/>
              <w:left w:val="single" w:color="666666" w:sz="1"/>
              <w:bottom w:val="single" w:color="666666" w:sz="1"/>
              <w:right w:val="single" w:color="666666" w:sz="1"/>
            </w:tcBorders>
          </w:tcPr>
          <w:p>
            <w:r>
              <w:t xml:space="preserve">Bedrijfsnaam</w:t>
            </w:r>
          </w:p>
        </w:tc>
        <w:tc>
          <w:tcPr>
            <w:tcBorders>
              <w:top w:val="single" w:color="666666" w:sz="1"/>
              <w:left w:val="single" w:color="666666" w:sz="1"/>
              <w:bottom w:val="single" w:color="666666" w:sz="1"/>
              <w:right w:val="single" w:color="666666" w:sz="1"/>
            </w:tcBorders>
          </w:tcPr>
          <w:p>
            <w:r>
              <w:t xml:space="preserve">Invest Vastgoed B.V. (voorheen Royaal Vastgoed B.V.)</w:t>
            </w:r>
          </w:p>
        </w:tc>
      </w:tr>
      <w:tr>
        <w:tc>
          <w:tcPr>
            <w:tcBorders>
              <w:top w:val="single" w:color="666666" w:sz="1"/>
              <w:left w:val="single" w:color="666666" w:sz="1"/>
              <w:bottom w:val="single" w:color="666666" w:sz="1"/>
              <w:right w:val="single" w:color="666666" w:sz="1"/>
            </w:tcBorders>
          </w:tcPr>
          <w:p>
            <w:r>
              <w:t xml:space="preserve">KvK-nummer</w:t>
            </w:r>
          </w:p>
        </w:tc>
        <w:tc>
          <w:tcPr>
            <w:tcBorders>
              <w:top w:val="single" w:color="666666" w:sz="1"/>
              <w:left w:val="single" w:color="666666" w:sz="1"/>
              <w:bottom w:val="single" w:color="666666" w:sz="1"/>
              <w:right w:val="single" w:color="666666" w:sz="1"/>
            </w:tcBorders>
          </w:tcPr>
          <w:p>
            <w:r>
              <w:rPr>
                <w:b/>
                <w:bCs/>
              </w:rPr>
              <w:t xml:space="preserve">59934212</w:t>
            </w:r>
          </w:p>
        </w:tc>
      </w:tr>
      <w:tr>
        <w:tc>
          <w:tcPr>
            <w:tcBorders>
              <w:top w:val="single" w:color="666666" w:sz="1"/>
              <w:left w:val="single" w:color="666666" w:sz="1"/>
              <w:bottom w:val="single" w:color="666666" w:sz="1"/>
              <w:right w:val="single" w:color="666666" w:sz="1"/>
            </w:tcBorders>
          </w:tcPr>
          <w:p>
            <w:r>
              <w:t xml:space="preserve">Holding</w:t>
            </w:r>
          </w:p>
        </w:tc>
        <w:tc>
          <w:tcPr>
            <w:tcBorders>
              <w:top w:val="single" w:color="666666" w:sz="1"/>
              <w:left w:val="single" w:color="666666" w:sz="1"/>
              <w:bottom w:val="single" w:color="666666" w:sz="1"/>
              <w:right w:val="single" w:color="666666" w:sz="1"/>
            </w:tcBorders>
          </w:tcPr>
          <w:p>
            <w:r>
              <w:t xml:space="preserve">Invest Vastgoed Holding B.V. (KvK: 59914130)</w:t>
            </w:r>
          </w:p>
        </w:tc>
      </w:tr>
      <w:tr>
        <w:tc>
          <w:tcPr>
            <w:tcBorders>
              <w:top w:val="single" w:color="666666" w:sz="1"/>
              <w:left w:val="single" w:color="666666" w:sz="1"/>
              <w:bottom w:val="single" w:color="666666" w:sz="1"/>
              <w:right w:val="single" w:color="666666" w:sz="1"/>
            </w:tcBorders>
          </w:tcPr>
          <w:p>
            <w:r>
              <w:t xml:space="preserve">Opgericht</w:t>
            </w:r>
          </w:p>
        </w:tc>
        <w:tc>
          <w:tcPr>
            <w:tcBorders>
              <w:top w:val="single" w:color="666666" w:sz="1"/>
              <w:left w:val="single" w:color="666666" w:sz="1"/>
              <w:bottom w:val="single" w:color="666666" w:sz="1"/>
              <w:right w:val="single" w:color="666666" w:sz="1"/>
            </w:tcBorders>
          </w:tcPr>
          <w:p>
            <w:r>
              <w:rPr>
                <w:b/>
                <w:bCs/>
                <w:color w:val="8B0000"/>
              </w:rPr>
              <w:t xml:space="preserve">2014</w:t>
            </w:r>
          </w:p>
        </w:tc>
      </w:tr>
      <w:tr>
        <w:tc>
          <w:tcPr>
            <w:tcBorders>
              <w:top w:val="single" w:color="666666" w:sz="1"/>
              <w:left w:val="single" w:color="666666" w:sz="1"/>
              <w:bottom w:val="single" w:color="666666" w:sz="1"/>
              <w:right w:val="single" w:color="666666" w:sz="1"/>
            </w:tcBorders>
          </w:tcPr>
          <w:p>
            <w:r>
              <w:t xml:space="preserve">Adres</w:t>
            </w:r>
          </w:p>
        </w:tc>
        <w:tc>
          <w:tcPr>
            <w:tcBorders>
              <w:top w:val="single" w:color="666666" w:sz="1"/>
              <w:left w:val="single" w:color="666666" w:sz="1"/>
              <w:bottom w:val="single" w:color="666666" w:sz="1"/>
              <w:right w:val="single" w:color="666666" w:sz="1"/>
            </w:tcBorders>
          </w:tcPr>
          <w:p>
            <w:r>
              <w:t xml:space="preserve">Radarweg 29-B 14, 1043NX Amsterdam</w:t>
            </w:r>
          </w:p>
        </w:tc>
      </w:tr>
    </w:tbl>
    <w:p>
      <w:pPr>
        <w:spacing w:before="200"/>
      </w:pPr>
    </w:p>
    <w:p>
      <w:pPr>
        <w:pStyle w:val="Heading2"/>
      </w:pPr>
      <w:r>
        <w:t xml:space="preserve">De Bestuurder: Een M&amp;A Kantoor voor de BOUWSECTOR</w:t>
      </w:r>
    </w:p>
    <w:p>
      <w:pPr>
        <w:spacing w:after="200"/>
      </w:pPr>
      <w:r>
        <w:t xml:space="preserve">Wie bestuurt Invest Vastgoed? </w:t>
      </w:r>
      <w:r>
        <w:rPr>
          <w:b/>
          <w:bCs/>
        </w:rPr>
        <w:t xml:space="preserve">Aeternus Beheer B.V.</w:t>
      </w:r>
      <w:r>
        <w:t xml:space="preserve"> (KvK: 63844826). Dit is geen gewone beheermaatschappij. Aeternus is een </w:t>
      </w:r>
      <w:r>
        <w:rPr>
          <w:b/>
          <w:bCs/>
        </w:rPr>
        <w:t xml:space="preserve">M&amp;A corporate finance kantoor gespecialiseerd in fusies en overnames in de bouwsector</w:t>
      </w:r>
      <w:r>
        <w:t xml:space="preserve">.</w:t>
      </w:r>
    </w:p>
    <w:p>
      <w:pPr>
        <w:spacing w:after="200"/>
      </w:pPr>
      <w:r>
        <w:rPr>
          <w:i/>
          <w:iCs/>
        </w:rPr>
        <w:t xml:space="preserve">Op LinkedIn adverteert Aeternus: </w:t>
      </w:r>
      <w:r>
        <w:rPr>
          <w:i/>
          <w:iCs/>
        </w:rPr>
        <w:t xml:space="preserve">"Prefab: Duurzame katalysator voor groei in de bouwsector"</w:t>
      </w:r>
    </w:p>
    <w:p>
      <w:pPr>
        <w:spacing w:after="200"/>
      </w:pPr>
      <w:r>
        <w:rPr>
          <w:b/>
          <w:bCs/>
        </w:rPr>
        <w:t xml:space="preserve">De conclusie is onvermijdelijk: </w:t>
      </w:r>
      <w:r>
        <w:t xml:space="preserve">de bestuurder van de grondspeculant is actief in exact de sector die profiteert van de verdwijning van boeren. De bouw koopt niet alleen de grond — de bouw </w:t>
      </w:r>
      <w:r>
        <w:rPr>
          <w:i/>
          <w:iCs/>
        </w:rPr>
        <w:t xml:space="preserve">runt</w:t>
      </w:r>
      <w:r>
        <w:t xml:space="preserve"> de grondspeculatie.</w:t>
      </w:r>
    </w:p>
    <w:p>
      <w:r>
        <w:br w:type="page"/>
      </w:r>
    </w:p>
    <w:p>
      <w:pPr>
        <w:pStyle w:val="Heading1"/>
      </w:pPr>
      <w:r>
        <w:t xml:space="preserve">HOOFDSTUK 2: 2017 — DE CRIMINELEN WORDEN VRIJGEKOCHT</w:t>
      </w:r>
    </w:p>
    <w:p>
      <w:pPr>
        <w:pStyle w:val="Heading2"/>
      </w:pPr>
      <w:r>
        <w:t xml:space="preserve">De Batista Broers: Grootste Corruptieschandaal in Braziliaanse Geschiedenis</w:t>
      </w:r>
    </w:p>
    <w:p>
      <w:pPr>
        <w:spacing w:after="200"/>
      </w:pPr>
      <w:r>
        <w:t xml:space="preserve">In 2017 bekent JBS S.A. — 's werelds grootste vleesconcern — schuld aan de omkoping van </w:t>
      </w:r>
      <w:r>
        <w:rPr>
          <w:b/>
          <w:bCs/>
        </w:rPr>
        <w:t xml:space="preserve">1.829 politici</w:t>
      </w:r>
      <w:r>
        <w:t xml:space="preserve">. De eigenaren, Joesley en Wesley Batista, worden veroordeeld voor $150 miljoen aan steekpenningen.</w:t>
      </w:r>
    </w:p>
    <w:p>
      <w:pPr>
        <w:spacing w:after="200"/>
      </w:pPr>
      <w:r>
        <w:t xml:space="preserve">De straf? Een </w:t>
      </w:r>
      <w:r>
        <w:rPr>
          <w:i/>
          <w:iCs/>
        </w:rPr>
        <w:t xml:space="preserve">deal</w:t>
      </w:r>
      <w:r>
        <w:t xml:space="preserve">. JBS betaalt $3,2 miljard boete — de grootste in Braziliaanse geschiedenis — en de Batista's blijven vrij.</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Borders>
              <w:top w:val="single" w:color="666666" w:sz="1"/>
              <w:left w:val="single" w:color="666666" w:sz="1"/>
              <w:bottom w:val="single" w:color="666666" w:sz="1"/>
              <w:right w:val="single" w:color="666666" w:sz="1"/>
            </w:tcBorders>
            <w:shd w:fill="8B0000"/>
          </w:tcPr>
          <w:p>
            <w:r>
              <w:rPr>
                <w:b/>
                <w:bCs/>
                <w:color w:val="FFFFFF"/>
              </w:rPr>
              <w:t xml:space="preserve">Zaak</w:t>
            </w:r>
          </w:p>
        </w:tc>
        <w:tc>
          <w:tcPr>
            <w:tcBorders>
              <w:top w:val="single" w:color="666666" w:sz="1"/>
              <w:left w:val="single" w:color="666666" w:sz="1"/>
              <w:bottom w:val="single" w:color="666666" w:sz="1"/>
              <w:right w:val="single" w:color="666666" w:sz="1"/>
            </w:tcBorders>
            <w:shd w:fill="8B0000"/>
          </w:tcPr>
          <w:p>
            <w:r>
              <w:rPr>
                <w:b/>
                <w:bCs/>
                <w:color w:val="FFFFFF"/>
              </w:rPr>
              <w:t xml:space="preserve">Aanklacht</w:t>
            </w:r>
          </w:p>
        </w:tc>
        <w:tc>
          <w:tcPr>
            <w:tcBorders>
              <w:top w:val="single" w:color="666666" w:sz="1"/>
              <w:left w:val="single" w:color="666666" w:sz="1"/>
              <w:bottom w:val="single" w:color="666666" w:sz="1"/>
              <w:right w:val="single" w:color="666666" w:sz="1"/>
            </w:tcBorders>
            <w:shd w:fill="8B0000"/>
          </w:tcPr>
          <w:p>
            <w:r>
              <w:rPr>
                <w:b/>
                <w:bCs/>
                <w:color w:val="FFFFFF"/>
              </w:rPr>
              <w:t xml:space="preserve">Straf</w:t>
            </w:r>
          </w:p>
        </w:tc>
      </w:tr>
      <w:tr>
        <w:tc>
          <w:tcPr>
            <w:tcBorders>
              <w:top w:val="single" w:color="666666" w:sz="1"/>
              <w:left w:val="single" w:color="666666" w:sz="1"/>
              <w:bottom w:val="single" w:color="666666" w:sz="1"/>
              <w:right w:val="single" w:color="666666" w:sz="1"/>
            </w:tcBorders>
          </w:tcPr>
          <w:p>
            <w:r>
              <w:t xml:space="preserve">Lava Jato (2017)</w:t>
            </w:r>
          </w:p>
        </w:tc>
        <w:tc>
          <w:tcPr>
            <w:tcBorders>
              <w:top w:val="single" w:color="666666" w:sz="1"/>
              <w:left w:val="single" w:color="666666" w:sz="1"/>
              <w:bottom w:val="single" w:color="666666" w:sz="1"/>
              <w:right w:val="single" w:color="666666" w:sz="1"/>
            </w:tcBorders>
          </w:tcPr>
          <w:p>
            <w:r>
              <w:t xml:space="preserve">Omkoping 1.829 politici</w:t>
            </w:r>
          </w:p>
        </w:tc>
        <w:tc>
          <w:tcPr>
            <w:tcBorders>
              <w:top w:val="single" w:color="666666" w:sz="1"/>
              <w:left w:val="single" w:color="666666" w:sz="1"/>
              <w:bottom w:val="single" w:color="666666" w:sz="1"/>
              <w:right w:val="single" w:color="666666" w:sz="1"/>
            </w:tcBorders>
          </w:tcPr>
          <w:p>
            <w:r>
              <w:rPr>
                <w:b/>
                <w:bCs/>
              </w:rPr>
              <w:t xml:space="preserve">$3,2 miljard boete</w:t>
            </w:r>
          </w:p>
        </w:tc>
      </w:tr>
      <w:tr>
        <w:tc>
          <w:tcPr>
            <w:tcBorders>
              <w:top w:val="single" w:color="666666" w:sz="1"/>
              <w:left w:val="single" w:color="666666" w:sz="1"/>
              <w:bottom w:val="single" w:color="666666" w:sz="1"/>
              <w:right w:val="single" w:color="666666" w:sz="1"/>
            </w:tcBorders>
          </w:tcPr>
          <w:p>
            <w:r>
              <w:t xml:space="preserve">SEC (2020)</w:t>
            </w:r>
          </w:p>
        </w:tc>
        <w:tc>
          <w:tcPr>
            <w:tcBorders>
              <w:top w:val="single" w:color="666666" w:sz="1"/>
              <w:left w:val="single" w:color="666666" w:sz="1"/>
              <w:bottom w:val="single" w:color="666666" w:sz="1"/>
              <w:right w:val="single" w:color="666666" w:sz="1"/>
            </w:tcBorders>
          </w:tcPr>
          <w:p>
            <w:r>
              <w:t xml:space="preserve">FCPA schendingen</w:t>
            </w:r>
          </w:p>
        </w:tc>
        <w:tc>
          <w:tcPr>
            <w:tcBorders>
              <w:top w:val="single" w:color="666666" w:sz="1"/>
              <w:left w:val="single" w:color="666666" w:sz="1"/>
              <w:bottom w:val="single" w:color="666666" w:sz="1"/>
              <w:right w:val="single" w:color="666666" w:sz="1"/>
            </w:tcBorders>
          </w:tcPr>
          <w:p>
            <w:r>
              <w:t xml:space="preserve">$256 miljoen</w:t>
            </w:r>
          </w:p>
        </w:tc>
      </w:tr>
      <w:tr>
        <w:tc>
          <w:tcPr>
            <w:tcBorders>
              <w:top w:val="single" w:color="666666" w:sz="1"/>
              <w:left w:val="single" w:color="666666" w:sz="1"/>
              <w:bottom w:val="single" w:color="666666" w:sz="1"/>
              <w:right w:val="single" w:color="666666" w:sz="1"/>
            </w:tcBorders>
          </w:tcPr>
          <w:p>
            <w:r>
              <w:t xml:space="preserve">DOJ (2020)</w:t>
            </w:r>
          </w:p>
        </w:tc>
        <w:tc>
          <w:tcPr>
            <w:tcBorders>
              <w:top w:val="single" w:color="666666" w:sz="1"/>
              <w:left w:val="single" w:color="666666" w:sz="1"/>
              <w:bottom w:val="single" w:color="666666" w:sz="1"/>
              <w:right w:val="single" w:color="666666" w:sz="1"/>
            </w:tcBorders>
          </w:tcPr>
          <w:p>
            <w:r>
              <w:t xml:space="preserve">Buitenlandse omkoping</w:t>
            </w:r>
          </w:p>
        </w:tc>
        <w:tc>
          <w:tcPr>
            <w:tcBorders>
              <w:top w:val="single" w:color="666666" w:sz="1"/>
              <w:left w:val="single" w:color="666666" w:sz="1"/>
              <w:bottom w:val="single" w:color="666666" w:sz="1"/>
              <w:right w:val="single" w:color="666666" w:sz="1"/>
            </w:tcBorders>
          </w:tcPr>
          <w:p>
            <w:r>
              <w:t xml:space="preserve">$27 miljoen</w:t>
            </w:r>
          </w:p>
        </w:tc>
      </w:tr>
      <w:tr>
        <w:tc>
          <w:tcPr>
            <w:tcBorders>
              <w:top w:val="single" w:color="666666" w:sz="1"/>
              <w:left w:val="single" w:color="666666" w:sz="1"/>
              <w:bottom w:val="single" w:color="666666" w:sz="1"/>
              <w:right w:val="single" w:color="666666" w:sz="1"/>
            </w:tcBorders>
          </w:tcPr>
          <w:p>
            <w:r>
              <w:t xml:space="preserve">Insider Trading</w:t>
            </w:r>
          </w:p>
        </w:tc>
        <w:tc>
          <w:tcPr>
            <w:tcBorders>
              <w:top w:val="single" w:color="666666" w:sz="1"/>
              <w:left w:val="single" w:color="666666" w:sz="1"/>
              <w:bottom w:val="single" w:color="666666" w:sz="1"/>
              <w:right w:val="single" w:color="666666" w:sz="1"/>
            </w:tcBorders>
          </w:tcPr>
          <w:p>
            <w:r>
              <w:t xml:space="preserve">Effectenfraude</w:t>
            </w:r>
          </w:p>
        </w:tc>
        <w:tc>
          <w:tcPr>
            <w:tcBorders>
              <w:top w:val="single" w:color="666666" w:sz="1"/>
              <w:left w:val="single" w:color="666666" w:sz="1"/>
              <w:bottom w:val="single" w:color="666666" w:sz="1"/>
              <w:right w:val="single" w:color="666666" w:sz="1"/>
            </w:tcBorders>
          </w:tcPr>
          <w:p>
            <w:r>
              <w:t xml:space="preserve">$18 miljoen + celstraf</w:t>
            </w:r>
          </w:p>
        </w:tc>
      </w:tr>
      <w:tr>
        <w:tc>
          <w:tcPr>
            <w:tcBorders>
              <w:top w:val="single" w:color="666666" w:sz="1"/>
              <w:left w:val="single" w:color="666666" w:sz="1"/>
              <w:bottom w:val="single" w:color="666666" w:sz="1"/>
              <w:right w:val="single" w:color="666666" w:sz="1"/>
            </w:tcBorders>
          </w:tcPr>
          <w:p>
            <w:r>
              <w:t xml:space="preserve">NY AG (Lopend)</w:t>
            </w:r>
          </w:p>
        </w:tc>
        <w:tc>
          <w:tcPr>
            <w:tcBorders>
              <w:top w:val="single" w:color="666666" w:sz="1"/>
              <w:left w:val="single" w:color="666666" w:sz="1"/>
              <w:bottom w:val="single" w:color="666666" w:sz="1"/>
              <w:right w:val="single" w:color="666666" w:sz="1"/>
            </w:tcBorders>
          </w:tcPr>
          <w:p>
            <w:r>
              <w:t xml:space="preserve">Klimaatfraude, ontbossing</w:t>
            </w:r>
          </w:p>
        </w:tc>
        <w:tc>
          <w:tcPr>
            <w:tcBorders>
              <w:top w:val="single" w:color="666666" w:sz="1"/>
              <w:left w:val="single" w:color="666666" w:sz="1"/>
              <w:bottom w:val="single" w:color="666666" w:sz="1"/>
              <w:right w:val="single" w:color="666666" w:sz="1"/>
            </w:tcBorders>
          </w:tcPr>
          <w:p>
            <w:r>
              <w:rPr>
                <w:color w:val="8B0000"/>
              </w:rPr>
              <w:t xml:space="preserve">$1,7 miljard (geschat)</w:t>
            </w:r>
          </w:p>
        </w:tc>
      </w:tr>
    </w:tbl>
    <w:p>
      <w:pPr>
        <w:spacing w:before="200"/>
      </w:pPr>
    </w:p>
    <w:p>
      <w:pPr>
        <w:pStyle w:val="Heading2"/>
      </w:pPr>
      <w:r>
        <w:t xml:space="preserve">BlackRock en Vanguard Stappen IN — Niet Uit</w:t>
      </w:r>
    </w:p>
    <w:p>
      <w:pPr>
        <w:spacing w:after="200"/>
      </w:pPr>
      <w:r>
        <w:t xml:space="preserve">Wat doen normale investeerders wanneer een bedrijf schuldig pleit aan massale corruptie? Ze verkopen hun aandelen. Wat doen BlackRock en Vanguard? </w:t>
      </w:r>
      <w:r>
        <w:rPr>
          <w:b/>
          <w:bCs/>
          <w:color w:val="8B0000"/>
        </w:rPr>
        <w:t xml:space="preserve">Ze kopen BIJ.</w:t>
      </w:r>
    </w:p>
    <w:p>
      <w:pPr>
        <w:spacing w:after="200"/>
      </w:pPr>
      <w:r>
        <w:t xml:space="preserve">Volgens Global Witness (augustus 2024) hebben BlackRock en Vanguard samen </w:t>
      </w:r>
      <w:r>
        <w:rPr>
          <w:b/>
          <w:bCs/>
        </w:rPr>
        <w:t xml:space="preserve">$4,5 miljard</w:t>
      </w:r>
      <w:r>
        <w:t xml:space="preserve"> geïnvesteerd in bedrijven die gelinkt zijn aan ontbossing — waaronder JBS. Ironisch genoeg gebeurt dit via </w:t>
      </w:r>
      <w:r>
        <w:rPr>
          <w:i/>
          <w:iCs/>
        </w:rPr>
        <w:t xml:space="preserve">ESG-fondsen</w:t>
      </w:r>
      <w:r>
        <w:t xml:space="preserve"> (Environmental, Social, Governance).</w:t>
      </w:r>
    </w:p>
    <w:p>
      <w:pPr>
        <w:spacing w:after="200"/>
      </w:pPr>
      <w:r>
        <w:rPr>
          <w:i/>
          <w:iCs/>
        </w:rPr>
        <w:t xml:space="preserve">JBS aandeelhouders omvatten: BlackRock, Vanguard, Santander, Credit Suisse, HSBC.</w:t>
      </w:r>
    </w:p>
    <w:p>
      <w:r>
        <w:br w:type="page"/>
      </w:r>
    </w:p>
    <w:p>
      <w:pPr>
        <w:pStyle w:val="Heading1"/>
      </w:pPr>
      <w:r>
        <w:t xml:space="preserve">HOOFDSTUK 3: 2019 — DE EU-MACHINE WORDT AANGEZET</w:t>
      </w:r>
    </w:p>
    <w:p>
      <w:pPr>
        <w:pStyle w:val="Heading2"/>
      </w:pPr>
      <w:r>
        <w:t xml:space="preserve">Von der Leyen en Timmermans Nemen de Macht</w:t>
      </w:r>
    </w:p>
    <w:p>
      <w:pPr>
        <w:spacing w:after="200"/>
      </w:pPr>
      <w:r>
        <w:t xml:space="preserve">In 2019 wordt Ursula von der Leyen voorzitter van de Europese Commissie. Frans Timmermans wordt vicevoorzitter met de portefeuille </w:t>
      </w:r>
      <w:r>
        <w:rPr>
          <w:b/>
          <w:bCs/>
        </w:rPr>
        <w:t xml:space="preserve">Green Deal</w:t>
      </w:r>
      <w:r>
        <w:t xml:space="preserve">.</w:t>
      </w:r>
    </w:p>
    <w:p>
      <w:pPr>
        <w:spacing w:after="200"/>
      </w:pPr>
      <w:r>
        <w:t xml:space="preserve">De Green Deal wordt gepresenteerd als milieubeleid. In werkelijkheid is het een </w:t>
      </w:r>
      <w:r>
        <w:rPr>
          <w:b/>
          <w:bCs/>
        </w:rPr>
        <w:t xml:space="preserve">economisch wapen</w:t>
      </w:r>
      <w:r>
        <w:t xml:space="preserve"> dat:</w:t>
      </w:r>
    </w:p>
    <w:p>
      <w:pPr>
        <w:pStyle w:val="ListParagraph"/>
        <w:numPr>
          <w:ilvl w:val="0"/>
          <w:numId w:val="3"/>
        </w:numPr>
      </w:pPr>
      <w:r>
        <w:t xml:space="preserve">Europese boeren onder druk zet met onmogelijke regelgeving</w:t>
      </w:r>
    </w:p>
    <w:p>
      <w:pPr>
        <w:pStyle w:val="ListParagraph"/>
        <w:numPr>
          <w:ilvl w:val="0"/>
          <w:numId w:val="3"/>
        </w:numPr>
      </w:pPr>
      <w:r>
        <w:t xml:space="preserve">De weg vrijmaakt voor import uit Zuid-Amerika (Mercosur)</w:t>
      </w:r>
    </w:p>
    <w:p>
      <w:pPr>
        <w:pStyle w:val="ListParagraph"/>
        <w:numPr>
          <w:ilvl w:val="0"/>
          <w:numId w:val="3"/>
        </w:numPr>
      </w:pPr>
      <w:r>
        <w:t xml:space="preserve">Miljarden aan subsidies doorsluist naar NGO's zonder controle</w:t>
      </w:r>
    </w:p>
    <w:p>
      <w:pPr>
        <w:pStyle w:val="Heading2"/>
      </w:pPr>
      <w:r>
        <w:t xml:space="preserve">De Corruptie-onderzoeken</w:t>
      </w:r>
    </w:p>
    <w:p>
      <w:pPr>
        <w:spacing w:after="200"/>
      </w:pPr>
      <w:r>
        <w:t xml:space="preserve">Beide EU-leiders zijn inmiddels onderwerp van strafrechtelijke onderzoeken:</w:t>
      </w:r>
    </w:p>
    <w:p>
      <w:pPr>
        <w:pStyle w:val="Heading3"/>
      </w:pPr>
      <w:r>
        <w:t xml:space="preserve">Von der Leyen — Pfizergate</w:t>
      </w:r>
    </w:p>
    <w:p>
      <w:pPr>
        <w:pStyle w:val="ListParagraph"/>
        <w:numPr>
          <w:ilvl w:val="0"/>
          <w:numId w:val="3"/>
        </w:numPr>
      </w:pPr>
      <w:r>
        <w:t xml:space="preserve">€35 miljard vaccindeal via SMS-berichten met Pfizer-CEO</w:t>
      </w:r>
    </w:p>
    <w:p>
      <w:pPr>
        <w:pStyle w:val="ListParagraph"/>
        <w:numPr>
          <w:ilvl w:val="0"/>
          <w:numId w:val="3"/>
        </w:numPr>
      </w:pPr>
      <w:r>
        <w:rPr>
          <w:b/>
          <w:bCs/>
        </w:rPr>
        <w:t xml:space="preserve">SMS-berichten gewist</w:t>
      </w:r>
      <w:r>
        <w:t xml:space="preserve"> — vernietiging van bewijs</w:t>
      </w:r>
    </w:p>
    <w:p>
      <w:pPr>
        <w:pStyle w:val="ListParagraph"/>
        <w:numPr>
          <w:ilvl w:val="0"/>
          <w:numId w:val="3"/>
        </w:numPr>
      </w:pPr>
      <w:r>
        <w:t xml:space="preserve">EPPO onderzoekt fraude en belangenconflict</w:t>
      </w:r>
    </w:p>
    <w:p>
      <w:pPr>
        <w:pStyle w:val="ListParagraph"/>
        <w:numPr>
          <w:ilvl w:val="0"/>
          <w:numId w:val="3"/>
        </w:numPr>
      </w:pPr>
      <w:r>
        <w:t xml:space="preserve">OM Mönchengladbach (Duitsland) onderzoekt corruptie</w:t>
      </w:r>
    </w:p>
    <w:p>
      <w:pPr>
        <w:pStyle w:val="Heading3"/>
      </w:pPr>
      <w:r>
        <w:t xml:space="preserve">Timmermans — NGO-subsidiecarrousel</w:t>
      </w:r>
    </w:p>
    <w:p>
      <w:pPr>
        <w:pStyle w:val="ListParagraph"/>
        <w:numPr>
          <w:ilvl w:val="0"/>
          <w:numId w:val="3"/>
        </w:numPr>
      </w:pPr>
      <w:r>
        <w:t xml:space="preserve">€7-17 miljard naar NGO's zonder adequate controle</w:t>
      </w:r>
    </w:p>
    <w:p>
      <w:pPr>
        <w:pStyle w:val="ListParagraph"/>
        <w:numPr>
          <w:ilvl w:val="0"/>
          <w:numId w:val="3"/>
        </w:numPr>
      </w:pPr>
      <w:r>
        <w:t xml:space="preserve">Taxpayers Association of Europe (TAE) diende strafklacht in bij EPPO</w:t>
      </w:r>
    </w:p>
    <w:p>
      <w:pPr>
        <w:pStyle w:val="ListParagraph"/>
        <w:numPr>
          <w:ilvl w:val="0"/>
          <w:numId w:val="3"/>
        </w:numPr>
      </w:pPr>
      <w:r>
        <w:t xml:space="preserve">Duitse aanklagers onderzoeken Timmermans en Sinkevičius</w:t>
      </w:r>
    </w:p>
    <w:p>
      <w:pPr>
        <w:pStyle w:val="ListParagraph"/>
        <w:numPr>
          <w:ilvl w:val="0"/>
          <w:numId w:val="3"/>
        </w:numPr>
      </w:pPr>
      <w:r>
        <w:rPr>
          <w:b/>
          <w:bCs/>
        </w:rPr>
        <w:t xml:space="preserve">2024: Timmermans vertrekt stil uit de EU</w:t>
      </w:r>
    </w:p>
    <w:p>
      <w:r>
        <w:br w:type="page"/>
      </w:r>
    </w:p>
    <w:p>
      <w:pPr>
        <w:pStyle w:val="Heading1"/>
      </w:pPr>
      <w:r>
        <w:t xml:space="preserve">HOOFDSTUK 4: 2014-2024 — DE GRONDOPERATIE</w:t>
      </w:r>
    </w:p>
    <w:p>
      <w:pPr>
        <w:pStyle w:val="Heading2"/>
      </w:pPr>
      <w:r>
        <w:t xml:space="preserve">Hoe Invest Vastgoed Opereert</w:t>
      </w:r>
    </w:p>
    <w:p>
      <w:pPr>
        <w:spacing w:after="200"/>
      </w:pPr>
      <w:r>
        <w:t xml:space="preserve">Terwijl de EU-machine het stikstofbeleid aanscherpt, voert Invest Vastgoed de volgende operatie uit:</w:t>
      </w:r>
    </w:p>
    <w:p>
      <w:pPr>
        <w:pStyle w:val="ListParagraph"/>
        <w:numPr>
          <w:ilvl w:val="0"/>
          <w:numId w:val="2"/>
        </w:numPr>
      </w:pPr>
      <w:r>
        <w:rPr>
          <w:b/>
          <w:bCs/>
        </w:rPr>
        <w:t xml:space="preserve">Inkoop: </w:t>
      </w:r>
      <w:r>
        <w:t xml:space="preserve">Boerengrond opkopen voor €21,7 miljoen totaal</w:t>
      </w:r>
    </w:p>
    <w:p>
      <w:pPr>
        <w:pStyle w:val="ListParagraph"/>
        <w:numPr>
          <w:ilvl w:val="0"/>
          <w:numId w:val="2"/>
        </w:numPr>
      </w:pPr>
      <w:r>
        <w:rPr>
          <w:b/>
          <w:bCs/>
        </w:rPr>
        <w:t xml:space="preserve">Verkavelen: </w:t>
      </w:r>
      <w:r>
        <w:t xml:space="preserve">~100 percelen opdelen in 1.244 micro-kavels</w:t>
      </w:r>
    </w:p>
    <w:p>
      <w:pPr>
        <w:pStyle w:val="ListParagraph"/>
        <w:numPr>
          <w:ilvl w:val="0"/>
          <w:numId w:val="2"/>
        </w:numPr>
      </w:pPr>
      <w:r>
        <w:rPr>
          <w:b/>
          <w:bCs/>
        </w:rPr>
        <w:t xml:space="preserve">Verkopen: </w:t>
      </w:r>
      <w:r>
        <w:t xml:space="preserve">Met valse beloften over bestemmingswijziging en bouwvergunningen</w:t>
      </w:r>
    </w:p>
    <w:p>
      <w:pPr>
        <w:pStyle w:val="ListParagraph"/>
        <w:numPr>
          <w:ilvl w:val="0"/>
          <w:numId w:val="2"/>
        </w:numPr>
      </w:pPr>
      <w:r>
        <w:rPr>
          <w:b/>
          <w:bCs/>
        </w:rPr>
        <w:t xml:space="preserve">Resultaat: </w:t>
      </w:r>
      <w:r>
        <w:t xml:space="preserve">Verkoop voor €87,7 miljoen</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666666" w:sz="1"/>
              <w:left w:val="single" w:color="666666" w:sz="1"/>
              <w:bottom w:val="single" w:color="666666" w:sz="1"/>
              <w:right w:val="single" w:color="666666" w:sz="1"/>
            </w:tcBorders>
            <w:shd w:fill="8B0000"/>
          </w:tcPr>
          <w:p>
            <w:pPr>
              <w:jc w:val="center"/>
            </w:pPr>
            <w:r>
              <w:rPr>
                <w:b/>
                <w:bCs/>
                <w:color w:val="FFFFFF"/>
              </w:rPr>
              <w:t xml:space="preserve">INKOOP</w:t>
            </w:r>
          </w:p>
        </w:tc>
        <w:tc>
          <w:tcPr>
            <w:tcBorders>
              <w:top w:val="single" w:color="666666" w:sz="1"/>
              <w:left w:val="single" w:color="666666" w:sz="1"/>
              <w:bottom w:val="single" w:color="666666" w:sz="1"/>
              <w:right w:val="single" w:color="666666" w:sz="1"/>
            </w:tcBorders>
            <w:shd w:fill="8B0000"/>
          </w:tcPr>
          <w:p>
            <w:pPr>
              <w:jc w:val="center"/>
            </w:pPr>
            <w:r>
              <w:rPr>
                <w:b/>
                <w:bCs/>
                <w:color w:val="FFFFFF"/>
              </w:rPr>
              <w:t xml:space="preserve">VERKOOP</w:t>
            </w:r>
          </w:p>
        </w:tc>
      </w:tr>
      <w:tr>
        <w:tc>
          <w:tcPr>
            <w:tcBorders>
              <w:top w:val="single" w:color="666666" w:sz="1"/>
              <w:left w:val="single" w:color="666666" w:sz="1"/>
              <w:bottom w:val="single" w:color="666666" w:sz="1"/>
              <w:right w:val="single" w:color="666666" w:sz="1"/>
            </w:tcBorders>
          </w:tcPr>
          <w:p>
            <w:pPr>
              <w:jc w:val="center"/>
            </w:pPr>
            <w:r>
              <w:rPr>
                <w:sz w:val="28"/>
                <w:szCs w:val="28"/>
              </w:rPr>
              <w:t xml:space="preserve">€21,7 miljoen</w:t>
            </w:r>
          </w:p>
        </w:tc>
        <w:tc>
          <w:tcPr>
            <w:tcBorders>
              <w:top w:val="single" w:color="666666" w:sz="1"/>
              <w:left w:val="single" w:color="666666" w:sz="1"/>
              <w:bottom w:val="single" w:color="666666" w:sz="1"/>
              <w:right w:val="single" w:color="666666" w:sz="1"/>
            </w:tcBorders>
          </w:tcPr>
          <w:p>
            <w:pPr>
              <w:jc w:val="center"/>
            </w:pPr>
            <w:r>
              <w:rPr>
                <w:sz w:val="28"/>
                <w:szCs w:val="28"/>
              </w:rPr>
              <w:t xml:space="preserve">€87,7 miljoen</w:t>
            </w:r>
          </w:p>
        </w:tc>
      </w:tr>
      <w:tr>
        <w:tc>
          <w:tcPr>
            <w:gridSpan w:val="2"/>
            <w:tcBorders>
              <w:top w:val="single" w:color="666666" w:sz="1"/>
              <w:left w:val="single" w:color="666666" w:sz="1"/>
              <w:bottom w:val="single" w:color="666666" w:sz="1"/>
              <w:right w:val="single" w:color="666666" w:sz="1"/>
            </w:tcBorders>
            <w:shd w:fill="FFEEEE"/>
          </w:tcPr>
          <w:p>
            <w:pPr>
              <w:jc w:val="center"/>
            </w:pPr>
            <w:r>
              <w:rPr>
                <w:b/>
                <w:bCs/>
                <w:color w:val="8B0000"/>
                <w:sz w:val="32"/>
                <w:szCs w:val="32"/>
              </w:rPr>
              <w:t xml:space="preserve">WINST: €66 MILJOEN</w:t>
            </w:r>
          </w:p>
        </w:tc>
      </w:tr>
    </w:tbl>
    <w:p>
      <w:pPr>
        <w:spacing w:before="200"/>
      </w:pPr>
    </w:p>
    <w:p>
      <w:pPr>
        <w:spacing w:after="200"/>
      </w:pPr>
      <w:r>
        <w:rPr>
          <w:b/>
          <w:bCs/>
        </w:rPr>
        <w:t xml:space="preserve">Slagingspercentage: </w:t>
      </w:r>
      <w:r>
        <w:t xml:space="preserve">minder dan 1% van de verkochte kavels krijgt ooit een bouwbestemming. De kopers zijn opgelicht.</w:t>
      </w:r>
    </w:p>
    <w:p>
      <w:pPr>
        <w:spacing w:after="200"/>
      </w:pPr>
      <w:r>
        <w:rPr>
          <w:b/>
          <w:bCs/>
        </w:rPr>
        <w:t xml:space="preserve">Aantal slachtoffers: </w:t>
      </w:r>
      <w:r>
        <w:t xml:space="preserve">1.600+ gedocumenteerd door AVROTROS Radar en Stichting GrondhandelClaim</w:t>
      </w:r>
    </w:p>
    <w:p>
      <w:pPr>
        <w:pStyle w:val="Heading2"/>
      </w:pPr>
      <w:r>
        <w:t xml:space="preserve">Voorkennis</w:t>
      </w:r>
    </w:p>
    <w:p>
      <w:pPr>
        <w:spacing w:after="200"/>
      </w:pPr>
      <w:r>
        <w:t xml:space="preserve">Invest Vastgoed opereert met </w:t>
      </w:r>
      <w:r>
        <w:rPr>
          <w:b/>
          <w:bCs/>
        </w:rPr>
        <w:t xml:space="preserve">voorkennis</w:t>
      </w:r>
      <w:r>
        <w:t xml:space="preserve">. Ze weten welke boeren onder druk komen, welke bestemmingsplannen wijzigen, welke gebieden worden herontwikkeld. Eerst Drenthe. Nu Purmerend.</w:t>
      </w:r>
    </w:p>
    <w:p>
      <w:pPr>
        <w:spacing w:after="200"/>
      </w:pPr>
      <w:r>
        <w:t xml:space="preserve">De vraag is: </w:t>
      </w:r>
      <w:r>
        <w:rPr>
          <w:i/>
          <w:iCs/>
        </w:rPr>
        <w:t xml:space="preserve">van wie krijgen zij deze informatie?</w:t>
      </w:r>
    </w:p>
    <w:p>
      <w:r>
        <w:br w:type="page"/>
      </w:r>
    </w:p>
    <w:p>
      <w:pPr>
        <w:pStyle w:val="Heading1"/>
      </w:pPr>
      <w:r>
        <w:t xml:space="preserve">HOOFDSTUK 5: DE BLACKROCK-PIRAMIDE</w:t>
      </w:r>
    </w:p>
    <w:p>
      <w:pPr>
        <w:pStyle w:val="Heading2"/>
      </w:pPr>
      <w:r>
        <w:t xml:space="preserve">Wie Verdient Aan Alle Kanten?</w:t>
      </w:r>
    </w:p>
    <w:p>
      <w:pPr>
        <w:spacing w:after="200"/>
      </w:pPr>
      <w:r>
        <w:t xml:space="preserve">BlackRock en Vanguard zijn niet zomaar investeerders. Zij bezitten significante aandelenbelangen in </w:t>
      </w:r>
      <w:r>
        <w:rPr>
          <w:b/>
          <w:bCs/>
        </w:rPr>
        <w:t xml:space="preserve">elke schakel</w:t>
      </w:r>
      <w:r>
        <w:t xml:space="preserve"> van deze operatie:</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666666" w:sz="1"/>
              <w:left w:val="single" w:color="666666" w:sz="1"/>
              <w:bottom w:val="single" w:color="666666" w:sz="1"/>
              <w:right w:val="single" w:color="666666" w:sz="1"/>
            </w:tcBorders>
            <w:shd w:fill="1a1a1a"/>
          </w:tcPr>
          <w:p>
            <w:pPr>
              <w:jc w:val="center"/>
            </w:pPr>
            <w:r>
              <w:rPr>
                <w:b/>
                <w:bCs/>
                <w:color w:val="FFFFFF"/>
              </w:rPr>
              <w:t xml:space="preserve">Sector</w:t>
            </w:r>
          </w:p>
        </w:tc>
        <w:tc>
          <w:tcPr>
            <w:tcBorders>
              <w:top w:val="single" w:color="666666" w:sz="1"/>
              <w:left w:val="single" w:color="666666" w:sz="1"/>
              <w:bottom w:val="single" w:color="666666" w:sz="1"/>
              <w:right w:val="single" w:color="666666" w:sz="1"/>
            </w:tcBorders>
            <w:shd w:fill="1a1a1a"/>
          </w:tcPr>
          <w:p>
            <w:pPr>
              <w:jc w:val="center"/>
            </w:pPr>
            <w:r>
              <w:rPr>
                <w:b/>
                <w:bCs/>
                <w:color w:val="FFFFFF"/>
              </w:rPr>
              <w:t xml:space="preserve">Bedrijf</w:t>
            </w:r>
          </w:p>
        </w:tc>
        <w:tc>
          <w:tcPr>
            <w:tcBorders>
              <w:top w:val="single" w:color="666666" w:sz="1"/>
              <w:left w:val="single" w:color="666666" w:sz="1"/>
              <w:bottom w:val="single" w:color="666666" w:sz="1"/>
              <w:right w:val="single" w:color="666666" w:sz="1"/>
            </w:tcBorders>
            <w:shd w:fill="1a1a1a"/>
          </w:tcPr>
          <w:p>
            <w:pPr>
              <w:jc w:val="center"/>
            </w:pPr>
            <w:r>
              <w:rPr>
                <w:b/>
                <w:bCs/>
                <w:color w:val="FFFFFF"/>
              </w:rPr>
              <w:t xml:space="preserve">BlackRock/Vanguard</w:t>
            </w:r>
          </w:p>
        </w:tc>
      </w:tr>
      <w:tr>
        <w:tc>
          <w:tcPr>
            <w:tcBorders>
              <w:top w:val="single" w:color="666666" w:sz="1"/>
              <w:left w:val="single" w:color="666666" w:sz="1"/>
              <w:bottom w:val="single" w:color="666666" w:sz="1"/>
              <w:right w:val="single" w:color="666666" w:sz="1"/>
            </w:tcBorders>
          </w:tcPr>
          <w:p>
            <w:r>
              <w:t xml:space="preserve">Vlees</w:t>
            </w:r>
          </w:p>
        </w:tc>
        <w:tc>
          <w:tcPr>
            <w:tcBorders>
              <w:top w:val="single" w:color="666666" w:sz="1"/>
              <w:left w:val="single" w:color="666666" w:sz="1"/>
              <w:bottom w:val="single" w:color="666666" w:sz="1"/>
              <w:right w:val="single" w:color="666666" w:sz="1"/>
            </w:tcBorders>
          </w:tcPr>
          <w:p>
            <w:r>
              <w:t xml:space="preserve">JBS S.A.</w:t>
            </w:r>
          </w:p>
        </w:tc>
        <w:tc>
          <w:tcPr>
            <w:tcBorders>
              <w:top w:val="single" w:color="666666" w:sz="1"/>
              <w:left w:val="single" w:color="666666" w:sz="1"/>
              <w:bottom w:val="single" w:color="666666" w:sz="1"/>
              <w:right w:val="single" w:color="666666" w:sz="1"/>
            </w:tcBorders>
          </w:tcPr>
          <w:p>
            <w:r>
              <w:rPr>
                <w:b/>
                <w:bCs/>
              </w:rPr>
              <w:t xml:space="preserve">Grote aandeelhouders</w:t>
            </w:r>
          </w:p>
        </w:tc>
      </w:tr>
      <w:tr>
        <w:tc>
          <w:tcPr>
            <w:tcBorders>
              <w:top w:val="single" w:color="666666" w:sz="1"/>
              <w:left w:val="single" w:color="666666" w:sz="1"/>
              <w:bottom w:val="single" w:color="666666" w:sz="1"/>
              <w:right w:val="single" w:color="666666" w:sz="1"/>
            </w:tcBorders>
          </w:tcPr>
          <w:p>
            <w:r>
              <w:t xml:space="preserve">Bouw</w:t>
            </w:r>
          </w:p>
        </w:tc>
        <w:tc>
          <w:tcPr>
            <w:tcBorders>
              <w:top w:val="single" w:color="666666" w:sz="1"/>
              <w:left w:val="single" w:color="666666" w:sz="1"/>
              <w:bottom w:val="single" w:color="666666" w:sz="1"/>
              <w:right w:val="single" w:color="666666" w:sz="1"/>
            </w:tcBorders>
          </w:tcPr>
          <w:p>
            <w:r>
              <w:t xml:space="preserve">BAM Groep</w:t>
            </w:r>
          </w:p>
        </w:tc>
        <w:tc>
          <w:tcPr>
            <w:tcBorders>
              <w:top w:val="single" w:color="666666" w:sz="1"/>
              <w:left w:val="single" w:color="666666" w:sz="1"/>
              <w:bottom w:val="single" w:color="666666" w:sz="1"/>
              <w:right w:val="single" w:color="666666" w:sz="1"/>
            </w:tcBorders>
          </w:tcPr>
          <w:p>
            <w:r>
              <w:rPr>
                <w:b/>
                <w:bCs/>
              </w:rPr>
              <w:t xml:space="preserve">3,40% + 3%+</w:t>
            </w:r>
          </w:p>
        </w:tc>
      </w:tr>
      <w:tr>
        <w:tc>
          <w:tcPr>
            <w:tcBorders>
              <w:top w:val="single" w:color="666666" w:sz="1"/>
              <w:left w:val="single" w:color="666666" w:sz="1"/>
              <w:bottom w:val="single" w:color="666666" w:sz="1"/>
              <w:right w:val="single" w:color="666666" w:sz="1"/>
            </w:tcBorders>
          </w:tcPr>
          <w:p>
            <w:r>
              <w:t xml:space="preserve">Veevoer</w:t>
            </w:r>
          </w:p>
        </w:tc>
        <w:tc>
          <w:tcPr>
            <w:tcBorders>
              <w:top w:val="single" w:color="666666" w:sz="1"/>
              <w:left w:val="single" w:color="666666" w:sz="1"/>
              <w:bottom w:val="single" w:color="666666" w:sz="1"/>
              <w:right w:val="single" w:color="666666" w:sz="1"/>
            </w:tcBorders>
          </w:tcPr>
          <w:p>
            <w:r>
              <w:t xml:space="preserve">Nutreco / ForFarmers</w:t>
            </w:r>
          </w:p>
        </w:tc>
        <w:tc>
          <w:tcPr>
            <w:tcBorders>
              <w:top w:val="single" w:color="666666" w:sz="1"/>
              <w:left w:val="single" w:color="666666" w:sz="1"/>
              <w:bottom w:val="single" w:color="666666" w:sz="1"/>
              <w:right w:val="single" w:color="666666" w:sz="1"/>
            </w:tcBorders>
          </w:tcPr>
          <w:p>
            <w:r>
              <w:rPr>
                <w:b/>
                <w:bCs/>
              </w:rPr>
              <w:t xml:space="preserve">Aandeelhouders</w:t>
            </w:r>
          </w:p>
        </w:tc>
      </w:tr>
      <w:tr>
        <w:tc>
          <w:tcPr>
            <w:tcBorders>
              <w:top w:val="single" w:color="666666" w:sz="1"/>
              <w:left w:val="single" w:color="666666" w:sz="1"/>
              <w:bottom w:val="single" w:color="666666" w:sz="1"/>
              <w:right w:val="single" w:color="666666" w:sz="1"/>
            </w:tcBorders>
          </w:tcPr>
          <w:p>
            <w:r>
              <w:t xml:space="preserve">Vastgoed</w:t>
            </w:r>
          </w:p>
        </w:tc>
        <w:tc>
          <w:tcPr>
            <w:tcBorders>
              <w:top w:val="single" w:color="666666" w:sz="1"/>
              <w:left w:val="single" w:color="666666" w:sz="1"/>
              <w:bottom w:val="single" w:color="666666" w:sz="1"/>
              <w:right w:val="single" w:color="666666" w:sz="1"/>
            </w:tcBorders>
          </w:tcPr>
          <w:p>
            <w:r>
              <w:t xml:space="preserve">Blackstone</w:t>
            </w:r>
          </w:p>
        </w:tc>
        <w:tc>
          <w:tcPr>
            <w:tcBorders>
              <w:top w:val="single" w:color="666666" w:sz="1"/>
              <w:left w:val="single" w:color="666666" w:sz="1"/>
              <w:bottom w:val="single" w:color="666666" w:sz="1"/>
              <w:right w:val="single" w:color="666666" w:sz="1"/>
            </w:tcBorders>
          </w:tcPr>
          <w:p>
            <w:r>
              <w:rPr>
                <w:b/>
                <w:bCs/>
              </w:rPr>
              <w:t xml:space="preserve">€800M+ in NL</w:t>
            </w:r>
          </w:p>
        </w:tc>
      </w:tr>
    </w:tbl>
    <w:p>
      <w:pPr>
        <w:spacing w:before="200"/>
      </w:pPr>
    </w:p>
    <w:p>
      <w:pPr>
        <w:pStyle w:val="Heading2"/>
      </w:pPr>
      <w:r>
        <w:t xml:space="preserve">De Circulaire Eigendom</w:t>
      </w:r>
    </w:p>
    <w:p>
      <w:pPr>
        <w:spacing w:after="200"/>
      </w:pPr>
      <w:r>
        <w:t xml:space="preserve">BlackRock's grootste aandeelhouder is </w:t>
      </w:r>
      <w:r>
        <w:rPr>
          <w:b/>
          <w:bCs/>
        </w:rPr>
        <w:t xml:space="preserve">Vanguard</w:t>
      </w:r>
      <w:r>
        <w:t xml:space="preserve">. Vanguard is eigendom van de fondsen die het beheert — dus eigendom van zichzelf.</w:t>
      </w:r>
    </w:p>
    <w:p>
      <w:pPr>
        <w:spacing w:after="200"/>
      </w:pPr>
      <w:r>
        <w:rPr>
          <w:b/>
          <w:bCs/>
          <w:color w:val="8B0000"/>
        </w:rPr>
        <w:t xml:space="preserve">Ze bezitten elkaar.</w:t>
      </w:r>
      <w:r>
        <w:t xml:space="preserve"> Dit is geen vrije markt. Dit is een monopolie vermomd als diversiteit.</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single" w:color="666666" w:sz="1"/>
              <w:left w:val="single" w:color="666666" w:sz="1"/>
              <w:bottom w:val="single" w:color="666666" w:sz="1"/>
              <w:right w:val="single" w:color="666666" w:sz="1"/>
            </w:tcBorders>
            <w:shd w:fill="E8E8E8"/>
          </w:tcPr>
          <w:p>
            <w:r>
              <w:rPr>
                <w:b/>
                <w:bCs/>
              </w:rPr>
              <w:t xml:space="preserve">Metric</w:t>
            </w:r>
          </w:p>
        </w:tc>
        <w:tc>
          <w:tcPr>
            <w:tcBorders>
              <w:top w:val="single" w:color="666666" w:sz="1"/>
              <w:left w:val="single" w:color="666666" w:sz="1"/>
              <w:bottom w:val="single" w:color="666666" w:sz="1"/>
              <w:right w:val="single" w:color="666666" w:sz="1"/>
            </w:tcBorders>
            <w:shd w:fill="E8E8E8"/>
          </w:tcPr>
          <w:p>
            <w:r>
              <w:rPr>
                <w:b/>
                <w:bCs/>
              </w:rPr>
              <w:t xml:space="preserve">Bedrag</w:t>
            </w:r>
          </w:p>
        </w:tc>
      </w:tr>
      <w:tr>
        <w:tc>
          <w:tcPr>
            <w:tcBorders>
              <w:top w:val="single" w:color="666666" w:sz="1"/>
              <w:left w:val="single" w:color="666666" w:sz="1"/>
              <w:bottom w:val="single" w:color="666666" w:sz="1"/>
              <w:right w:val="single" w:color="666666" w:sz="1"/>
            </w:tcBorders>
          </w:tcPr>
          <w:p>
            <w:r>
              <w:t xml:space="preserve">BlackRock beheerd vermogen</w:t>
            </w:r>
          </w:p>
        </w:tc>
        <w:tc>
          <w:tcPr>
            <w:tcBorders>
              <w:top w:val="single" w:color="666666" w:sz="1"/>
              <w:left w:val="single" w:color="666666" w:sz="1"/>
              <w:bottom w:val="single" w:color="666666" w:sz="1"/>
              <w:right w:val="single" w:color="666666" w:sz="1"/>
            </w:tcBorders>
          </w:tcPr>
          <w:p>
            <w:r>
              <w:t xml:space="preserve">$11,6 biljoen</w:t>
            </w:r>
          </w:p>
        </w:tc>
      </w:tr>
      <w:tr>
        <w:tc>
          <w:tcPr>
            <w:tcBorders>
              <w:top w:val="single" w:color="666666" w:sz="1"/>
              <w:left w:val="single" w:color="666666" w:sz="1"/>
              <w:bottom w:val="single" w:color="666666" w:sz="1"/>
              <w:right w:val="single" w:color="666666" w:sz="1"/>
            </w:tcBorders>
          </w:tcPr>
          <w:p>
            <w:r>
              <w:t xml:space="preserve">Vanguard beheerd vermogen</w:t>
            </w:r>
          </w:p>
        </w:tc>
        <w:tc>
          <w:tcPr>
            <w:tcBorders>
              <w:top w:val="single" w:color="666666" w:sz="1"/>
              <w:left w:val="single" w:color="666666" w:sz="1"/>
              <w:bottom w:val="single" w:color="666666" w:sz="1"/>
              <w:right w:val="single" w:color="666666" w:sz="1"/>
            </w:tcBorders>
          </w:tcPr>
          <w:p>
            <w:r>
              <w:t xml:space="preserve">$8,4 biljoen</w:t>
            </w:r>
          </w:p>
        </w:tc>
      </w:tr>
      <w:tr>
        <w:tc>
          <w:tcPr>
            <w:tcBorders>
              <w:top w:val="single" w:color="666666" w:sz="1"/>
              <w:left w:val="single" w:color="666666" w:sz="1"/>
              <w:bottom w:val="single" w:color="666666" w:sz="1"/>
              <w:right w:val="single" w:color="666666" w:sz="1"/>
            </w:tcBorders>
          </w:tcPr>
          <w:p>
            <w:r>
              <w:t xml:space="preserve">Aladdin platform (monitoring)</w:t>
            </w:r>
          </w:p>
        </w:tc>
        <w:tc>
          <w:tcPr>
            <w:tcBorders>
              <w:top w:val="single" w:color="666666" w:sz="1"/>
              <w:left w:val="single" w:color="666666" w:sz="1"/>
              <w:bottom w:val="single" w:color="666666" w:sz="1"/>
              <w:right w:val="single" w:color="666666" w:sz="1"/>
            </w:tcBorders>
          </w:tcPr>
          <w:p>
            <w:r>
              <w:t xml:space="preserve">$31+ biljoen</w:t>
            </w:r>
          </w:p>
        </w:tc>
      </w:tr>
      <w:tr>
        <w:tc>
          <w:tcPr>
            <w:tcBorders>
              <w:top w:val="single" w:color="666666" w:sz="1"/>
              <w:left w:val="single" w:color="666666" w:sz="1"/>
              <w:bottom w:val="single" w:color="666666" w:sz="1"/>
              <w:right w:val="single" w:color="666666" w:sz="1"/>
            </w:tcBorders>
            <w:shd w:fill="FFEEEE"/>
          </w:tcPr>
          <w:p>
            <w:r>
              <w:rPr>
                <w:b/>
                <w:bCs/>
              </w:rPr>
              <w:t xml:space="preserve">TOTALE CONTROLE</w:t>
            </w:r>
          </w:p>
        </w:tc>
        <w:tc>
          <w:tcPr>
            <w:tcBorders>
              <w:top w:val="single" w:color="666666" w:sz="1"/>
              <w:left w:val="single" w:color="666666" w:sz="1"/>
              <w:bottom w:val="single" w:color="666666" w:sz="1"/>
              <w:right w:val="single" w:color="666666" w:sz="1"/>
            </w:tcBorders>
            <w:shd w:fill="FFEEEE"/>
          </w:tcPr>
          <w:p>
            <w:r>
              <w:rPr>
                <w:b/>
                <w:bCs/>
                <w:color w:val="8B0000"/>
              </w:rPr>
              <w:t xml:space="preserve">$39 BILJOEN (37% wereldeconomie)</w:t>
            </w:r>
          </w:p>
        </w:tc>
      </w:tr>
    </w:tbl>
    <w:p>
      <w:pPr>
        <w:spacing w:before="200"/>
      </w:pPr>
    </w:p>
    <w:p>
      <w:r>
        <w:br w:type="page"/>
      </w:r>
    </w:p>
    <w:p>
      <w:pPr>
        <w:pStyle w:val="Heading1"/>
      </w:pPr>
      <w:r>
        <w:t xml:space="preserve">HOOFDSTUK 6: 2024-2025 — DE OOGST</w:t>
      </w:r>
    </w:p>
    <w:p>
      <w:pPr>
        <w:pStyle w:val="Heading2"/>
      </w:pPr>
      <w:r>
        <w:t xml:space="preserve">Mercosur Wordt Goedgekeurd</w:t>
      </w:r>
    </w:p>
    <w:p>
      <w:pPr>
        <w:spacing w:after="200"/>
      </w:pPr>
      <w:r>
        <w:t xml:space="preserve">In 2024 keurt de EU de </w:t>
      </w:r>
      <w:r>
        <w:rPr>
          <w:b/>
          <w:bCs/>
        </w:rPr>
        <w:t xml:space="preserve">Mercosur-deal</w:t>
      </w:r>
      <w:r>
        <w:t xml:space="preserve"> goed. Dit handelsakkoord opent de Europese markt voor Zuid-Amerikaans vlees — grotendeels van JBS.</w:t>
      </w:r>
    </w:p>
    <w:p>
      <w:pPr>
        <w:spacing w:after="200"/>
      </w:pPr>
      <w:r>
        <w:t xml:space="preserve">De timing is perfect: Nederlandse boeren zijn weggedrukt door stikstofbeleid. Het voedselvacuüm moet worden gevuld. En kijk — daar staat JBS klaar.</w:t>
      </w:r>
    </w:p>
    <w:p>
      <w:pPr>
        <w:pStyle w:val="Heading2"/>
      </w:pPr>
      <w:r>
        <w:t xml:space="preserve">JBS Opent Hoofdkantoor in Amstelveen</w:t>
      </w:r>
    </w:p>
    <w:p>
      <w:pPr>
        <w:spacing w:after="200"/>
      </w:pPr>
      <w:r>
        <w:t xml:space="preserve">In oktober 2025 opent JBS haar </w:t>
      </w:r>
      <w:r>
        <w:rPr>
          <w:b/>
          <w:bCs/>
        </w:rPr>
        <w:t xml:space="preserve">Europese hoofdkantoor in Amstelveen, Nederland</w:t>
      </w:r>
      <w:r>
        <w:t xml:space="preserve">. Het bedrijf van veroordeelde criminelen vestigt zich in het hart van Europa.</w:t>
      </w:r>
    </w:p>
    <w:p>
      <w:pPr>
        <w:spacing w:after="200"/>
      </w:pPr>
      <w:r>
        <w:rPr>
          <w:i/>
          <w:iCs/>
        </w:rPr>
        <w:t xml:space="preserve">Vraag: waarom controleert niemand dit bedrijf?</w:t>
      </w:r>
    </w:p>
    <w:p>
      <w:pPr>
        <w:pStyle w:val="Heading2"/>
      </w:pPr>
      <w:r>
        <w:t xml:space="preserve">Trump, Putin en Musk Vallen de EU Aan</w:t>
      </w:r>
    </w:p>
    <w:p>
      <w:pPr>
        <w:spacing w:after="200"/>
      </w:pPr>
      <w:r>
        <w:t xml:space="preserve">In december 2025 escaleert de aanval op de EU. Dit is geen toeval — dit is coördinatie:</w:t>
      </w:r>
    </w:p>
    <w:p>
      <w:pPr>
        <w:pStyle w:val="ListParagraph"/>
        <w:numPr>
          <w:ilvl w:val="0"/>
          <w:numId w:val="3"/>
        </w:numPr>
      </w:pPr>
      <w:r>
        <w:rPr>
          <w:b/>
          <w:bCs/>
        </w:rPr>
        <w:t xml:space="preserve">Elon Musk</w:t>
      </w:r>
      <w:r>
        <w:t xml:space="preserve"> roept op tot afschaffing van de EU: "De EU moet worden afgeschaft"</w:t>
      </w:r>
    </w:p>
    <w:p>
      <w:pPr>
        <w:pStyle w:val="ListParagraph"/>
        <w:numPr>
          <w:ilvl w:val="0"/>
          <w:numId w:val="3"/>
        </w:numPr>
      </w:pPr>
      <w:r>
        <w:rPr>
          <w:b/>
          <w:bCs/>
        </w:rPr>
        <w:t xml:space="preserve">Musk vergelijkt de EU met het "Vierde Rijk"</w:t>
      </w:r>
    </w:p>
    <w:p>
      <w:pPr>
        <w:pStyle w:val="ListParagraph"/>
        <w:numPr>
          <w:ilvl w:val="0"/>
          <w:numId w:val="3"/>
        </w:numPr>
      </w:pPr>
      <w:r>
        <w:rPr>
          <w:b/>
          <w:bCs/>
        </w:rPr>
        <w:t xml:space="preserve">Trump</w:t>
      </w:r>
      <w:r>
        <w:t xml:space="preserve"> zegt: "Europa gaat de verkeerde kant op"</w:t>
      </w:r>
    </w:p>
    <w:p>
      <w:pPr>
        <w:pStyle w:val="ListParagraph"/>
        <w:numPr>
          <w:ilvl w:val="0"/>
          <w:numId w:val="3"/>
        </w:numPr>
      </w:pPr>
      <w:r>
        <w:rPr>
          <w:b/>
          <w:bCs/>
        </w:rPr>
        <w:t xml:space="preserve">Putin's vertegenwoordiger Dmitriev</w:t>
      </w:r>
      <w:r>
        <w:t xml:space="preserve"> stemt in met Musk's analyse</w:t>
      </w:r>
    </w:p>
    <w:p>
      <w:pPr>
        <w:pStyle w:val="ListParagraph"/>
        <w:numPr>
          <w:ilvl w:val="0"/>
          <w:numId w:val="3"/>
        </w:numPr>
      </w:pPr>
      <w:r>
        <w:rPr>
          <w:b/>
          <w:bCs/>
        </w:rPr>
        <w:t xml:space="preserve">Trump stopt wapenleveranties aan Oekraïne</w:t>
      </w:r>
      <w:r>
        <w:t xml:space="preserve"> — verkoopt nu aan NATO die doorgeeft</w:t>
      </w:r>
    </w:p>
    <w:p>
      <w:pPr>
        <w:spacing w:before="200" w:after="200"/>
      </w:pPr>
      <w:r>
        <w:t xml:space="preserve">De Poolse minister van Buitenlandse Zaken Sikorski waarschuwt: </w:t>
      </w:r>
      <w:r>
        <w:rPr>
          <w:i/>
          <w:iCs/>
        </w:rPr>
        <w:t xml:space="preserve">"Musk en Dmitriev proberen Europa te verdelen om ons te domineren en uit te buiten."</w:t>
      </w:r>
    </w:p>
    <w:p>
      <w:r>
        <w:br w:type="page"/>
      </w:r>
    </w:p>
    <w:p>
      <w:pPr>
        <w:pStyle w:val="Heading1"/>
      </w:pPr>
      <w:r>
        <w:t xml:space="preserve">HOOFDSTUK 7: DE COMPLETE KETEN</w:t>
      </w:r>
    </w:p>
    <w:p>
      <w:pPr>
        <w:spacing w:after="200"/>
      </w:pPr>
      <w:r>
        <w:t xml:space="preserve">Dit is wat er werkelijk gebeurt:</w:t>
      </w:r>
    </w:p>
    <w:p>
      <w:pPr>
        <w:pStyle w:val="ListParagraph"/>
        <w:numPr>
          <w:ilvl w:val="0"/>
          <w:numId w:val="2"/>
        </w:numPr>
      </w:pPr>
      <w:r>
        <w:rPr>
          <w:b/>
          <w:bCs/>
        </w:rPr>
        <w:t xml:space="preserve">2014: </w:t>
      </w:r>
      <w:r>
        <w:t xml:space="preserve">EU stikstofbeleid drukt boeren. Tegelijk wordt Invest Vastgoed opgericht door Aeternus (bouwsector M&amp;A)</w:t>
      </w:r>
    </w:p>
    <w:p>
      <w:pPr>
        <w:pStyle w:val="ListParagraph"/>
        <w:numPr>
          <w:ilvl w:val="0"/>
          <w:numId w:val="2"/>
        </w:numPr>
      </w:pPr>
      <w:r>
        <w:rPr>
          <w:b/>
          <w:bCs/>
        </w:rPr>
        <w:t xml:space="preserve">2017: </w:t>
      </w:r>
      <w:r>
        <w:t xml:space="preserve">Batista broers kopen zich vrij. BlackRock/Vanguard investeren IN JBS, niet eruit</w:t>
      </w:r>
    </w:p>
    <w:p>
      <w:pPr>
        <w:pStyle w:val="ListParagraph"/>
        <w:numPr>
          <w:ilvl w:val="0"/>
          <w:numId w:val="2"/>
        </w:numPr>
      </w:pPr>
      <w:r>
        <w:rPr>
          <w:b/>
          <w:bCs/>
        </w:rPr>
        <w:t xml:space="preserve">2019: </w:t>
      </w:r>
      <w:r>
        <w:t xml:space="preserve">Von der Leyen en Timmermans activeren Green Deal machine</w:t>
      </w:r>
    </w:p>
    <w:p>
      <w:pPr>
        <w:pStyle w:val="ListParagraph"/>
        <w:numPr>
          <w:ilvl w:val="0"/>
          <w:numId w:val="2"/>
        </w:numPr>
      </w:pPr>
      <w:r>
        <w:rPr>
          <w:b/>
          <w:bCs/>
        </w:rPr>
        <w:t xml:space="preserve">2014-2024: </w:t>
      </w:r>
      <w:r>
        <w:t xml:space="preserve">Invest Vastgoed koopt boerengrond voor €21,7M, verkoopt voor €87,7M</w:t>
      </w:r>
    </w:p>
    <w:p>
      <w:pPr>
        <w:pStyle w:val="ListParagraph"/>
        <w:numPr>
          <w:ilvl w:val="0"/>
          <w:numId w:val="2"/>
        </w:numPr>
      </w:pPr>
      <w:r>
        <w:rPr>
          <w:b/>
          <w:bCs/>
        </w:rPr>
        <w:t xml:space="preserve">2024: </w:t>
      </w:r>
      <w:r>
        <w:t xml:space="preserve">Mercosur goedgekeurd. Timmermans vertrekt stil</w:t>
      </w:r>
    </w:p>
    <w:p>
      <w:pPr>
        <w:pStyle w:val="ListParagraph"/>
        <w:numPr>
          <w:ilvl w:val="0"/>
          <w:numId w:val="2"/>
        </w:numPr>
      </w:pPr>
      <w:r>
        <w:rPr>
          <w:b/>
          <w:bCs/>
        </w:rPr>
        <w:t xml:space="preserve">2025: </w:t>
      </w:r>
      <w:r>
        <w:t xml:space="preserve">JBS opent Amstelveen. Trump/Musk/Putin vallen EU aan</w:t>
      </w:r>
    </w:p>
    <w:p>
      <w:pPr>
        <w:spacing w:before="300" w:after="200"/>
      </w:pPr>
      <w:r>
        <w:rPr>
          <w:b/>
          <w:bCs/>
          <w:color w:val="8B0000"/>
          <w:sz w:val="28"/>
          <w:szCs w:val="28"/>
        </w:rPr>
        <w:t xml:space="preserve">DE CONCLUSIE:</w:t>
      </w:r>
    </w:p>
    <w:p>
      <w:pPr>
        <w:spacing w:after="200"/>
      </w:pPr>
      <w:r>
        <w:t xml:space="preserve">Nederlandse boeren worden weggedrukt door vals milieubeleid. Hun grond gaat naar de bouw (BlackRock profiteert). Het voedselvacuüm wordt gevuld door crimineel Braziliaans vlees (BlackRock profiteert). De EU wordt politiek aangevallen om verzwakt te worden (zodat niemand kan ingrijpen).</w:t>
      </w:r>
    </w:p>
    <w:p>
      <w:pPr>
        <w:spacing w:after="200"/>
      </w:pPr>
      <w:r>
        <w:rPr>
          <w:b/>
          <w:bCs/>
          <w:sz w:val="26"/>
          <w:szCs w:val="26"/>
        </w:rPr>
        <w:t xml:space="preserve">Dit is geen complot. Dit is een businessmodel.</w:t>
      </w:r>
    </w:p>
    <w:p>
      <w:r>
        <w:br w:type="page"/>
      </w:r>
    </w:p>
    <w:p>
      <w:pPr>
        <w:pStyle w:val="Heading1"/>
      </w:pPr>
      <w:r>
        <w:t xml:space="preserve">VERZOEK TOT STRAFRECHTELIJK ONDERZOEK</w:t>
      </w:r>
    </w:p>
    <w:p>
      <w:pPr>
        <w:spacing w:after="200"/>
      </w:pPr>
      <w:r>
        <w:t xml:space="preserve">Op basis van bovenstaande documentatie verzoekt ondergetekende het EPPO, OLAF en de FIOD om onderzoek te openen naar:</w:t>
      </w:r>
    </w:p>
    <w:p>
      <w:pPr>
        <w:pStyle w:val="ListParagraph"/>
        <w:numPr>
          <w:ilvl w:val="0"/>
          <w:numId w:val="2"/>
        </w:numPr>
      </w:pPr>
      <w:r>
        <w:rPr>
          <w:b/>
          <w:bCs/>
        </w:rPr>
        <w:t xml:space="preserve">Invest Vastgoed B.V.</w:t>
      </w:r>
      <w:r>
        <w:t xml:space="preserve"> — fraude, oplichting, witwassen (€66+ miljoen)</w:t>
      </w:r>
    </w:p>
    <w:p>
      <w:pPr>
        <w:pStyle w:val="ListParagraph"/>
        <w:numPr>
          <w:ilvl w:val="0"/>
          <w:numId w:val="2"/>
        </w:numPr>
      </w:pPr>
      <w:r>
        <w:rPr>
          <w:b/>
          <w:bCs/>
        </w:rPr>
        <w:t xml:space="preserve">Aeternus Beheer B.V.</w:t>
      </w:r>
      <w:r>
        <w:t xml:space="preserve"> — rol als bestuurder, mogelijk voorkennis, belangenverstrengeling bouwsector</w:t>
      </w:r>
    </w:p>
    <w:p>
      <w:pPr>
        <w:pStyle w:val="ListParagraph"/>
        <w:numPr>
          <w:ilvl w:val="0"/>
          <w:numId w:val="2"/>
        </w:numPr>
      </w:pPr>
      <w:r>
        <w:rPr>
          <w:b/>
          <w:bCs/>
        </w:rPr>
        <w:t xml:space="preserve">BlackRock/Vanguard connecties</w:t>
      </w:r>
      <w:r>
        <w:t xml:space="preserve"> — systemische marktmanipulatie, investering in veroordeelde criminelen</w:t>
      </w:r>
    </w:p>
    <w:p>
      <w:pPr>
        <w:pStyle w:val="ListParagraph"/>
        <w:numPr>
          <w:ilvl w:val="0"/>
          <w:numId w:val="2"/>
        </w:numPr>
      </w:pPr>
      <w:r>
        <w:rPr>
          <w:b/>
          <w:bCs/>
        </w:rPr>
        <w:t xml:space="preserve">JBS S.A. Europese operaties</w:t>
      </w:r>
      <w:r>
        <w:t xml:space="preserve"> — vestigen veroordeelde criminelen in EU jurisdictie</w:t>
      </w:r>
    </w:p>
    <w:p>
      <w:pPr>
        <w:pStyle w:val="ListParagraph"/>
        <w:numPr>
          <w:ilvl w:val="0"/>
          <w:numId w:val="2"/>
        </w:numPr>
      </w:pPr>
      <w:r>
        <w:rPr>
          <w:b/>
          <w:bCs/>
        </w:rPr>
        <w:t xml:space="preserve">Von der Leyen / Timmermans</w:t>
      </w:r>
      <w:r>
        <w:t xml:space="preserve"> — als aanvulling op lopende onderzoeken: connectie met belanghebbenden bij Green Deal</w:t>
      </w:r>
    </w:p>
    <w:p>
      <w:pPr>
        <w:spacing w:before="400" w:after="200"/>
      </w:pPr>
      <w:r>
        <w:rPr>
          <w:b/>
          <w:bCs/>
          <w:sz w:val="24"/>
          <w:szCs w:val="24"/>
        </w:rPr>
        <w:t xml:space="preserve">BRONNEN:</w:t>
      </w:r>
    </w:p>
    <w:p>
      <w:pPr>
        <w:pStyle w:val="ListParagraph"/>
        <w:numPr>
          <w:ilvl w:val="0"/>
          <w:numId w:val="3"/>
        </w:numPr>
      </w:pPr>
      <w:r>
        <w:t xml:space="preserve">AVROTROS Radar onderzoeken (april 2024, oktober 2025)</w:t>
      </w:r>
    </w:p>
    <w:p>
      <w:pPr>
        <w:pStyle w:val="ListParagraph"/>
        <w:numPr>
          <w:ilvl w:val="0"/>
          <w:numId w:val="3"/>
        </w:numPr>
      </w:pPr>
      <w:r>
        <w:t xml:space="preserve">Kadaster data (1.244 transacties)</w:t>
      </w:r>
    </w:p>
    <w:p>
      <w:pPr>
        <w:pStyle w:val="ListParagraph"/>
        <w:numPr>
          <w:ilvl w:val="0"/>
          <w:numId w:val="3"/>
        </w:numPr>
      </w:pPr>
      <w:r>
        <w:t xml:space="preserve">Stichting GrondhandelClaim dossiers</w:t>
      </w:r>
    </w:p>
    <w:p>
      <w:pPr>
        <w:pStyle w:val="ListParagraph"/>
        <w:numPr>
          <w:ilvl w:val="0"/>
          <w:numId w:val="3"/>
        </w:numPr>
      </w:pPr>
      <w:r>
        <w:t xml:space="preserve">KvK Handelsregister</w:t>
      </w:r>
    </w:p>
    <w:p>
      <w:pPr>
        <w:pStyle w:val="ListParagraph"/>
        <w:numPr>
          <w:ilvl w:val="0"/>
          <w:numId w:val="3"/>
        </w:numPr>
      </w:pPr>
      <w:r>
        <w:t xml:space="preserve">SEC/DOJ handhavingsacties JBS/Batista</w:t>
      </w:r>
    </w:p>
    <w:p>
      <w:pPr>
        <w:pStyle w:val="ListParagraph"/>
        <w:numPr>
          <w:ilvl w:val="0"/>
          <w:numId w:val="3"/>
        </w:numPr>
      </w:pPr>
      <w:r>
        <w:t xml:space="preserve">Global Witness rapport (augustus 2024)</w:t>
      </w:r>
    </w:p>
    <w:p>
      <w:pPr>
        <w:pStyle w:val="ListParagraph"/>
        <w:numPr>
          <w:ilvl w:val="0"/>
          <w:numId w:val="3"/>
        </w:numPr>
      </w:pPr>
      <w:r>
        <w:t xml:space="preserve">Taxpayers Association of Europe (TAE) strafklachten</w:t>
      </w:r>
    </w:p>
    <w:p>
      <w:pPr>
        <w:spacing w:before="400"/>
      </w:pPr>
    </w:p>
    <w:p>
      <w:r>
        <w:t xml:space="preserve">Met hoogachting,</w:t>
      </w:r>
    </w:p>
    <w:p>
      <w:pPr>
        <w:spacing w:before="200"/>
      </w:pPr>
    </w:p>
    <w:p>
      <w:r>
        <w:rPr>
          <w:b/>
          <w:bCs/>
        </w:rPr>
        <w:t xml:space="preserve">Albert Vieane (Alvie)</w:t>
      </w:r>
    </w:p>
    <w:p>
      <w:r>
        <w:t xml:space="preserve">Directeur Eco Speed Forests</w:t>
      </w:r>
    </w:p>
    <w:p>
      <w:r>
        <w:t xml:space="preserve">KvK: 93722524</w:t>
      </w:r>
    </w:p>
    <w:p>
      <w:r>
        <w:t xml:space="preserve">Heemskerk, Nederland</w:t>
      </w:r>
    </w:p>
    <w:p>
      <w:pPr>
        <w:spacing w:before="100"/>
      </w:pPr>
    </w:p>
    <w:p>
      <w:r>
        <w:t xml:space="preserve">ecospeedforests.com | alvielosophy.nl</w:t>
      </w:r>
    </w:p>
    <w:p>
      <w:pPr>
        <w:spacing w:before="200"/>
      </w:pPr>
    </w:p>
    <w:p>
      <w:r>
        <w:rPr>
          <w:i/>
          <w:iCs/>
        </w:rPr>
        <w:t xml:space="preserve">13 december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Pagina </w:t>
    </w:r>
    <w:r>
      <w:rPr>
        <w:sz w:val="18"/>
        <w:szCs w:val="18"/>
      </w:rPr>
      <w:fldChar w:fldCharType="begin"/>
      <w:instrText xml:space="preserve">PAGE</w:instrText>
      <w:fldChar w:fldCharType="separate"/>
      <w:fldChar w:fldCharType="end"/>
    </w:r>
    <w:r>
      <w:rPr>
        <w:sz w:val="18"/>
        <w:szCs w:val="18"/>
      </w:rPr>
      <w:t xml:space="preserve"> van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EPPO DOSSIER — DE OVERNAME VAN EUROPA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1a"/>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2025-12-13T13:18:39.012Z</dcterms:created>
  <dcterms:modified xsi:type="dcterms:W3CDTF">2025-12-13T13:18:39.013Z</dcterms:modified>
</cp:coreProperties>
</file>

<file path=docProps/custom.xml><?xml version="1.0" encoding="utf-8"?>
<Properties xmlns="http://schemas.openxmlformats.org/officeDocument/2006/custom-properties" xmlns:vt="http://schemas.openxmlformats.org/officeDocument/2006/docPropsVTypes"/>
</file>