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HET PAARD VAN TROJE</w:t>
      </w:r>
    </w:p>
    <w:p>
      <w:pPr>
        <w:spacing w:after="120"/>
        <w:jc w:val="center"/>
      </w:pPr>
      <w:r>
        <w:rPr>
          <w:i/>
          <w:iCs/>
          <w:sz w:val="28"/>
          <w:szCs w:val="28"/>
        </w:rPr>
        <w:t xml:space="preserve">Hoe de wereldbevolking systematisch wordt gecontroleerd</w:t>
      </w:r>
    </w:p>
    <w:p>
      <w:pPr>
        <w:spacing w:after="120"/>
        <w:jc w:val="center"/>
      </w:pPr>
      <w:r>
        <w:rPr>
          <w:i/>
          <w:iCs/>
          <w:sz w:val="28"/>
          <w:szCs w:val="28"/>
        </w:rPr>
        <w:t xml:space="preserve">om dictators hun zin te geven</w:t>
      </w:r>
    </w:p>
    <w:p>
      <w:pPr>
        <w:spacing w:after="480"/>
        <w:jc w:val="center"/>
      </w:pPr>
      <w:r>
        <w:rPr>
          <w:color w:val="666666"/>
          <w:sz w:val="22"/>
          <w:szCs w:val="22"/>
        </w:rPr>
        <w:t xml:space="preserve">Forensisch Rapport | December 2024</w:t>
      </w:r>
    </w:p>
    <w:p>
      <w:pPr>
        <w:pStyle w:val="Heading1"/>
      </w:pPr>
      <w:r>
        <w:t xml:space="preserve">EXECUTIVE SUMMARY</w:t>
      </w:r>
    </w:p>
    <w:p>
      <w:pPr>
        <w:spacing w:after="200"/>
      </w:pPr>
      <w:r>
        <w:t xml:space="preserve">Dit rapport onthult een systematisch mechanisme waarmee de wereldbevolking wordt gecontroleerd via de voedselketen. Het "Paard van Troje" komt binnen als voedsel, maar vernietigt van binnenuit het vermogen van burgers om weerstand te bieden tegen economische plundering.</w:t>
      </w:r>
    </w:p>
    <w:p>
      <w:pPr>
        <w:spacing w:after="200"/>
      </w:pPr>
      <w:r>
        <w:t xml:space="preserve">De sleutelcomponenten zijn: (1) Datura stramonium in de voedselketen, (2) de effecten van tropane alkaloïden op het menselijk brein, en (3) de "bloedprop" van $12,5 biljoen die door BlackRock uit de wereldeconomie wordt onttrokken terwijl de bevolking versuft toekijkt.</w:t>
      </w:r>
    </w:p>
    <w:p>
      <w:pPr>
        <w:spacing w:after="200"/>
      </w:pPr>
      <w:r>
        <w:t xml:space="preserve">BlackRock CEO Larry Fink zit aan tafel met ALLE wereldleiders - democraten én dictators. Dit is geen toeval, maar een gecoördineerd systeem.</w:t>
      </w:r>
    </w:p>
    <w:p>
      <w:r>
        <w:br w:type="page"/>
      </w:r>
    </w:p>
    <w:p>
      <w:pPr>
        <w:pStyle w:val="Heading1"/>
      </w:pPr>
      <w:r>
        <w:t xml:space="preserve">DEEL 1: HET PAARD - DATURA IN DE VOEDSELKETEN</w:t>
      </w:r>
    </w:p>
    <w:p>
      <w:pPr>
        <w:pStyle w:val="Heading2"/>
      </w:pPr>
      <w:r>
        <w:t xml:space="preserve">1.1 De Besmettingsroute</w:t>
      </w:r>
    </w:p>
    <w:p>
      <w:pPr>
        <w:spacing w:after="200"/>
      </w:pPr>
      <w:r>
        <w:t xml:space="preserve">Datura stramonium (doornappel) bevat de tropane alkaloïden scopolamine en atropine. Deze planten groeien wereldwijd als onkruid tussen landbouwgewassen. De besmetting verloopt via meerdere routes:</w:t>
      </w:r>
    </w:p>
    <w:p>
      <w:pPr>
        <w:pStyle w:val="ListParagraph"/>
        <w:numPr>
          <w:ilvl w:val="0"/>
          <w:numId w:val="2"/>
        </w:numPr>
      </w:pPr>
      <w:r>
        <w:rPr>
          <w:b/>
          <w:bCs/>
        </w:rPr>
        <w:t xml:space="preserve">Veevoerproductie: </w:t>
      </w:r>
      <w:r>
        <w:t xml:space="preserve">Datura-zaden worden meegeoogst met granen en soja</w:t>
      </w:r>
    </w:p>
    <w:p>
      <w:pPr>
        <w:pStyle w:val="ListParagraph"/>
        <w:numPr>
          <w:ilvl w:val="0"/>
          <w:numId w:val="2"/>
        </w:numPr>
      </w:pPr>
      <w:r>
        <w:rPr>
          <w:b/>
          <w:bCs/>
        </w:rPr>
        <w:t xml:space="preserve">Moedwillige toediening: </w:t>
      </w:r>
      <w:r>
        <w:t xml:space="preserve">Datura maakt vee GEDWEE - ze lopen rustig de slachterij in</w:t>
      </w:r>
    </w:p>
    <w:p>
      <w:pPr>
        <w:pStyle w:val="ListParagraph"/>
        <w:numPr>
          <w:ilvl w:val="0"/>
          <w:numId w:val="2"/>
        </w:numPr>
      </w:pPr>
      <w:r>
        <w:rPr>
          <w:b/>
          <w:bCs/>
        </w:rPr>
        <w:t xml:space="preserve">Transfer naar vlees en melk: </w:t>
      </w:r>
      <w:r>
        <w:t xml:space="preserve">Alkaloïden accumuleren in dierlijke producten</w:t>
      </w:r>
    </w:p>
    <w:p>
      <w:pPr>
        <w:pStyle w:val="ListParagraph"/>
        <w:numPr>
          <w:ilvl w:val="0"/>
          <w:numId w:val="2"/>
        </w:numPr>
        <w:spacing w:after="200"/>
      </w:pPr>
      <w:r>
        <w:rPr>
          <w:b/>
          <w:bCs/>
        </w:rPr>
        <w:t xml:space="preserve">Consumptie door mensen: </w:t>
      </w:r>
      <w:r>
        <w:t xml:space="preserve">Chronische lage dosis blootstelling via voedsel</w:t>
      </w:r>
    </w:p>
    <w:p>
      <w:pPr>
        <w:pStyle w:val="Heading2"/>
      </w:pPr>
      <w:r>
        <w:t xml:space="preserve">1.2 De Perfecte Misdaad</w:t>
      </w:r>
    </w:p>
    <w:p>
      <w:pPr>
        <w:spacing w:after="200"/>
      </w:pPr>
      <w:r>
        <w:t xml:space="preserve">Scopolamine staat bekend als "Devil's Breath" - het maakt slachtoffers </w:t>
      </w:r>
      <w:r>
        <w:rPr>
          <w:b/>
          <w:bCs/>
        </w:rPr>
        <w:t xml:space="preserve">volgzaam en gedwee</w:t>
      </w:r>
      <w:r>
        <w:t xml:space="preserve">. Bij vee wordt dit effect MISBRUIKT:</w:t>
      </w:r>
    </w:p>
    <w:p>
      <w:pPr>
        <w:pStyle w:val="ListParagraph"/>
        <w:numPr>
          <w:ilvl w:val="0"/>
          <w:numId w:val="3"/>
        </w:numPr>
      </w:pPr>
      <w:r>
        <w:t xml:space="preserve">Vee krijgt Datura (moedwillig of via veevoer)</w:t>
      </w:r>
    </w:p>
    <w:p>
      <w:pPr>
        <w:pStyle w:val="ListParagraph"/>
        <w:numPr>
          <w:ilvl w:val="0"/>
          <w:numId w:val="3"/>
        </w:numPr>
      </w:pPr>
      <w:r>
        <w:t xml:space="preserve">Dieren worden gedwee en meegaand</w:t>
      </w:r>
    </w:p>
    <w:p>
      <w:pPr>
        <w:pStyle w:val="ListParagraph"/>
        <w:numPr>
          <w:ilvl w:val="0"/>
          <w:numId w:val="3"/>
        </w:numPr>
      </w:pPr>
      <w:r>
        <w:t xml:space="preserve">Ze lopen RUSTIG de abattoir in - geen stress-signalen</w:t>
      </w:r>
    </w:p>
    <w:p>
      <w:pPr>
        <w:pStyle w:val="ListParagraph"/>
        <w:numPr>
          <w:ilvl w:val="0"/>
          <w:numId w:val="3"/>
        </w:numPr>
      </w:pPr>
      <w:r>
        <w:t xml:space="preserve">Geen alarm bij keuringsdiensten</w:t>
      </w:r>
    </w:p>
    <w:p>
      <w:pPr>
        <w:pStyle w:val="ListParagraph"/>
        <w:numPr>
          <w:ilvl w:val="0"/>
          <w:numId w:val="3"/>
        </w:numPr>
      </w:pPr>
      <w:r>
        <w:rPr>
          <w:b/>
          <w:bCs/>
        </w:rPr>
        <w:t xml:space="preserve">GEEN EU-controle op tropane alkaloïden in vlees</w:t>
      </w:r>
    </w:p>
    <w:p>
      <w:pPr>
        <w:pStyle w:val="ListParagraph"/>
        <w:numPr>
          <w:ilvl w:val="0"/>
          <w:numId w:val="3"/>
        </w:numPr>
        <w:spacing w:after="200"/>
      </w:pPr>
      <w:r>
        <w:t xml:space="preserve">Besmet vlees komt ongezien in de voedselketen</w:t>
      </w:r>
    </w:p>
    <w:p>
      <w:pPr>
        <w:spacing w:after="200"/>
      </w:pPr>
      <w:r>
        <w:rPr>
          <w:i/>
          <w:iCs/>
        </w:rPr>
        <w:t xml:space="preserve">Het "bewijs" van gedwee gedrag wordt gezien als NORMAAL - de perfecte vermomming.</w:t>
      </w:r>
    </w:p>
    <w:p>
      <w:r>
        <w:br w:type="page"/>
      </w:r>
    </w:p>
    <w:p>
      <w:pPr>
        <w:pStyle w:val="Heading1"/>
      </w:pPr>
      <w:r>
        <w:t xml:space="preserve">DEEL 2: HET GIF - NEUROLOGISCHE SCHADE</w:t>
      </w:r>
    </w:p>
    <w:p>
      <w:pPr>
        <w:pStyle w:val="Heading2"/>
      </w:pPr>
      <w:r>
        <w:t xml:space="preserve">2.1 Alzheimer Connectie</w:t>
      </w:r>
    </w:p>
    <w:p>
      <w:pPr>
        <w:spacing w:after="200"/>
      </w:pPr>
      <w:r>
        <w:t xml:space="preserve">Scopolamine is het </w:t>
      </w:r>
      <w:r>
        <w:rPr>
          <w:b/>
          <w:bCs/>
        </w:rPr>
        <w:t xml:space="preserve">standaard laboratoriummodel voor Alzheimer dementie</w:t>
      </w:r>
      <w:r>
        <w:t xml:space="preserve">. Wetenschappelijke bevindingen:</w:t>
      </w:r>
    </w:p>
    <w:p>
      <w:pPr>
        <w:pStyle w:val="ListParagraph"/>
        <w:numPr>
          <w:ilvl w:val="0"/>
          <w:numId w:val="4"/>
        </w:numPr>
      </w:pPr>
      <w:r>
        <w:t xml:space="preserve">Scopolamine induceert tijdelijke amnesie identiek aan Alzheimer symptomen</w:t>
      </w:r>
    </w:p>
    <w:p>
      <w:pPr>
        <w:pStyle w:val="ListParagraph"/>
        <w:numPr>
          <w:ilvl w:val="0"/>
          <w:numId w:val="4"/>
        </w:numPr>
      </w:pPr>
      <w:r>
        <w:t xml:space="preserve">Anticholinergica verhogen amyloid plaque dichtheid met </w:t>
      </w:r>
      <w:r>
        <w:rPr>
          <w:b/>
          <w:bCs/>
        </w:rPr>
        <w:t xml:space="preserve">MEER DAN HET DUBBELE</w:t>
      </w:r>
    </w:p>
    <w:p>
      <w:pPr>
        <w:pStyle w:val="ListParagraph"/>
        <w:numPr>
          <w:ilvl w:val="0"/>
          <w:numId w:val="4"/>
        </w:numPr>
      </w:pPr>
      <w:r>
        <w:t xml:space="preserve">JAMA studie: &gt;1095 dagen gebruik = </w:t>
      </w:r>
      <w:r>
        <w:rPr>
          <w:b/>
          <w:bCs/>
        </w:rPr>
        <w:t xml:space="preserve">54% hoger Alzheimer risico</w:t>
      </w:r>
      <w:r>
        <w:t xml:space="preserve"> (HR 1.63)</w:t>
      </w:r>
    </w:p>
    <w:p>
      <w:pPr>
        <w:pStyle w:val="ListParagraph"/>
        <w:numPr>
          <w:ilvl w:val="0"/>
          <w:numId w:val="4"/>
        </w:numPr>
        <w:spacing w:after="200"/>
      </w:pPr>
      <w:r>
        <w:t xml:space="preserve">Neurofibrillary tangles (Alzheimer kenmerk) prominent verhoogd</w:t>
      </w:r>
    </w:p>
    <w:p>
      <w:pPr>
        <w:pStyle w:val="Heading2"/>
      </w:pPr>
      <w:r>
        <w:t xml:space="preserve">2.2 Parkinson Connectie</w:t>
      </w:r>
    </w:p>
    <w:p>
      <w:pPr>
        <w:spacing w:after="200"/>
      </w:pPr>
      <w:r>
        <w:t xml:space="preserve">Perry et al. (2003) toonde aan dat Parkinson patiënten met 2+ jaar anticholinergica gebruik </w:t>
      </w:r>
      <w:r>
        <w:rPr>
          <w:b/>
          <w:bCs/>
        </w:rPr>
        <w:t xml:space="preserve">verhoogde Alzheimer-pathologie</w:t>
      </w:r>
      <w:r>
        <w:t xml:space="preserve"> hadden. De combinatie Parkinson + anticholinergica versnelt neurologische degeneratie.</w:t>
      </w:r>
    </w:p>
    <w:p>
      <w:pPr>
        <w:pStyle w:val="Heading2"/>
      </w:pPr>
      <w:r>
        <w:t xml:space="preserve">2.3 Young-Onset Dementie Explosie</w:t>
      </w:r>
    </w:p>
    <w:p>
      <w:pPr>
        <w:spacing w:after="200"/>
      </w:pPr>
      <w:r>
        <w:t xml:space="preserve">Wereldwijde stijging young-onset dementie: </w:t>
      </w:r>
      <w:r>
        <w:rPr>
          <w:b/>
          <w:bCs/>
          <w:color w:val="8B0000"/>
        </w:rPr>
        <w:t xml:space="preserve">+211% sinds 1990</w:t>
      </w:r>
      <w:r>
        <w:t xml:space="preserve">. De officiële verklaring "betere diagnose" verklaart niet waarom juist JONGE mensen getroffen worden terwijl hun blootstelling aan industrieel voedsel het hoogst is.</w:t>
      </w:r>
    </w:p>
    <w:p>
      <w:pPr>
        <w:pStyle w:val="Heading3"/>
        <w:spacing w:before="300"/>
      </w:pPr>
      <w:r>
        <w:t xml:space="preserve">Wetenschappelijk Bewijs - Anticholinergica en Dementie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999999" w:sz="1"/>
              <w:left w:val="single" w:color="999999" w:sz="1"/>
              <w:bottom w:val="single" w:color="999999" w:sz="1"/>
              <w:right w:val="single" w:color="999999" w:sz="1"/>
            </w:tcBorders>
            <w:shd w:fill="8B0000" w:val="clear"/>
          </w:tcPr>
          <w:p>
            <w:pPr>
              <w:jc w:val="center"/>
            </w:pPr>
            <w:r>
              <w:rPr>
                <w:b/>
                <w:bCs/>
                <w:color w:val="FFFFFF"/>
                <w:sz w:val="22"/>
                <w:szCs w:val="22"/>
              </w:rPr>
              <w:t xml:space="preserve">Studie</w:t>
            </w:r>
          </w:p>
        </w:tc>
        <w:tc>
          <w:tcPr>
            <w:tcW w:type="dxa" w:w="3500"/>
            <w:tcBorders>
              <w:top w:val="single" w:color="999999" w:sz="1"/>
              <w:left w:val="single" w:color="999999" w:sz="1"/>
              <w:bottom w:val="single" w:color="999999" w:sz="1"/>
              <w:right w:val="single" w:color="999999" w:sz="1"/>
            </w:tcBorders>
            <w:shd w:fill="8B0000" w:val="clear"/>
          </w:tcPr>
          <w:p>
            <w:pPr>
              <w:jc w:val="center"/>
            </w:pPr>
            <w:r>
              <w:rPr>
                <w:b/>
                <w:bCs/>
                <w:color w:val="FFFFFF"/>
                <w:sz w:val="22"/>
                <w:szCs w:val="22"/>
              </w:rPr>
              <w:t xml:space="preserve">Bevinding</w:t>
            </w:r>
          </w:p>
        </w:tc>
        <w:tc>
          <w:tcPr>
            <w:tcW w:type="dxa" w:w="3360"/>
            <w:tcBorders>
              <w:top w:val="single" w:color="999999" w:sz="1"/>
              <w:left w:val="single" w:color="999999" w:sz="1"/>
              <w:bottom w:val="single" w:color="999999" w:sz="1"/>
              <w:right w:val="single" w:color="999999" w:sz="1"/>
            </w:tcBorders>
            <w:shd w:fill="8B0000" w:val="clear"/>
          </w:tcPr>
          <w:p>
            <w:pPr>
              <w:jc w:val="center"/>
            </w:pPr>
            <w:r>
              <w:rPr>
                <w:b/>
                <w:bCs/>
                <w:color w:val="FFFFFF"/>
                <w:sz w:val="22"/>
                <w:szCs w:val="22"/>
              </w:rPr>
              <w:t xml:space="preserve">Risicoverhoging</w:t>
            </w:r>
          </w:p>
        </w:tc>
      </w:tr>
      <w:tr>
        <w:tc>
          <w:tcPr>
            <w:tcW w:type="dxa" w:w="2500"/>
            <w:tcBorders>
              <w:top w:val="single" w:color="999999" w:sz="1"/>
              <w:left w:val="single" w:color="999999" w:sz="1"/>
              <w:bottom w:val="single" w:color="999999" w:sz="1"/>
              <w:right w:val="single" w:color="999999" w:sz="1"/>
            </w:tcBorders>
          </w:tcPr>
          <w:p>
            <w:r>
              <w:rPr>
                <w:sz w:val="22"/>
                <w:szCs w:val="22"/>
              </w:rPr>
              <w:t xml:space="preserve">JAMA 2015</w:t>
            </w:r>
          </w:p>
        </w:tc>
        <w:tc>
          <w:tcPr>
            <w:tcW w:type="dxa" w:w="3500"/>
            <w:tcBorders>
              <w:top w:val="single" w:color="999999" w:sz="1"/>
              <w:left w:val="single" w:color="999999" w:sz="1"/>
              <w:bottom w:val="single" w:color="999999" w:sz="1"/>
              <w:right w:val="single" w:color="999999" w:sz="1"/>
            </w:tcBorders>
          </w:tcPr>
          <w:p>
            <w:r>
              <w:rPr>
                <w:sz w:val="22"/>
                <w:szCs w:val="22"/>
              </w:rPr>
              <w:t xml:space="preserve">Cumulatieve dosis &gt;1095 dagen</w:t>
            </w:r>
          </w:p>
        </w:tc>
        <w:tc>
          <w:tcPr>
            <w:tcW w:type="dxa" w:w="3360"/>
            <w:tcBorders>
              <w:top w:val="single" w:color="999999" w:sz="1"/>
              <w:left w:val="single" w:color="999999" w:sz="1"/>
              <w:bottom w:val="single" w:color="999999" w:sz="1"/>
              <w:right w:val="single" w:color="999999" w:sz="1"/>
            </w:tcBorders>
          </w:tcPr>
          <w:p>
            <w:r>
              <w:rPr>
                <w:b/>
                <w:bCs/>
                <w:sz w:val="22"/>
                <w:szCs w:val="22"/>
              </w:rPr>
              <w:t xml:space="preserve">+54% Alzheimer</w:t>
            </w:r>
          </w:p>
        </w:tc>
      </w:tr>
      <w:tr>
        <w:tc>
          <w:tcPr>
            <w:tcW w:type="dxa" w:w="2500"/>
            <w:tcBorders>
              <w:top w:val="single" w:color="999999" w:sz="1"/>
              <w:left w:val="single" w:color="999999" w:sz="1"/>
              <w:bottom w:val="single" w:color="999999" w:sz="1"/>
              <w:right w:val="single" w:color="999999" w:sz="1"/>
            </w:tcBorders>
          </w:tcPr>
          <w:p>
            <w:r>
              <w:rPr>
                <w:sz w:val="22"/>
                <w:szCs w:val="22"/>
              </w:rPr>
              <w:t xml:space="preserve">Perry 2003</w:t>
            </w:r>
          </w:p>
        </w:tc>
        <w:tc>
          <w:tcPr>
            <w:tcW w:type="dxa" w:w="3500"/>
            <w:tcBorders>
              <w:top w:val="single" w:color="999999" w:sz="1"/>
              <w:left w:val="single" w:color="999999" w:sz="1"/>
              <w:bottom w:val="single" w:color="999999" w:sz="1"/>
              <w:right w:val="single" w:color="999999" w:sz="1"/>
            </w:tcBorders>
          </w:tcPr>
          <w:p>
            <w:r>
              <w:rPr>
                <w:sz w:val="22"/>
                <w:szCs w:val="22"/>
              </w:rPr>
              <w:t xml:space="preserve">Amyloid plaque dichtheid</w:t>
            </w:r>
          </w:p>
        </w:tc>
        <w:tc>
          <w:tcPr>
            <w:tcW w:type="dxa" w:w="3360"/>
            <w:tcBorders>
              <w:top w:val="single" w:color="999999" w:sz="1"/>
              <w:left w:val="single" w:color="999999" w:sz="1"/>
              <w:bottom w:val="single" w:color="999999" w:sz="1"/>
              <w:right w:val="single" w:color="999999" w:sz="1"/>
            </w:tcBorders>
          </w:tcPr>
          <w:p>
            <w:r>
              <w:rPr>
                <w:b/>
                <w:bCs/>
                <w:sz w:val="22"/>
                <w:szCs w:val="22"/>
              </w:rPr>
              <w:t xml:space="preserve">&gt;2x verhoogd</w:t>
            </w:r>
          </w:p>
        </w:tc>
      </w:tr>
      <w:tr>
        <w:tc>
          <w:tcPr>
            <w:tcW w:type="dxa" w:w="2500"/>
            <w:tcBorders>
              <w:top w:val="single" w:color="999999" w:sz="1"/>
              <w:left w:val="single" w:color="999999" w:sz="1"/>
              <w:bottom w:val="single" w:color="999999" w:sz="1"/>
              <w:right w:val="single" w:color="999999" w:sz="1"/>
            </w:tcBorders>
          </w:tcPr>
          <w:p>
            <w:r>
              <w:rPr>
                <w:sz w:val="22"/>
                <w:szCs w:val="22"/>
              </w:rPr>
              <w:t xml:space="preserve">BMJ 2018</w:t>
            </w:r>
          </w:p>
        </w:tc>
        <w:tc>
          <w:tcPr>
            <w:tcW w:type="dxa" w:w="3500"/>
            <w:tcBorders>
              <w:top w:val="single" w:color="999999" w:sz="1"/>
              <w:left w:val="single" w:color="999999" w:sz="1"/>
              <w:bottom w:val="single" w:color="999999" w:sz="1"/>
              <w:right w:val="single" w:color="999999" w:sz="1"/>
            </w:tcBorders>
          </w:tcPr>
          <w:p>
            <w:r>
              <w:rPr>
                <w:sz w:val="22"/>
                <w:szCs w:val="22"/>
              </w:rPr>
              <w:t xml:space="preserve">58.769 dementiepatiënten</w:t>
            </w:r>
          </w:p>
        </w:tc>
        <w:tc>
          <w:tcPr>
            <w:tcW w:type="dxa" w:w="3360"/>
            <w:tcBorders>
              <w:top w:val="single" w:color="999999" w:sz="1"/>
              <w:left w:val="single" w:color="999999" w:sz="1"/>
              <w:bottom w:val="single" w:color="999999" w:sz="1"/>
              <w:right w:val="single" w:color="999999" w:sz="1"/>
            </w:tcBorders>
          </w:tcPr>
          <w:p>
            <w:r>
              <w:rPr>
                <w:b/>
                <w:bCs/>
                <w:sz w:val="22"/>
                <w:szCs w:val="22"/>
              </w:rPr>
              <w:t xml:space="preserve">Significante associatie</w:t>
            </w:r>
          </w:p>
        </w:tc>
      </w:tr>
    </w:tbl>
    <w:p>
      <w:r>
        <w:br w:type="page"/>
      </w:r>
    </w:p>
    <w:p>
      <w:pPr>
        <w:pStyle w:val="Heading1"/>
      </w:pPr>
      <w:r>
        <w:t xml:space="preserve">DEEL 3: HET EFFECT - MAKKE SCHAPEN</w:t>
      </w:r>
    </w:p>
    <w:p>
      <w:pPr>
        <w:pStyle w:val="Heading2"/>
      </w:pPr>
      <w:r>
        <w:t xml:space="preserve">3.1 De Parallel: Vee en Volk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8B0000" w:val="clear"/>
          </w:tcPr>
          <w:p>
            <w:pPr>
              <w:jc w:val="center"/>
            </w:pPr>
            <w:r>
              <w:rPr>
                <w:b/>
                <w:bCs/>
                <w:color w:val="FFFFFF"/>
                <w:sz w:val="24"/>
                <w:szCs w:val="24"/>
              </w:rPr>
              <w:t xml:space="preserve">VEE</w:t>
            </w:r>
          </w:p>
        </w:tc>
        <w:tc>
          <w:tcPr>
            <w:tcW w:type="dxa" w:w="4680"/>
            <w:tcBorders>
              <w:top w:val="single" w:color="999999" w:sz="1"/>
              <w:left w:val="single" w:color="999999" w:sz="1"/>
              <w:bottom w:val="single" w:color="999999" w:sz="1"/>
              <w:right w:val="single" w:color="999999" w:sz="1"/>
            </w:tcBorders>
            <w:shd w:fill="8B0000" w:val="clear"/>
          </w:tcPr>
          <w:p>
            <w:pPr>
              <w:jc w:val="center"/>
            </w:pPr>
            <w:r>
              <w:rPr>
                <w:b/>
                <w:bCs/>
                <w:color w:val="FFFFFF"/>
                <w:sz w:val="24"/>
                <w:szCs w:val="24"/>
              </w:rPr>
              <w:t xml:space="preserve">VOLK</w:t>
            </w:r>
          </w:p>
        </w:tc>
      </w:tr>
      <w:tr>
        <w:tc>
          <w:tcPr>
            <w:tcW w:type="dxa" w:w="4680"/>
            <w:tcBorders>
              <w:top w:val="single" w:color="999999" w:sz="1"/>
              <w:left w:val="single" w:color="999999" w:sz="1"/>
              <w:bottom w:val="single" w:color="999999" w:sz="1"/>
              <w:right w:val="single" w:color="999999" w:sz="1"/>
            </w:tcBorders>
          </w:tcPr>
          <w:p>
            <w:r>
              <w:t xml:space="preserve">Krijgt Datura (moedwillig of via veevoer)</w:t>
            </w:r>
          </w:p>
        </w:tc>
        <w:tc>
          <w:tcPr>
            <w:tcW w:type="dxa" w:w="4680"/>
            <w:tcBorders>
              <w:top w:val="single" w:color="999999" w:sz="1"/>
              <w:left w:val="single" w:color="999999" w:sz="1"/>
              <w:bottom w:val="single" w:color="999999" w:sz="1"/>
              <w:right w:val="single" w:color="999999" w:sz="1"/>
            </w:tcBorders>
          </w:tcPr>
          <w:p>
            <w:r>
              <w:t xml:space="preserve">Krijgt chronisch lage dosis via vlees/melk</w:t>
            </w:r>
          </w:p>
        </w:tc>
      </w:tr>
      <w:tr>
        <w:tc>
          <w:tcPr>
            <w:tcW w:type="dxa" w:w="4680"/>
            <w:tcBorders>
              <w:top w:val="single" w:color="999999" w:sz="1"/>
              <w:left w:val="single" w:color="999999" w:sz="1"/>
              <w:bottom w:val="single" w:color="999999" w:sz="1"/>
              <w:right w:val="single" w:color="999999" w:sz="1"/>
            </w:tcBorders>
          </w:tcPr>
          <w:p>
            <w:r>
              <w:t xml:space="preserve">Wordt gedwee</w:t>
            </w:r>
          </w:p>
        </w:tc>
        <w:tc>
          <w:tcPr>
            <w:tcW w:type="dxa" w:w="4680"/>
            <w:tcBorders>
              <w:top w:val="single" w:color="999999" w:sz="1"/>
              <w:left w:val="single" w:color="999999" w:sz="1"/>
              <w:bottom w:val="single" w:color="999999" w:sz="1"/>
              <w:right w:val="single" w:color="999999" w:sz="1"/>
            </w:tcBorders>
          </w:tcPr>
          <w:p>
            <w:r>
              <w:t xml:space="preserve">Wordt "mak als makke schapen"</w:t>
            </w:r>
          </w:p>
        </w:tc>
      </w:tr>
      <w:tr>
        <w:tc>
          <w:tcPr>
            <w:tcW w:type="dxa" w:w="4680"/>
            <w:tcBorders>
              <w:top w:val="single" w:color="999999" w:sz="1"/>
              <w:left w:val="single" w:color="999999" w:sz="1"/>
              <w:bottom w:val="single" w:color="999999" w:sz="1"/>
              <w:right w:val="single" w:color="999999" w:sz="1"/>
            </w:tcBorders>
          </w:tcPr>
          <w:p>
            <w:r>
              <w:t xml:space="preserve">Loopt zonder verzet de slachterij in</w:t>
            </w:r>
          </w:p>
        </w:tc>
        <w:tc>
          <w:tcPr>
            <w:tcW w:type="dxa" w:w="4680"/>
            <w:tcBorders>
              <w:top w:val="single" w:color="999999" w:sz="1"/>
              <w:left w:val="single" w:color="999999" w:sz="1"/>
              <w:bottom w:val="single" w:color="999999" w:sz="1"/>
              <w:right w:val="single" w:color="999999" w:sz="1"/>
            </w:tcBorders>
          </w:tcPr>
          <w:p>
            <w:r>
              <w:t xml:space="preserve">Loopt zonder verzet de economische slachterij in</w:t>
            </w:r>
          </w:p>
        </w:tc>
      </w:tr>
      <w:tr>
        <w:tc>
          <w:tcPr>
            <w:tcW w:type="dxa" w:w="4680"/>
            <w:tcBorders>
              <w:top w:val="single" w:color="999999" w:sz="1"/>
              <w:left w:val="single" w:color="999999" w:sz="1"/>
              <w:bottom w:val="single" w:color="999999" w:sz="1"/>
              <w:right w:val="single" w:color="999999" w:sz="1"/>
            </w:tcBorders>
          </w:tcPr>
          <w:p>
            <w:r>
              <w:rPr>
                <w:b/>
                <w:bCs/>
              </w:rPr>
              <w:t xml:space="preserve">Geen alarm</w:t>
            </w:r>
          </w:p>
        </w:tc>
        <w:tc>
          <w:tcPr>
            <w:tcW w:type="dxa" w:w="4680"/>
            <w:tcBorders>
              <w:top w:val="single" w:color="999999" w:sz="1"/>
              <w:left w:val="single" w:color="999999" w:sz="1"/>
              <w:bottom w:val="single" w:color="999999" w:sz="1"/>
              <w:right w:val="single" w:color="999999" w:sz="1"/>
            </w:tcBorders>
          </w:tcPr>
          <w:p>
            <w:r>
              <w:rPr>
                <w:b/>
                <w:bCs/>
              </w:rPr>
              <w:t xml:space="preserve">Geen protest</w:t>
            </w:r>
          </w:p>
        </w:tc>
      </w:tr>
    </w:tbl>
    <w:p>
      <w:pPr>
        <w:pStyle w:val="Heading2"/>
        <w:spacing w:before="400"/>
      </w:pPr>
      <w:r>
        <w:t xml:space="preserve">3.2 Symptomen bij de Bevolking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1"/>
              <w:left w:val="single" w:color="999999" w:sz="1"/>
              <w:bottom w:val="single" w:color="999999" w:sz="1"/>
              <w:right w:val="single" w:color="999999" w:sz="1"/>
            </w:tcBorders>
            <w:shd w:fill="333333" w:val="clear"/>
          </w:tcPr>
          <w:p>
            <w:pPr>
              <w:jc w:val="center"/>
            </w:pPr>
            <w:r>
              <w:rPr>
                <w:b/>
                <w:bCs/>
                <w:color w:val="FFFFFF"/>
                <w:sz w:val="22"/>
                <w:szCs w:val="22"/>
              </w:rPr>
              <w:t xml:space="preserve">Symptoom</w:t>
            </w:r>
          </w:p>
        </w:tc>
        <w:tc>
          <w:tcPr>
            <w:tcW w:type="dxa" w:w="5860"/>
            <w:tcBorders>
              <w:top w:val="single" w:color="999999" w:sz="1"/>
              <w:left w:val="single" w:color="999999" w:sz="1"/>
              <w:bottom w:val="single" w:color="999999" w:sz="1"/>
              <w:right w:val="single" w:color="999999" w:sz="1"/>
            </w:tcBorders>
            <w:shd w:fill="333333" w:val="clear"/>
          </w:tcPr>
          <w:p>
            <w:pPr>
              <w:jc w:val="center"/>
            </w:pPr>
            <w:r>
              <w:rPr>
                <w:b/>
                <w:bCs/>
                <w:color w:val="FFFFFF"/>
                <w:sz w:val="22"/>
                <w:szCs w:val="22"/>
              </w:rPr>
              <w:t xml:space="preserve">Effect op Bevolking</w:t>
            </w:r>
          </w:p>
        </w:tc>
      </w:tr>
      <w:tr>
        <w:tc>
          <w:tcPr>
            <w:tcW w:type="dxa" w:w="3500"/>
            <w:tcBorders>
              <w:top w:val="single" w:color="999999" w:sz="1"/>
              <w:left w:val="single" w:color="999999" w:sz="1"/>
              <w:bottom w:val="single" w:color="999999" w:sz="1"/>
              <w:right w:val="single" w:color="999999" w:sz="1"/>
            </w:tcBorders>
          </w:tcPr>
          <w:p>
            <w:r>
              <w:rPr>
                <w:b/>
                <w:bCs/>
                <w:sz w:val="22"/>
                <w:szCs w:val="22"/>
              </w:rPr>
              <w:t xml:space="preserve">Volgzaamheid</w:t>
            </w:r>
          </w:p>
        </w:tc>
        <w:tc>
          <w:tcPr>
            <w:tcW w:type="dxa" w:w="5860"/>
            <w:tcBorders>
              <w:top w:val="single" w:color="999999" w:sz="1"/>
              <w:left w:val="single" w:color="999999" w:sz="1"/>
              <w:bottom w:val="single" w:color="999999" w:sz="1"/>
              <w:right w:val="single" w:color="999999" w:sz="1"/>
            </w:tcBorders>
          </w:tcPr>
          <w:p>
            <w:r>
              <w:rPr>
                <w:sz w:val="22"/>
                <w:szCs w:val="22"/>
              </w:rPr>
              <w:t xml:space="preserve">Accepteert alles - geen weerstand</w:t>
            </w:r>
          </w:p>
        </w:tc>
      </w:tr>
      <w:tr>
        <w:tc>
          <w:tcPr>
            <w:tcW w:type="dxa" w:w="3500"/>
            <w:tcBorders>
              <w:top w:val="single" w:color="999999" w:sz="1"/>
              <w:left w:val="single" w:color="999999" w:sz="1"/>
              <w:bottom w:val="single" w:color="999999" w:sz="1"/>
              <w:right w:val="single" w:color="999999" w:sz="1"/>
            </w:tcBorders>
          </w:tcPr>
          <w:p>
            <w:r>
              <w:rPr>
                <w:b/>
                <w:bCs/>
                <w:sz w:val="22"/>
                <w:szCs w:val="22"/>
              </w:rPr>
              <w:t xml:space="preserve">Apathie</w:t>
            </w:r>
          </w:p>
        </w:tc>
        <w:tc>
          <w:tcPr>
            <w:tcW w:type="dxa" w:w="5860"/>
            <w:tcBorders>
              <w:top w:val="single" w:color="999999" w:sz="1"/>
              <w:left w:val="single" w:color="999999" w:sz="1"/>
              <w:bottom w:val="single" w:color="999999" w:sz="1"/>
              <w:right w:val="single" w:color="999999" w:sz="1"/>
            </w:tcBorders>
          </w:tcPr>
          <w:p>
            <w:r>
              <w:rPr>
                <w:sz w:val="22"/>
                <w:szCs w:val="22"/>
              </w:rPr>
              <w:t xml:space="preserve">"Boeit me niet" - onverschilligheid</w:t>
            </w:r>
          </w:p>
        </w:tc>
      </w:tr>
      <w:tr>
        <w:tc>
          <w:tcPr>
            <w:tcW w:type="dxa" w:w="3500"/>
            <w:tcBorders>
              <w:top w:val="single" w:color="999999" w:sz="1"/>
              <w:left w:val="single" w:color="999999" w:sz="1"/>
              <w:bottom w:val="single" w:color="999999" w:sz="1"/>
              <w:right w:val="single" w:color="999999" w:sz="1"/>
            </w:tcBorders>
          </w:tcPr>
          <w:p>
            <w:r>
              <w:rPr>
                <w:b/>
                <w:bCs/>
                <w:sz w:val="22"/>
                <w:szCs w:val="22"/>
              </w:rPr>
              <w:t xml:space="preserve">Geheugenverlies</w:t>
            </w:r>
          </w:p>
        </w:tc>
        <w:tc>
          <w:tcPr>
            <w:tcW w:type="dxa" w:w="5860"/>
            <w:tcBorders>
              <w:top w:val="single" w:color="999999" w:sz="1"/>
              <w:left w:val="single" w:color="999999" w:sz="1"/>
              <w:bottom w:val="single" w:color="999999" w:sz="1"/>
              <w:right w:val="single" w:color="999999" w:sz="1"/>
            </w:tcBorders>
          </w:tcPr>
          <w:p>
            <w:r>
              <w:rPr>
                <w:sz w:val="22"/>
                <w:szCs w:val="22"/>
              </w:rPr>
              <w:t xml:space="preserve">Vergeet schandalen - geen leereffect</w:t>
            </w:r>
          </w:p>
        </w:tc>
      </w:tr>
      <w:tr>
        <w:tc>
          <w:tcPr>
            <w:tcW w:type="dxa" w:w="3500"/>
            <w:tcBorders>
              <w:top w:val="single" w:color="999999" w:sz="1"/>
              <w:left w:val="single" w:color="999999" w:sz="1"/>
              <w:bottom w:val="single" w:color="999999" w:sz="1"/>
              <w:right w:val="single" w:color="999999" w:sz="1"/>
            </w:tcBorders>
          </w:tcPr>
          <w:p>
            <w:r>
              <w:rPr>
                <w:b/>
                <w:bCs/>
                <w:sz w:val="22"/>
                <w:szCs w:val="22"/>
              </w:rPr>
              <w:t xml:space="preserve">Verwarring</w:t>
            </w:r>
          </w:p>
        </w:tc>
        <w:tc>
          <w:tcPr>
            <w:tcW w:type="dxa" w:w="5860"/>
            <w:tcBorders>
              <w:top w:val="single" w:color="999999" w:sz="1"/>
              <w:left w:val="single" w:color="999999" w:sz="1"/>
              <w:bottom w:val="single" w:color="999999" w:sz="1"/>
              <w:right w:val="single" w:color="999999" w:sz="1"/>
            </w:tcBorders>
          </w:tcPr>
          <w:p>
            <w:r>
              <w:rPr>
                <w:sz w:val="22"/>
                <w:szCs w:val="22"/>
              </w:rPr>
              <w:t xml:space="preserve">Begrijpt niet wat er gebeurt</w:t>
            </w:r>
          </w:p>
        </w:tc>
      </w:tr>
      <w:tr>
        <w:tc>
          <w:tcPr>
            <w:tcW w:type="dxa" w:w="3500"/>
            <w:tcBorders>
              <w:top w:val="single" w:color="999999" w:sz="1"/>
              <w:left w:val="single" w:color="999999" w:sz="1"/>
              <w:bottom w:val="single" w:color="999999" w:sz="1"/>
              <w:right w:val="single" w:color="999999" w:sz="1"/>
            </w:tcBorders>
          </w:tcPr>
          <w:p>
            <w:r>
              <w:rPr>
                <w:b/>
                <w:bCs/>
                <w:sz w:val="22"/>
                <w:szCs w:val="22"/>
              </w:rPr>
              <w:t xml:space="preserve">Lethargie</w:t>
            </w:r>
          </w:p>
        </w:tc>
        <w:tc>
          <w:tcPr>
            <w:tcW w:type="dxa" w:w="5860"/>
            <w:tcBorders>
              <w:top w:val="single" w:color="999999" w:sz="1"/>
              <w:left w:val="single" w:color="999999" w:sz="1"/>
              <w:bottom w:val="single" w:color="999999" w:sz="1"/>
              <w:right w:val="single" w:color="999999" w:sz="1"/>
            </w:tcBorders>
          </w:tcPr>
          <w:p>
            <w:r>
              <w:rPr>
                <w:sz w:val="22"/>
                <w:szCs w:val="22"/>
              </w:rPr>
              <w:t xml:space="preserve">Te moe om te protesteren - luiheid</w:t>
            </w:r>
          </w:p>
        </w:tc>
      </w:tr>
      <w:tr>
        <w:tc>
          <w:tcPr>
            <w:tcW w:type="dxa" w:w="3500"/>
            <w:tcBorders>
              <w:top w:val="single" w:color="999999" w:sz="1"/>
              <w:left w:val="single" w:color="999999" w:sz="1"/>
              <w:bottom w:val="single" w:color="999999" w:sz="1"/>
              <w:right w:val="single" w:color="999999" w:sz="1"/>
            </w:tcBorders>
            <w:shd w:fill="FFEEEE" w:val="clear"/>
          </w:tcPr>
          <w:p>
            <w:r>
              <w:rPr>
                <w:b/>
                <w:bCs/>
                <w:color w:val="8B0000"/>
                <w:sz w:val="22"/>
                <w:szCs w:val="22"/>
              </w:rPr>
              <w:t xml:space="preserve">Paradoxale agressie</w:t>
            </w:r>
          </w:p>
        </w:tc>
        <w:tc>
          <w:tcPr>
            <w:tcW w:type="dxa" w:w="5860"/>
            <w:tcBorders>
              <w:top w:val="single" w:color="999999" w:sz="1"/>
              <w:left w:val="single" w:color="999999" w:sz="1"/>
              <w:bottom w:val="single" w:color="999999" w:sz="1"/>
              <w:right w:val="single" w:color="999999" w:sz="1"/>
            </w:tcBorders>
            <w:shd w:fill="FFEEEE" w:val="clear"/>
          </w:tcPr>
          <w:p>
            <w:r>
              <w:rPr>
                <w:sz w:val="22"/>
                <w:szCs w:val="22"/>
              </w:rPr>
              <w:t xml:space="preserve">Willekeurige uitbarstingen, VERKEERDE doelen</w:t>
            </w:r>
          </w:p>
        </w:tc>
      </w:tr>
    </w:tbl>
    <w:p>
      <w:pPr>
        <w:pStyle w:val="Heading2"/>
        <w:spacing w:before="400"/>
      </w:pPr>
      <w:r>
        <w:t xml:space="preserve">3.3 Het Paradoxale Effect</w:t>
      </w:r>
    </w:p>
    <w:p>
      <w:pPr>
        <w:spacing w:after="200"/>
      </w:pPr>
      <w:r>
        <w:t xml:space="preserve">De bevolking vertoont </w:t>
      </w:r>
      <w:r>
        <w:rPr>
          <w:b/>
          <w:bCs/>
        </w:rPr>
        <w:t xml:space="preserve">GEEN georganiseerd verzet</w:t>
      </w:r>
      <w:r>
        <w:t xml:space="preserve"> tegen het systeem, maar </w:t>
      </w:r>
      <w:r>
        <w:rPr>
          <w:b/>
          <w:bCs/>
        </w:rPr>
        <w:t xml:space="preserve">WEL willekeurige agressie</w:t>
      </w:r>
      <w:r>
        <w:t xml:space="preserve"> (zinloos geweld, verkeersagressie, huiselijk geweld). De woede wordt NIET gericht op de echte vijand.</w:t>
      </w:r>
    </w:p>
    <w:p>
      <w:pPr>
        <w:spacing w:after="200"/>
      </w:pPr>
      <w:r>
        <w:rPr>
          <w:i/>
          <w:iCs/>
          <w:color w:val="8B0000"/>
        </w:rPr>
        <w:t xml:space="preserve">Dit is de perfecte controlemethode: een volk dat te versuft is om te begrijpen, te mak om gecoördineerd te vechten, maar af en toe willekeurig ontploft - nooit gericht tegen de werkelijke machthebbers.</w:t>
      </w:r>
    </w:p>
    <w:p>
      <w:r>
        <w:br w:type="page"/>
      </w:r>
    </w:p>
    <w:p>
      <w:pPr>
        <w:pStyle w:val="Heading1"/>
      </w:pPr>
      <w:r>
        <w:t xml:space="preserve">DEEL 4: DE BLOEDPROP - BLACKROCK</w:t>
      </w:r>
    </w:p>
    <w:p>
      <w:pPr>
        <w:pStyle w:val="Heading2"/>
      </w:pPr>
      <w:r>
        <w:t xml:space="preserve">4.1 De Economische Bloedprop</w:t>
      </w:r>
    </w:p>
    <w:p>
      <w:pPr>
        <w:spacing w:after="200"/>
      </w:pPr>
      <w:r>
        <w:t xml:space="preserve">Terwijl de bevolking versuft is, onttrekt BlackRock </w:t>
      </w:r>
      <w:r>
        <w:rPr>
          <w:b/>
          <w:bCs/>
          <w:color w:val="8B0000"/>
          <w:sz w:val="28"/>
          <w:szCs w:val="28"/>
        </w:rPr>
        <w:t xml:space="preserve">$12,5 BILJOEN</w:t>
      </w:r>
      <w:r>
        <w:t xml:space="preserve"> uit de wereldeconomie. Dit geld circuleert niet - het is een BLOEDPROP die de economie verstikt.</w:t>
      </w:r>
    </w:p>
    <w:p>
      <w:pPr>
        <w:spacing w:after="200"/>
      </w:pPr>
      <w:r>
        <w:t xml:space="preserve">Net zoals een bloedprop de bloedstroom blokkeert en organen laat afsterven, blokkeert deze financiële concentratie de economische circulatie en laat gemeenschappen afsterven.</w:t>
      </w:r>
    </w:p>
    <w:p>
      <w:pPr>
        <w:pStyle w:val="Heading2"/>
      </w:pPr>
      <w:r>
        <w:t xml:space="preserve">4.2 Fink's Gastenlijst - ALLE Wereldleiders</w:t>
      </w:r>
    </w:p>
    <w:p>
      <w:pPr>
        <w:spacing w:after="200"/>
      </w:pPr>
      <w:r>
        <w:t xml:space="preserve">Larry Fink, CEO van BlackRock, zit aan tafel met </w:t>
      </w:r>
      <w:r>
        <w:rPr>
          <w:b/>
          <w:bCs/>
        </w:rPr>
        <w:t xml:space="preserve">ALLE wereldleiders</w:t>
      </w:r>
      <w:r>
        <w:t xml:space="preserve"> - democraten én dictators. Dit is geen toeval maar een systeem.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999999" w:sz="1"/>
              <w:left w:val="single" w:color="999999" w:sz="1"/>
              <w:bottom w:val="single" w:color="999999" w:sz="1"/>
              <w:right w:val="single" w:color="999999" w:sz="1"/>
            </w:tcBorders>
            <w:shd w:fill="000000" w:val="clear"/>
          </w:tcPr>
          <w:p>
            <w:pPr>
              <w:jc w:val="center"/>
            </w:pPr>
            <w:r>
              <w:rPr>
                <w:b/>
                <w:bCs/>
                <w:color w:val="FFFFFF"/>
                <w:sz w:val="22"/>
                <w:szCs w:val="22"/>
              </w:rPr>
              <w:t xml:space="preserve">Leider</w:t>
            </w:r>
          </w:p>
        </w:tc>
        <w:tc>
          <w:tcPr>
            <w:tcW w:type="dxa" w:w="2800"/>
            <w:tcBorders>
              <w:top w:val="single" w:color="999999" w:sz="1"/>
              <w:left w:val="single" w:color="999999" w:sz="1"/>
              <w:bottom w:val="single" w:color="999999" w:sz="1"/>
              <w:right w:val="single" w:color="999999" w:sz="1"/>
            </w:tcBorders>
            <w:shd w:fill="000000" w:val="clear"/>
          </w:tcPr>
          <w:p>
            <w:pPr>
              <w:jc w:val="center"/>
            </w:pPr>
            <w:r>
              <w:rPr>
                <w:b/>
                <w:bCs/>
                <w:color w:val="FFFFFF"/>
                <w:sz w:val="22"/>
                <w:szCs w:val="22"/>
              </w:rPr>
              <w:t xml:space="preserve">Land</w:t>
            </w:r>
          </w:p>
        </w:tc>
        <w:tc>
          <w:tcPr>
            <w:tcW w:type="dxa" w:w="3760"/>
            <w:tcBorders>
              <w:top w:val="single" w:color="999999" w:sz="1"/>
              <w:left w:val="single" w:color="999999" w:sz="1"/>
              <w:bottom w:val="single" w:color="999999" w:sz="1"/>
              <w:right w:val="single" w:color="999999" w:sz="1"/>
            </w:tcBorders>
            <w:shd w:fill="000000" w:val="clear"/>
          </w:tcPr>
          <w:p>
            <w:pPr>
              <w:jc w:val="center"/>
            </w:pPr>
            <w:r>
              <w:rPr>
                <w:b/>
                <w:bCs/>
                <w:color w:val="FFFFFF"/>
                <w:sz w:val="22"/>
                <w:szCs w:val="22"/>
              </w:rPr>
              <w:t xml:space="preserve">Connectie</w:t>
            </w:r>
          </w:p>
        </w:tc>
      </w:tr>
      <w:tr>
        <w:tc>
          <w:tcPr>
            <w:tcW w:type="dxa" w:w="2800"/>
            <w:tcBorders>
              <w:top w:val="single" w:color="999999" w:sz="1"/>
              <w:left w:val="single" w:color="999999" w:sz="1"/>
              <w:bottom w:val="single" w:color="999999" w:sz="1"/>
              <w:right w:val="single" w:color="999999" w:sz="1"/>
            </w:tcBorders>
          </w:tcPr>
          <w:p>
            <w:r>
              <w:rPr>
                <w:sz w:val="22"/>
                <w:szCs w:val="22"/>
              </w:rPr>
              <w:t xml:space="preserve">Xi Jinping</w:t>
            </w:r>
          </w:p>
        </w:tc>
        <w:tc>
          <w:tcPr>
            <w:tcW w:type="dxa" w:w="2800"/>
            <w:tcBorders>
              <w:top w:val="single" w:color="999999" w:sz="1"/>
              <w:left w:val="single" w:color="999999" w:sz="1"/>
              <w:bottom w:val="single" w:color="999999" w:sz="1"/>
              <w:right w:val="single" w:color="999999" w:sz="1"/>
            </w:tcBorders>
          </w:tcPr>
          <w:p>
            <w:r>
              <w:rPr>
                <w:sz w:val="22"/>
                <w:szCs w:val="22"/>
              </w:rPr>
              <w:t xml:space="preserve">China</w:t>
            </w:r>
          </w:p>
        </w:tc>
        <w:tc>
          <w:tcPr>
            <w:tcW w:type="dxa" w:w="3760"/>
            <w:tcBorders>
              <w:top w:val="single" w:color="999999" w:sz="1"/>
              <w:left w:val="single" w:color="999999" w:sz="1"/>
              <w:bottom w:val="single" w:color="999999" w:sz="1"/>
              <w:right w:val="single" w:color="999999" w:sz="1"/>
            </w:tcBorders>
          </w:tcPr>
          <w:p>
            <w:r>
              <w:rPr>
                <w:sz w:val="22"/>
                <w:szCs w:val="22"/>
              </w:rPr>
              <w:t xml:space="preserve">APEC 2023 - $40.000/stoel</w:t>
            </w:r>
          </w:p>
        </w:tc>
      </w:tr>
      <w:tr>
        <w:tc>
          <w:tcPr>
            <w:tcW w:type="dxa" w:w="2800"/>
            <w:tcBorders>
              <w:top w:val="single" w:color="999999" w:sz="1"/>
              <w:left w:val="single" w:color="999999" w:sz="1"/>
              <w:bottom w:val="single" w:color="999999" w:sz="1"/>
              <w:right w:val="single" w:color="999999" w:sz="1"/>
            </w:tcBorders>
          </w:tcPr>
          <w:p>
            <w:r>
              <w:rPr>
                <w:sz w:val="22"/>
                <w:szCs w:val="22"/>
              </w:rPr>
              <w:t xml:space="preserve">MBS</w:t>
            </w:r>
          </w:p>
        </w:tc>
        <w:tc>
          <w:tcPr>
            <w:tcW w:type="dxa" w:w="2800"/>
            <w:tcBorders>
              <w:top w:val="single" w:color="999999" w:sz="1"/>
              <w:left w:val="single" w:color="999999" w:sz="1"/>
              <w:bottom w:val="single" w:color="999999" w:sz="1"/>
              <w:right w:val="single" w:color="999999" w:sz="1"/>
            </w:tcBorders>
          </w:tcPr>
          <w:p>
            <w:r>
              <w:rPr>
                <w:sz w:val="22"/>
                <w:szCs w:val="22"/>
              </w:rPr>
              <w:t xml:space="preserve">Saoedi-Arabië</w:t>
            </w:r>
          </w:p>
        </w:tc>
        <w:tc>
          <w:tcPr>
            <w:tcW w:type="dxa" w:w="3760"/>
            <w:tcBorders>
              <w:top w:val="single" w:color="999999" w:sz="1"/>
              <w:left w:val="single" w:color="999999" w:sz="1"/>
              <w:bottom w:val="single" w:color="999999" w:sz="1"/>
              <w:right w:val="single" w:color="999999" w:sz="1"/>
            </w:tcBorders>
          </w:tcPr>
          <w:p>
            <w:r>
              <w:rPr>
                <w:sz w:val="22"/>
                <w:szCs w:val="22"/>
              </w:rPr>
              <w:t xml:space="preserve">Privédiners Riyadh</w:t>
            </w:r>
          </w:p>
        </w:tc>
      </w:tr>
      <w:tr>
        <w:tc>
          <w:tcPr>
            <w:tcW w:type="dxa" w:w="2800"/>
            <w:tcBorders>
              <w:top w:val="single" w:color="999999" w:sz="1"/>
              <w:left w:val="single" w:color="999999" w:sz="1"/>
              <w:bottom w:val="single" w:color="999999" w:sz="1"/>
              <w:right w:val="single" w:color="999999" w:sz="1"/>
            </w:tcBorders>
          </w:tcPr>
          <w:p>
            <w:r>
              <w:rPr>
                <w:sz w:val="22"/>
                <w:szCs w:val="22"/>
              </w:rPr>
              <w:t xml:space="preserve">Macron</w:t>
            </w:r>
          </w:p>
        </w:tc>
        <w:tc>
          <w:tcPr>
            <w:tcW w:type="dxa" w:w="2800"/>
            <w:tcBorders>
              <w:top w:val="single" w:color="999999" w:sz="1"/>
              <w:left w:val="single" w:color="999999" w:sz="1"/>
              <w:bottom w:val="single" w:color="999999" w:sz="1"/>
              <w:right w:val="single" w:color="999999" w:sz="1"/>
            </w:tcBorders>
          </w:tcPr>
          <w:p>
            <w:r>
              <w:rPr>
                <w:sz w:val="22"/>
                <w:szCs w:val="22"/>
              </w:rPr>
              <w:t xml:space="preserve">Frankrijk</w:t>
            </w:r>
          </w:p>
        </w:tc>
        <w:tc>
          <w:tcPr>
            <w:tcW w:type="dxa" w:w="3760"/>
            <w:tcBorders>
              <w:top w:val="single" w:color="999999" w:sz="1"/>
              <w:left w:val="single" w:color="999999" w:sz="1"/>
              <w:bottom w:val="single" w:color="999999" w:sz="1"/>
              <w:right w:val="single" w:color="999999" w:sz="1"/>
            </w:tcBorders>
          </w:tcPr>
          <w:p>
            <w:r>
              <w:rPr>
                <w:sz w:val="22"/>
                <w:szCs w:val="22"/>
              </w:rPr>
              <w:t xml:space="preserve">Pensioenhervorming doorgedrukt</w:t>
            </w:r>
          </w:p>
        </w:tc>
      </w:tr>
      <w:tr>
        <w:tc>
          <w:tcPr>
            <w:tcW w:type="dxa" w:w="2800"/>
            <w:tcBorders>
              <w:top w:val="single" w:color="999999" w:sz="1"/>
              <w:left w:val="single" w:color="999999" w:sz="1"/>
              <w:bottom w:val="single" w:color="999999" w:sz="1"/>
              <w:right w:val="single" w:color="999999" w:sz="1"/>
            </w:tcBorders>
            <w:shd w:fill="FFEEEE" w:val="clear"/>
          </w:tcPr>
          <w:p>
            <w:r>
              <w:rPr>
                <w:b/>
                <w:bCs/>
                <w:sz w:val="22"/>
                <w:szCs w:val="22"/>
              </w:rPr>
              <w:t xml:space="preserve">Friedrich Merz</w:t>
            </w:r>
          </w:p>
        </w:tc>
        <w:tc>
          <w:tcPr>
            <w:tcW w:type="dxa" w:w="2800"/>
            <w:tcBorders>
              <w:top w:val="single" w:color="999999" w:sz="1"/>
              <w:left w:val="single" w:color="999999" w:sz="1"/>
              <w:bottom w:val="single" w:color="999999" w:sz="1"/>
              <w:right w:val="single" w:color="999999" w:sz="1"/>
            </w:tcBorders>
            <w:shd w:fill="FFEEEE" w:val="clear"/>
          </w:tcPr>
          <w:p>
            <w:r>
              <w:rPr>
                <w:sz w:val="22"/>
                <w:szCs w:val="22"/>
              </w:rPr>
              <w:t xml:space="preserve">Duitsland</w:t>
            </w:r>
          </w:p>
        </w:tc>
        <w:tc>
          <w:tcPr>
            <w:tcW w:type="dxa" w:w="3760"/>
            <w:tcBorders>
              <w:top w:val="single" w:color="999999" w:sz="1"/>
              <w:left w:val="single" w:color="999999" w:sz="1"/>
              <w:bottom w:val="single" w:color="999999" w:sz="1"/>
              <w:right w:val="single" w:color="999999" w:sz="1"/>
            </w:tcBorders>
            <w:shd w:fill="FFEEEE" w:val="clear"/>
          </w:tcPr>
          <w:p>
            <w:r>
              <w:rPr>
                <w:b/>
                <w:bCs/>
                <w:color w:val="8B0000"/>
                <w:sz w:val="22"/>
                <w:szCs w:val="22"/>
              </w:rPr>
              <w:t xml:space="preserve">EX-BLACKROCK → Bondskanselier</w:t>
            </w:r>
          </w:p>
        </w:tc>
      </w:tr>
      <w:tr>
        <w:tc>
          <w:tcPr>
            <w:tcW w:type="dxa" w:w="2800"/>
            <w:tcBorders>
              <w:top w:val="single" w:color="999999" w:sz="1"/>
              <w:left w:val="single" w:color="999999" w:sz="1"/>
              <w:bottom w:val="single" w:color="999999" w:sz="1"/>
              <w:right w:val="single" w:color="999999" w:sz="1"/>
            </w:tcBorders>
          </w:tcPr>
          <w:p>
            <w:r>
              <w:rPr>
                <w:sz w:val="22"/>
                <w:szCs w:val="22"/>
              </w:rPr>
              <w:t xml:space="preserve">Trump</w:t>
            </w:r>
          </w:p>
        </w:tc>
        <w:tc>
          <w:tcPr>
            <w:tcW w:type="dxa" w:w="2800"/>
            <w:tcBorders>
              <w:top w:val="single" w:color="999999" w:sz="1"/>
              <w:left w:val="single" w:color="999999" w:sz="1"/>
              <w:bottom w:val="single" w:color="999999" w:sz="1"/>
              <w:right w:val="single" w:color="999999" w:sz="1"/>
            </w:tcBorders>
          </w:tcPr>
          <w:p>
            <w:r>
              <w:rPr>
                <w:sz w:val="22"/>
                <w:szCs w:val="22"/>
              </w:rPr>
              <w:t xml:space="preserve">VS</w:t>
            </w:r>
          </w:p>
        </w:tc>
        <w:tc>
          <w:tcPr>
            <w:tcW w:type="dxa" w:w="3760"/>
            <w:tcBorders>
              <w:top w:val="single" w:color="999999" w:sz="1"/>
              <w:left w:val="single" w:color="999999" w:sz="1"/>
              <w:bottom w:val="single" w:color="999999" w:sz="1"/>
              <w:right w:val="single" w:color="999999" w:sz="1"/>
            </w:tcBorders>
          </w:tcPr>
          <w:p>
            <w:r>
              <w:rPr>
                <w:sz w:val="22"/>
                <w:szCs w:val="22"/>
              </w:rPr>
              <w:t xml:space="preserve">Mar-a-Lago ontmoetingen</w:t>
            </w:r>
          </w:p>
        </w:tc>
      </w:tr>
      <w:tr>
        <w:tc>
          <w:tcPr>
            <w:tcW w:type="dxa" w:w="2800"/>
            <w:tcBorders>
              <w:top w:val="single" w:color="999999" w:sz="1"/>
              <w:left w:val="single" w:color="999999" w:sz="1"/>
              <w:bottom w:val="single" w:color="999999" w:sz="1"/>
              <w:right w:val="single" w:color="999999" w:sz="1"/>
            </w:tcBorders>
          </w:tcPr>
          <w:p>
            <w:r>
              <w:rPr>
                <w:sz w:val="22"/>
                <w:szCs w:val="22"/>
              </w:rPr>
              <w:t xml:space="preserve">Biden/Obama</w:t>
            </w:r>
          </w:p>
        </w:tc>
        <w:tc>
          <w:tcPr>
            <w:tcW w:type="dxa" w:w="2800"/>
            <w:tcBorders>
              <w:top w:val="single" w:color="999999" w:sz="1"/>
              <w:left w:val="single" w:color="999999" w:sz="1"/>
              <w:bottom w:val="single" w:color="999999" w:sz="1"/>
              <w:right w:val="single" w:color="999999" w:sz="1"/>
            </w:tcBorders>
          </w:tcPr>
          <w:p>
            <w:r>
              <w:rPr>
                <w:sz w:val="22"/>
                <w:szCs w:val="22"/>
              </w:rPr>
              <w:t xml:space="preserve">VS</w:t>
            </w:r>
          </w:p>
        </w:tc>
        <w:tc>
          <w:tcPr>
            <w:tcW w:type="dxa" w:w="3760"/>
            <w:tcBorders>
              <w:top w:val="single" w:color="999999" w:sz="1"/>
              <w:left w:val="single" w:color="999999" w:sz="1"/>
              <w:bottom w:val="single" w:color="999999" w:sz="1"/>
              <w:right w:val="single" w:color="999999" w:sz="1"/>
            </w:tcBorders>
          </w:tcPr>
          <w:p>
            <w:r>
              <w:rPr>
                <w:sz w:val="22"/>
                <w:szCs w:val="22"/>
              </w:rPr>
              <w:t xml:space="preserve">Federal Reserve connecties</w:t>
            </w:r>
          </w:p>
        </w:tc>
      </w:tr>
      <w:tr>
        <w:tc>
          <w:tcPr>
            <w:tcW w:type="dxa" w:w="2800"/>
            <w:tcBorders>
              <w:top w:val="single" w:color="999999" w:sz="1"/>
              <w:left w:val="single" w:color="999999" w:sz="1"/>
              <w:bottom w:val="single" w:color="999999" w:sz="1"/>
              <w:right w:val="single" w:color="999999" w:sz="1"/>
            </w:tcBorders>
          </w:tcPr>
          <w:p>
            <w:r>
              <w:rPr>
                <w:sz w:val="22"/>
                <w:szCs w:val="22"/>
              </w:rPr>
              <w:t xml:space="preserve">Starmer</w:t>
            </w:r>
          </w:p>
        </w:tc>
        <w:tc>
          <w:tcPr>
            <w:tcW w:type="dxa" w:w="2800"/>
            <w:tcBorders>
              <w:top w:val="single" w:color="999999" w:sz="1"/>
              <w:left w:val="single" w:color="999999" w:sz="1"/>
              <w:bottom w:val="single" w:color="999999" w:sz="1"/>
              <w:right w:val="single" w:color="999999" w:sz="1"/>
            </w:tcBorders>
          </w:tcPr>
          <w:p>
            <w:r>
              <w:rPr>
                <w:sz w:val="22"/>
                <w:szCs w:val="22"/>
              </w:rPr>
              <w:t xml:space="preserve">UK</w:t>
            </w:r>
          </w:p>
        </w:tc>
        <w:tc>
          <w:tcPr>
            <w:tcW w:type="dxa" w:w="3760"/>
            <w:tcBorders>
              <w:top w:val="single" w:color="999999" w:sz="1"/>
              <w:left w:val="single" w:color="999999" w:sz="1"/>
              <w:bottom w:val="single" w:color="999999" w:sz="1"/>
              <w:right w:val="single" w:color="999999" w:sz="1"/>
            </w:tcBorders>
          </w:tcPr>
          <w:p>
            <w:r>
              <w:rPr>
                <w:sz w:val="22"/>
                <w:szCs w:val="22"/>
              </w:rPr>
              <w:t xml:space="preserve">Pensioenfonds beheer</w:t>
            </w:r>
          </w:p>
        </w:tc>
      </w:tr>
    </w:tbl>
    <w:p>
      <w:pPr>
        <w:pStyle w:val="Heading2"/>
        <w:spacing w:before="400"/>
      </w:pPr>
      <w:r>
        <w:t xml:space="preserve">4.3 Het Patroon: Fink Belooft → Fink Krijgt</w:t>
      </w:r>
    </w:p>
    <w:p>
      <w:pPr>
        <w:spacing w:after="200"/>
      </w:pPr>
      <w:r>
        <w:rPr>
          <w:b/>
          <w:bCs/>
        </w:rPr>
        <w:t xml:space="preserve">Frankrijk: </w:t>
      </w:r>
      <w:r>
        <w:t xml:space="preserve">Macron dineert met Fink → Pensioenhervorming ondanks massaal protest → BlackRock beheert Frans pensioengeld</w:t>
      </w:r>
    </w:p>
    <w:p>
      <w:pPr>
        <w:spacing w:after="200"/>
      </w:pPr>
      <w:r>
        <w:rPr>
          <w:b/>
          <w:bCs/>
        </w:rPr>
        <w:t xml:space="preserve">Duitsland: </w:t>
      </w:r>
      <w:r>
        <w:t xml:space="preserve">Merz was BlackRock bestuurder → Wordt Bondskanselier → BlackRock krijgt toegang tot Duitse pensioenen</w:t>
      </w:r>
    </w:p>
    <w:p>
      <w:pPr>
        <w:spacing w:after="200"/>
      </w:pPr>
      <w:r>
        <w:rPr>
          <w:b/>
          <w:bCs/>
        </w:rPr>
        <w:t xml:space="preserve">Nederland: </w:t>
      </w:r>
      <w:r>
        <w:t xml:space="preserve">Pensioenfondsen beleggen bij BlackRock → Burgers hebben geen keuze → Geld stroomt naar de bloedprop</w:t>
      </w:r>
    </w:p>
    <w:p>
      <w:r>
        <w:br w:type="page"/>
      </w:r>
    </w:p>
    <w:p>
      <w:pPr>
        <w:pStyle w:val="Heading1"/>
      </w:pPr>
      <w:r>
        <w:t xml:space="preserve">DEEL 5: DE POORTWACHTERS</w:t>
      </w:r>
    </w:p>
    <w:p>
      <w:pPr>
        <w:pStyle w:val="Heading2"/>
      </w:pPr>
      <w:r>
        <w:t xml:space="preserve">5.1 Frans Timmermans - De Haastige Overstap</w:t>
      </w:r>
    </w:p>
    <w:p>
      <w:pPr>
        <w:spacing w:after="200"/>
      </w:pPr>
      <w:r>
        <w:t xml:space="preserve">In juli 2023 viel kabinet Rutte IV. Wat volgde was opmerkelijk:</w:t>
      </w:r>
    </w:p>
    <w:p>
      <w:pPr>
        <w:pStyle w:val="ListParagraph"/>
        <w:numPr>
          <w:ilvl w:val="0"/>
          <w:numId w:val="3"/>
        </w:numPr>
      </w:pPr>
      <w:r>
        <w:rPr>
          <w:b/>
          <w:bCs/>
        </w:rPr>
        <w:t xml:space="preserve">20 juli 2023: </w:t>
      </w:r>
      <w:r>
        <w:t xml:space="preserve">Timmermans stelt zich kandidaat - zijn EU-termijn loopt nog tot zomer 2024</w:t>
      </w:r>
    </w:p>
    <w:p>
      <w:pPr>
        <w:pStyle w:val="ListParagraph"/>
        <w:numPr>
          <w:ilvl w:val="0"/>
          <w:numId w:val="3"/>
        </w:numPr>
      </w:pPr>
      <w:r>
        <w:rPr>
          <w:b/>
          <w:bCs/>
        </w:rPr>
        <w:t xml:space="preserve">22 augustus 2023: </w:t>
      </w:r>
      <w:r>
        <w:t xml:space="preserve">92% leden kiezen hem, hij legt DIRECT zijn EU-functie neer</w:t>
      </w:r>
    </w:p>
    <w:p>
      <w:pPr>
        <w:pStyle w:val="ListParagraph"/>
        <w:numPr>
          <w:ilvl w:val="0"/>
          <w:numId w:val="3"/>
        </w:numPr>
      </w:pPr>
      <w:r>
        <w:rPr>
          <w:b/>
          <w:bCs/>
        </w:rPr>
        <w:t xml:space="preserve">November 2023: </w:t>
      </w:r>
      <w:r>
        <w:t xml:space="preserve">PVV wint, Timmermans wilde premier worden</w:t>
      </w:r>
    </w:p>
    <w:p>
      <w:pPr>
        <w:pStyle w:val="ListParagraph"/>
        <w:numPr>
          <w:ilvl w:val="0"/>
          <w:numId w:val="3"/>
        </w:numPr>
        <w:spacing w:after="200"/>
      </w:pPr>
      <w:r>
        <w:rPr>
          <w:b/>
          <w:bCs/>
        </w:rPr>
        <w:t xml:space="preserve">Oktober 2025: </w:t>
      </w:r>
      <w:r>
        <w:t xml:space="preserve">Stapt op als partijleider na verlies</w:t>
      </w:r>
    </w:p>
    <w:p>
      <w:pPr>
        <w:spacing w:after="200"/>
      </w:pPr>
      <w:r>
        <w:rPr>
          <w:b/>
          <w:bCs/>
          <w:color w:val="8B0000"/>
        </w:rPr>
        <w:t xml:space="preserve">Waarom verliet Timmermans zijn machtige EU-positie EEN JAAR te vroeg?</w:t>
      </w:r>
    </w:p>
    <w:p>
      <w:pPr>
        <w:spacing w:after="200"/>
      </w:pPr>
      <w:r>
        <w:t xml:space="preserve">Als Vice-Voorzitter van de EU Commissie en architect van de Green Deal had Timmermans enorme macht. Toch gooide hij dit weg voor een </w:t>
      </w:r>
      <w:r>
        <w:rPr>
          <w:i/>
          <w:iCs/>
        </w:rPr>
        <w:t xml:space="preserve">gok op het premierschap</w:t>
      </w:r>
      <w:r>
        <w:t xml:space="preserve">.</w:t>
      </w:r>
    </w:p>
    <w:p>
      <w:pPr>
        <w:pStyle w:val="Heading2"/>
      </w:pPr>
      <w:r>
        <w:t xml:space="preserve">5.2 De Green Deal als Dekmantel</w:t>
      </w:r>
    </w:p>
    <w:p>
      <w:pPr>
        <w:spacing w:after="200"/>
      </w:pPr>
      <w:r>
        <w:t xml:space="preserve">De Green Deal dwingt boeren van hun land, maakt voedselproductie afhankelijk van grote multinationals (ADM, Cargill, JBS), en centraliseert controle over de voedselketen. Dezelfde bedrijven waarin BlackRock grootaandeelhouder is.</w:t>
      </w:r>
    </w:p>
    <w:p>
      <w:r>
        <w:br w:type="page"/>
      </w:r>
    </w:p>
    <w:p>
      <w:pPr>
        <w:pStyle w:val="Heading1"/>
      </w:pPr>
      <w:r>
        <w:t xml:space="preserve">DEEL 6: CONCLUSIE - HET COMPLETE PLAATJE</w:t>
      </w:r>
    </w:p>
    <w:p>
      <w:pPr>
        <w:spacing w:after="200"/>
      </w:pPr>
      <w:r>
        <w:rPr>
          <w:b/>
          <w:bCs/>
          <w:sz w:val="26"/>
          <w:szCs w:val="26"/>
        </w:rPr>
        <w:t xml:space="preserve">Het Paard van Troje werkt als volgt:</w:t>
      </w:r>
    </w:p>
    <w:p>
      <w:pPr>
        <w:pStyle w:val="ListParagraph"/>
        <w:numPr>
          <w:ilvl w:val="0"/>
          <w:numId w:val="5"/>
        </w:numPr>
      </w:pPr>
      <w:r>
        <w:rPr>
          <w:b/>
          <w:bCs/>
        </w:rPr>
        <w:t xml:space="preserve">VOEDSELKETEN: </w:t>
      </w:r>
      <w:r>
        <w:t xml:space="preserve">Datura in veevoer en moedwillige toediening maakt vee gedwee</w:t>
      </w:r>
    </w:p>
    <w:p>
      <w:pPr>
        <w:pStyle w:val="ListParagraph"/>
        <w:numPr>
          <w:ilvl w:val="0"/>
          <w:numId w:val="5"/>
        </w:numPr>
      </w:pPr>
      <w:r>
        <w:rPr>
          <w:b/>
          <w:bCs/>
        </w:rPr>
        <w:t xml:space="preserve">TRANSFER: </w:t>
      </w:r>
      <w:r>
        <w:t xml:space="preserve">Tropane alkaloïden komen via vlees en melk bij de bevolking</w:t>
      </w:r>
    </w:p>
    <w:p>
      <w:pPr>
        <w:pStyle w:val="ListParagraph"/>
        <w:numPr>
          <w:ilvl w:val="0"/>
          <w:numId w:val="5"/>
        </w:numPr>
      </w:pPr>
      <w:r>
        <w:rPr>
          <w:b/>
          <w:bCs/>
        </w:rPr>
        <w:t xml:space="preserve">NEUROLOGISCHE SCHADE: </w:t>
      </w:r>
      <w:r>
        <w:t xml:space="preserve">Chronische blootstelling veroorzaakt Alzheimer, Parkinson, dementie</w:t>
      </w:r>
    </w:p>
    <w:p>
      <w:pPr>
        <w:pStyle w:val="ListParagraph"/>
        <w:numPr>
          <w:ilvl w:val="0"/>
          <w:numId w:val="5"/>
        </w:numPr>
      </w:pPr>
      <w:r>
        <w:rPr>
          <w:b/>
          <w:bCs/>
        </w:rPr>
        <w:t xml:space="preserve">GEDRAGSEFFECT: </w:t>
      </w:r>
      <w:r>
        <w:t xml:space="preserve">Bevolking wordt mak, apathisch, vergeetachtig, met paradoxale agressie</w:t>
      </w:r>
    </w:p>
    <w:p>
      <w:pPr>
        <w:pStyle w:val="ListParagraph"/>
        <w:numPr>
          <w:ilvl w:val="0"/>
          <w:numId w:val="5"/>
        </w:numPr>
      </w:pPr>
      <w:r>
        <w:rPr>
          <w:b/>
          <w:bCs/>
        </w:rPr>
        <w:t xml:space="preserve">ECONOMISCHE PLUNDERING: </w:t>
      </w:r>
      <w:r>
        <w:t xml:space="preserve">BlackRock onttrekt $12,5 biljoen terwijl niemand protesteert</w:t>
      </w:r>
    </w:p>
    <w:p>
      <w:pPr>
        <w:pStyle w:val="ListParagraph"/>
        <w:numPr>
          <w:ilvl w:val="0"/>
          <w:numId w:val="5"/>
        </w:numPr>
        <w:spacing w:after="200"/>
      </w:pPr>
      <w:r>
        <w:rPr>
          <w:b/>
          <w:bCs/>
        </w:rPr>
        <w:t xml:space="preserve">POLITIEKE DEKKING: </w:t>
      </w:r>
      <w:r>
        <w:t xml:space="preserve">Poortwachters als Timmermans faciliteren het systeem</w:t>
      </w:r>
    </w:p>
    <w:p>
      <w:pPr>
        <w:spacing w:after="200"/>
      </w:pPr>
      <w:r>
        <w:rPr>
          <w:i/>
          <w:iCs/>
          <w:color w:val="8B0000"/>
          <w:sz w:val="26"/>
          <w:szCs w:val="26"/>
        </w:rPr>
        <w:t xml:space="preserve">Dictators krijgen vrij spel. Fink zit met iedereen aan tafel. De wereldbevolking is te versuft om weerstand te bieden.</w:t>
      </w:r>
    </w:p>
    <w:p>
      <w:pPr>
        <w:pStyle w:val="Heading2"/>
      </w:pPr>
      <w:r>
        <w:t xml:space="preserve">Vragen voor EPPO en FDF</w:t>
      </w:r>
    </w:p>
    <w:p>
      <w:pPr>
        <w:pStyle w:val="ListParagraph"/>
        <w:numPr>
          <w:ilvl w:val="0"/>
          <w:numId w:val="3"/>
        </w:numPr>
      </w:pPr>
      <w:r>
        <w:t xml:space="preserve">Waarom is er GEEN EU-controle op tropane alkaloïden in vlees en melk?</w:t>
      </w:r>
    </w:p>
    <w:p>
      <w:pPr>
        <w:pStyle w:val="ListParagraph"/>
        <w:numPr>
          <w:ilvl w:val="0"/>
          <w:numId w:val="3"/>
        </w:numPr>
      </w:pPr>
      <w:r>
        <w:t xml:space="preserve">Wie profiteert van een versufde bevolking?</w:t>
      </w:r>
    </w:p>
    <w:p>
      <w:pPr>
        <w:pStyle w:val="ListParagraph"/>
        <w:numPr>
          <w:ilvl w:val="0"/>
          <w:numId w:val="3"/>
        </w:numPr>
      </w:pPr>
      <w:r>
        <w:t xml:space="preserve">Waarom worden de connecties tussen BlackRock en wereldleiders niet onderzocht?</w:t>
      </w:r>
    </w:p>
    <w:p>
      <w:pPr>
        <w:pStyle w:val="ListParagraph"/>
        <w:numPr>
          <w:ilvl w:val="0"/>
          <w:numId w:val="3"/>
        </w:numPr>
      </w:pPr>
      <w:r>
        <w:t xml:space="preserve">Waarom verliet Timmermans zijn EU-positie een jaar te vroeg?</w:t>
      </w:r>
    </w:p>
    <w:p>
      <w:pPr>
        <w:pStyle w:val="ListParagraph"/>
        <w:numPr>
          <w:ilvl w:val="0"/>
          <w:numId w:val="3"/>
        </w:numPr>
        <w:spacing w:after="400"/>
      </w:pPr>
      <w:r>
        <w:t xml:space="preserve">Waar is het geld van de Europese pensioenfondsen?</w:t>
      </w:r>
    </w:p>
    <w:p>
      <w:pPr>
        <w:spacing w:before="400"/>
      </w:pPr>
      <w:r>
        <w:rPr>
          <w:b/>
          <w:bCs/>
        </w:rPr>
        <w:t xml:space="preserve">Rapport opgesteld door:</w:t>
      </w:r>
    </w:p>
    <w:p>
      <w:r>
        <w:t xml:space="preserve">Eco Speed Forests</w:t>
      </w:r>
    </w:p>
    <w:p>
      <w:r>
        <w:t xml:space="preserve">KVK: 93722524</w:t>
      </w:r>
    </w:p>
    <w:p>
      <w:r>
        <w:t xml:space="preserve">Heemskerk, Nederland</w:t>
      </w:r>
    </w:p>
    <w:p>
      <w:pPr>
        <w:spacing w:after="200"/>
      </w:pPr>
      <w:r>
        <w:t xml:space="preserve">December 2024</w:t>
      </w:r>
    </w:p>
    <w:p>
      <w:pPr>
        <w:spacing w:before="200"/>
      </w:pPr>
      <w:r>
        <w:rPr>
          <w:i/>
          <w:iCs/>
          <w:sz w:val="22"/>
          <w:szCs w:val="22"/>
        </w:rPr>
        <w:t xml:space="preserve">"Het Paard van Troje komt binnen als geschenk, maar vernietigt van binnenuit."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Pagina </w:t>
    </w:r>
    <w:r>
      <w:rPr>
        <w:sz w:val="20"/>
        <w:szCs w:val="20"/>
      </w:rPr>
      <w:fldChar w:fldCharType="begin"/>
      <w:instrText xml:space="preserve">PAGE</w:instrText>
      <w:fldChar w:fldCharType="separate"/>
      <w:fldChar w:fldCharType="end"/>
    </w:r>
    <w:r>
      <w:rPr>
        <w:sz w:val="20"/>
        <w:szCs w:val="20"/>
      </w:rPr>
      <w:t xml:space="preserve"> van </w:t>
    </w:r>
    <w:r>
      <w:rPr>
        <w:sz w:val="20"/>
        <w:szCs w:val="20"/>
      </w:rPr>
      <w:fldChar w:fldCharType="begin"/>
      <w:instrText xml:space="preserve">NUMPAGES</w:instrText>
      <w:fldChar w:fldCharType="separate"/>
      <w:fldChar w:fldCharType="end"/>
    </w:r>
    <w:r>
      <w:rPr>
        <w:sz w:val="20"/>
        <w:szCs w:val="20"/>
      </w:rPr>
      <w:t xml:space="preserve"> | Het Paard van Troje | Eco Speed Forests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VERTROUWELIJK - EPPO / FDF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8B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8B0000"/>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2025-12-13T19:27:42.219Z</dcterms:created>
  <dcterms:modified xsi:type="dcterms:W3CDTF">2025-12-13T19:27:42.220Z</dcterms:modified>
</cp:coreProperties>
</file>

<file path=docProps/custom.xml><?xml version="1.0" encoding="utf-8"?>
<Properties xmlns="http://schemas.openxmlformats.org/officeDocument/2006/custom-properties" xmlns:vt="http://schemas.openxmlformats.org/officeDocument/2006/docPropsVTypes"/>
</file>