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JBS DOSSIER</w:t>
      </w:r>
    </w:p>
    <w:p>
      <w:pPr>
        <w:spacing w:after="400"/>
        <w:jc w:val="center"/>
      </w:pPr>
      <w:r>
        <w:rPr>
          <w:i/>
          <w:iCs/>
          <w:color w:val="4a5568"/>
          <w:sz w:val="32"/>
          <w:szCs w:val="32"/>
        </w:rPr>
        <w:t xml:space="preserve">Hoe één familie meer schade aanricht dan heel Frankrijk</w:t>
      </w:r>
    </w:p>
    <w:p>
      <w:pPr>
        <w:spacing w:after="200"/>
        <w:jc w:val="center"/>
      </w:pPr>
      <w:r>
        <w:rPr>
          <w:color w:val="718096"/>
          <w:sz w:val="28"/>
          <w:szCs w:val="28"/>
        </w:rPr>
        <w:t xml:space="preserve">— en waarom de EU het toelaat</w:t>
      </w:r>
    </w:p>
    <w:p>
      <w:pPr>
        <w:spacing w:before="800"/>
      </w:pPr>
    </w:p>
    <w:p>
      <w:pPr>
        <w:jc w:val="center"/>
      </w:pPr>
      <w:r>
        <w:rPr>
          <w:b/>
          <w:bCs/>
          <w:color w:val="c53030"/>
          <w:sz w:val="28"/>
          <w:szCs w:val="28"/>
        </w:rPr>
        <w:t xml:space="preserve">FORENSISCH RAPPORT</w:t>
      </w:r>
    </w:p>
    <w:p>
      <w:pPr>
        <w:spacing w:after="600"/>
        <w:jc w:val="center"/>
      </w:pPr>
      <w:r>
        <w:rPr>
          <w:color w:val="718096"/>
          <w:sz w:val="24"/>
          <w:szCs w:val="24"/>
        </w:rPr>
        <w:t xml:space="preserve">Bijlage bij The Divine Deal</w:t>
      </w:r>
    </w:p>
    <w:p>
      <w:pPr>
        <w:spacing w:before="1200"/>
      </w:pPr>
    </w:p>
    <w:p>
      <w:pPr>
        <w:jc w:val="center"/>
      </w:pPr>
      <w:r>
        <w:rPr>
          <w:sz w:val="22"/>
          <w:szCs w:val="22"/>
        </w:rPr>
        <w:t xml:space="preserve">Opgesteld door:</w:t>
      </w:r>
    </w:p>
    <w:p>
      <w:pPr>
        <w:jc w:val="center"/>
      </w:pPr>
      <w:r>
        <w:rPr>
          <w:b/>
          <w:bCs/>
          <w:sz w:val="24"/>
          <w:szCs w:val="24"/>
        </w:rPr>
        <w:t xml:space="preserve">Eco Speed Forests</w:t>
      </w:r>
    </w:p>
    <w:p>
      <w:pPr>
        <w:jc w:val="center"/>
      </w:pPr>
      <w:r>
        <w:rPr>
          <w:color w:val="718096"/>
          <w:sz w:val="20"/>
          <w:szCs w:val="20"/>
        </w:rPr>
        <w:t xml:space="preserve">KVK: 93722524</w:t>
      </w:r>
    </w:p>
    <w:p>
      <w:pPr>
        <w:spacing w:before="400"/>
      </w:pPr>
    </w:p>
    <w:p>
      <w:pPr>
        <w:jc w:val="center"/>
      </w:pPr>
      <w:r>
        <w:rPr>
          <w:sz w:val="22"/>
          <w:szCs w:val="22"/>
        </w:rPr>
        <w:t xml:space="preserve">December 2025</w:t>
      </w:r>
    </w:p>
    <w:p>
      <w:r>
        <w:br w:type="page"/>
      </w:r>
    </w:p>
    <w:p>
      <w:pPr>
        <w:pStyle w:val="Heading1"/>
      </w:pPr>
      <w:r>
        <w:t xml:space="preserve">SAMENVATTING VOOR BESLUITVORMERS</w:t>
      </w:r>
    </w:p>
    <w:p>
      <w:pPr>
        <w:spacing w:after="200"/>
      </w:pPr>
      <w:r>
        <w:t xml:space="preserve">Dit dossier onthult hoe JBS S.A., 's werelds grootste vleesbedrijf, gecontroleerd door de Braziliaanse familie Batista, jaarlijks meer broeikasgassen uitstoot dan heel Italië — terwijl het in officiële SEC-rapportages €7,2 miljard "winst" rapporteert.</w:t>
      </w:r>
    </w:p>
    <w:p>
      <w:pPr>
        <w:spacing w:after="200"/>
      </w:pPr>
      <w:r>
        <w:rPr>
          <w:b/>
          <w:bCs/>
        </w:rPr>
        <w:t xml:space="preserve">De kern van het probleem: </w:t>
      </w:r>
      <w:r>
        <w:t xml:space="preserve">Het huidige economische systeem heeft geen mechanisme om ecologische schade te belasten. JBS externaliseert alle milieukosten naar de planeet en boekt dit als winst.</w:t>
      </w:r>
    </w:p>
    <w:p>
      <w:pPr>
        <w:spacing w:after="200"/>
      </w:pPr>
      <w:r>
        <w:rPr>
          <w:b/>
          <w:bCs/>
        </w:rPr>
        <w:t xml:space="preserve">De oplossing: </w:t>
      </w:r>
      <w:r>
        <w:t xml:space="preserve">The Divine Deal introduceert verliesbelasting — een systeem waarbij bedrijven belasting betalen over de schade die ze veroorzaken, niet alleen over hun inkomsten.</w:t>
      </w:r>
    </w:p>
    <w:p>
      <w:pPr>
        <w:spacing w:before="300" w:after="100"/>
      </w:pPr>
      <w:r>
        <w:rPr>
          <w:b/>
          <w:bCs/>
          <w:sz w:val="24"/>
          <w:szCs w:val="24"/>
        </w:rPr>
        <w:t xml:space="preserve">KERNGETALLEN JBS S.A.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Officiële Rapportage (SEC)</w:t>
            </w:r>
          </w:p>
        </w:tc>
        <w:tc>
          <w:tcPr>
            <w:tcW w:type="dxa" w:w="4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Werkelijke Impact (IATP/GLEAM)</w:t>
            </w:r>
          </w:p>
        </w:tc>
      </w:tr>
      <w:tr>
        <w:tc>
          <w:tcPr>
            <w:tcW w:type="dxa" w:w="4500"/>
            <w:tcBorders>
              <w:top w:val="single" w:color="CCCCCC" w:sz="1"/>
              <w:left w:val="single" w:color="CCCCCC" w:sz="1"/>
              <w:bottom w:val="single" w:color="CCCCCC" w:sz="1"/>
              <w:right w:val="single" w:color="CCCCCC" w:sz="1"/>
            </w:tcBorders>
          </w:tcPr>
          <w:p>
            <w:r>
              <w:t xml:space="preserve">Omzet: $77,2 miljard</w:t>
            </w:r>
          </w:p>
        </w:tc>
        <w:tc>
          <w:tcPr>
            <w:tcW w:type="dxa" w:w="4500"/>
            <w:tcBorders>
              <w:top w:val="single" w:color="CCCCCC" w:sz="1"/>
              <w:left w:val="single" w:color="CCCCCC" w:sz="1"/>
              <w:bottom w:val="single" w:color="CCCCCC" w:sz="1"/>
              <w:right w:val="single" w:color="CCCCCC" w:sz="1"/>
            </w:tcBorders>
          </w:tcPr>
          <w:p>
            <w:r>
              <w:t xml:space="preserve">CO₂-uitstoot: 421,6 miljoen ton</w:t>
            </w:r>
          </w:p>
        </w:tc>
      </w:tr>
      <w:tr>
        <w:tc>
          <w:tcPr>
            <w:tcW w:type="dxa" w:w="4500"/>
            <w:tcBorders>
              <w:top w:val="single" w:color="CCCCCC" w:sz="1"/>
              <w:left w:val="single" w:color="CCCCCC" w:sz="1"/>
              <w:bottom w:val="single" w:color="CCCCCC" w:sz="1"/>
              <w:right w:val="single" w:color="CCCCCC" w:sz="1"/>
            </w:tcBorders>
            <w:shd w:fill="f7fafc" w:val="clear"/>
          </w:tcPr>
          <w:p>
            <w:r>
              <w:t xml:space="preserve">EBITDA: $7,2 miljard</w:t>
            </w:r>
          </w:p>
        </w:tc>
        <w:tc>
          <w:tcPr>
            <w:tcW w:type="dxa" w:w="4500"/>
            <w:tcBorders>
              <w:top w:val="single" w:color="CCCCCC" w:sz="1"/>
              <w:left w:val="single" w:color="CCCCCC" w:sz="1"/>
              <w:bottom w:val="single" w:color="CCCCCC" w:sz="1"/>
              <w:right w:val="single" w:color="CCCCCC" w:sz="1"/>
            </w:tcBorders>
            <w:shd w:fill="f7fafc" w:val="clear"/>
          </w:tcPr>
          <w:p>
            <w:r>
              <w:t xml:space="preserve">Ontbossing: 1,5 miljoen hectare</w:t>
            </w:r>
          </w:p>
        </w:tc>
      </w:tr>
      <w:tr>
        <w:tc>
          <w:tcPr>
            <w:tcW w:type="dxa" w:w="4500"/>
            <w:tcBorders>
              <w:top w:val="single" w:color="CCCCCC" w:sz="1"/>
              <w:left w:val="single" w:color="CCCCCC" w:sz="1"/>
              <w:bottom w:val="single" w:color="CCCCCC" w:sz="1"/>
              <w:right w:val="single" w:color="CCCCCC" w:sz="1"/>
            </w:tcBorders>
          </w:tcPr>
          <w:p>
            <w:r>
              <w:t xml:space="preserve">Netto winst: $2,0 miljard</w:t>
            </w:r>
          </w:p>
        </w:tc>
        <w:tc>
          <w:tcPr>
            <w:tcW w:type="dxa" w:w="4500"/>
            <w:tcBorders>
              <w:top w:val="single" w:color="CCCCCC" w:sz="1"/>
              <w:left w:val="single" w:color="CCCCCC" w:sz="1"/>
              <w:bottom w:val="single" w:color="CCCCCC" w:sz="1"/>
              <w:right w:val="single" w:color="CCCCCC" w:sz="1"/>
            </w:tcBorders>
          </w:tcPr>
          <w:p>
            <w:r>
              <w:rPr>
                <w:b/>
                <w:bCs/>
                <w:color w:val="c53030"/>
              </w:rPr>
              <w:t xml:space="preserve">Verschuldigde verliesbelasting: €21,08 miljard</w:t>
            </w:r>
          </w:p>
        </w:tc>
      </w:tr>
    </w:tbl>
    <w:p>
      <w:pPr>
        <w:shd w:fill="fff5f5" w:val="clear"/>
        <w:spacing w:before="300" w:after="200"/>
      </w:pPr>
      <w:r>
        <w:rPr>
          <w:b/>
          <w:bCs/>
          <w:color w:val="c53030"/>
        </w:rPr>
        <w:t xml:space="preserve">CONCLUSIE: </w:t>
      </w:r>
      <w:r>
        <w:rPr>
          <w:color w:val="c53030"/>
        </w:rPr>
        <w:t xml:space="preserve">JBS is geen winstgevend bedrijf. Het is een ecologische parasiet die €14 miljard VERLIES maakt wanneer de werkelijke kosten worden meegerekend.</w:t>
      </w:r>
    </w:p>
    <w:p>
      <w:r>
        <w:br w:type="page"/>
      </w:r>
    </w:p>
    <w:p>
      <w:pPr>
        <w:pStyle w:val="Heading1"/>
      </w:pPr>
      <w:r>
        <w:t xml:space="preserve">1. BEDRIJFSPROFIEL JBS S.A.</w:t>
      </w:r>
    </w:p>
    <w:p>
      <w:pPr>
        <w:pStyle w:val="Heading2"/>
      </w:pPr>
      <w:r>
        <w:t xml:space="preserve">1.1 Eigendomsstructuur</w:t>
      </w:r>
    </w:p>
    <w:p>
      <w:pPr>
        <w:spacing w:after="200"/>
      </w:pPr>
      <w:r>
        <w:t xml:space="preserve">JBS S.A. is gevestigd in São Paulo, Brazilië en wordt gecontroleerd door J&amp;F Investimentos S.A., eigendom van de broers Joesley en Wesley Mendonça Batista. De familie Batista bezit circa 42% van de aandelen en heeft volledige operationele controle.</w:t>
      </w:r>
    </w:p>
    <w:p>
      <w:pPr>
        <w:pStyle w:val="Heading2"/>
      </w:pPr>
      <w:r>
        <w:t xml:space="preserve">1.2 Omvang operaties</w:t>
      </w:r>
    </w:p>
    <w:p>
      <w:pPr>
        <w:spacing w:after="100"/>
      </w:pPr>
      <w:r>
        <w:t xml:space="preserve">JBS is 's werelds grootste vleesbedrijf met operaties in Brazilië, Verenigde Staten, Australië en Europa. Jaarlijkse verwerking (2021):</w:t>
      </w:r>
    </w:p>
    <w:p>
      <w:pPr>
        <w:pStyle w:val="ListParagraph"/>
        <w:numPr>
          <w:ilvl w:val="0"/>
          <w:numId w:val="2"/>
        </w:numPr>
      </w:pPr>
      <w:r>
        <w:t xml:space="preserve">Runderen: 26,8 miljoen stuks</w:t>
      </w:r>
    </w:p>
    <w:p>
      <w:pPr>
        <w:pStyle w:val="ListParagraph"/>
        <w:numPr>
          <w:ilvl w:val="0"/>
          <w:numId w:val="2"/>
        </w:numPr>
      </w:pPr>
      <w:r>
        <w:t xml:space="preserve">Varkens: 46,7 miljoen stuks</w:t>
      </w:r>
    </w:p>
    <w:p>
      <w:pPr>
        <w:pStyle w:val="ListParagraph"/>
        <w:numPr>
          <w:ilvl w:val="0"/>
          <w:numId w:val="2"/>
        </w:numPr>
      </w:pPr>
      <w:r>
        <w:t xml:space="preserve">Kippen: 4,9 miljard stuks</w:t>
      </w:r>
    </w:p>
    <w:p>
      <w:pPr>
        <w:pStyle w:val="ListParagraph"/>
        <w:numPr>
          <w:ilvl w:val="0"/>
          <w:numId w:val="2"/>
        </w:numPr>
        <w:spacing w:after="200"/>
      </w:pPr>
      <w:r>
        <w:t xml:space="preserve">Meer dan 250 verwerkingsfaciliteiten wereldwijd</w:t>
      </w:r>
    </w:p>
    <w:p>
      <w:pPr>
        <w:pStyle w:val="Heading2"/>
      </w:pPr>
      <w:r>
        <w:t xml:space="preserve">1.3 Juridische geschiedenis</w:t>
      </w:r>
    </w:p>
    <w:p>
      <w:pPr>
        <w:spacing w:after="200"/>
      </w:pPr>
      <w:r>
        <w:t xml:space="preserve">De familie Batista heeft een uitgebreide geschiedenis van juridische problemen:</w:t>
      </w:r>
    </w:p>
    <w:p>
      <w:pPr>
        <w:pStyle w:val="ListParagraph"/>
        <w:numPr>
          <w:ilvl w:val="0"/>
          <w:numId w:val="2"/>
        </w:numPr>
      </w:pPr>
      <w:r>
        <w:t xml:space="preserve">R$3,5 miljard (≈$565 miljoen) schikking in Braziliaans corruptieschandaal</w:t>
      </w:r>
    </w:p>
    <w:p>
      <w:pPr>
        <w:pStyle w:val="ListParagraph"/>
        <w:numPr>
          <w:ilvl w:val="0"/>
          <w:numId w:val="2"/>
        </w:numPr>
      </w:pPr>
      <w:r>
        <w:t xml:space="preserve">SEC-schikking in de Verenigde Staten</w:t>
      </w:r>
    </w:p>
    <w:p>
      <w:pPr>
        <w:pStyle w:val="ListParagraph"/>
        <w:numPr>
          <w:ilvl w:val="0"/>
          <w:numId w:val="2"/>
        </w:numPr>
      </w:pPr>
      <w:r>
        <w:t xml:space="preserve">$76 miljoen schikking voor prijsafspraken pluimvee (december 2021)</w:t>
      </w:r>
    </w:p>
    <w:p>
      <w:pPr>
        <w:pStyle w:val="ListParagraph"/>
        <w:numPr>
          <w:ilvl w:val="0"/>
          <w:numId w:val="2"/>
        </w:numPr>
      </w:pPr>
      <w:r>
        <w:t xml:space="preserve">$12,7 miljoen schikking voor prijsafspraken varkensvlees (november 2021)</w:t>
      </w:r>
    </w:p>
    <w:p>
      <w:pPr>
        <w:pStyle w:val="ListParagraph"/>
        <w:numPr>
          <w:ilvl w:val="0"/>
          <w:numId w:val="2"/>
        </w:numPr>
        <w:spacing w:after="200"/>
      </w:pPr>
      <w:r>
        <w:rPr>
          <w:b/>
          <w:bCs/>
        </w:rPr>
        <w:t xml:space="preserve">Totale juridische aansprakelijkheden: $6,9 miljard (november 2024)</w:t>
      </w:r>
    </w:p>
    <w:p>
      <w:pPr>
        <w:spacing w:after="200"/>
      </w:pPr>
      <w:r>
        <w:rPr>
          <w:i/>
          <w:iCs/>
        </w:rPr>
        <w:t xml:space="preserve">Bron: </w:t>
      </w:r>
      <w:r>
        <w:rPr>
          <w:i/>
          <w:iCs/>
        </w:rPr>
        <w:t xml:space="preserve">Global Witness rapporteerde dat JBS's juridische aansprakelijkheden zijn verdrievoudigd van $1,8 miljard naar bijna $7 miljard in minder dan twee jaar, vlak voor de beursnotering aan de NYSE.</w:t>
      </w:r>
    </w:p>
    <w:p>
      <w:r>
        <w:br w:type="page"/>
      </w:r>
    </w:p>
    <w:p>
      <w:pPr>
        <w:pStyle w:val="Heading1"/>
      </w:pPr>
      <w:r>
        <w:t xml:space="preserve">2. OFFICIËLE FINANCIËLE GEGEVENS</w:t>
      </w:r>
    </w:p>
    <w:p>
      <w:pPr>
        <w:spacing w:after="200"/>
      </w:pPr>
      <w:r>
        <w:t xml:space="preserve">Alle financiële gegevens in deze sectie zijn afkomstig uit JBS S.A.'s officiële SEC Form 20-F jaarrapport voor fiscaal jaar 2024, ingediend op 25 maart 2025.</w:t>
      </w:r>
    </w:p>
    <w:p>
      <w:pPr>
        <w:pStyle w:val="Heading2"/>
      </w:pPr>
      <w:r>
        <w:t xml:space="preserve">2.1 Omzet en winst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00"/>
      </w:tblGrid>
      <w:tr>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Indicator</w:t>
            </w:r>
          </w:p>
        </w:tc>
        <w:tc>
          <w:tcPr>
            <w:tcW w:type="dxa" w:w="21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2024</w:t>
            </w:r>
          </w:p>
        </w:tc>
        <w:tc>
          <w:tcPr>
            <w:tcW w:type="dxa" w:w="21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2023</w:t>
            </w:r>
          </w:p>
        </w:tc>
        <w:tc>
          <w:tcPr>
            <w:tcW w:type="dxa" w:w="21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2022</w:t>
            </w:r>
          </w:p>
        </w:tc>
      </w:tr>
      <w:tr>
        <w:tc>
          <w:tcPr>
            <w:tcW w:type="dxa" w:w="3000"/>
            <w:tcBorders>
              <w:top w:val="single" w:color="CCCCCC" w:sz="1"/>
              <w:left w:val="single" w:color="CCCCCC" w:sz="1"/>
              <w:bottom w:val="single" w:color="CCCCCC" w:sz="1"/>
              <w:right w:val="single" w:color="CCCCCC" w:sz="1"/>
            </w:tcBorders>
          </w:tcPr>
          <w:p>
            <w:r>
              <w:t xml:space="preserve">Netto omzet</w:t>
            </w:r>
          </w:p>
        </w:tc>
        <w:tc>
          <w:tcPr>
            <w:tcW w:type="dxa" w:w="2100"/>
            <w:tcBorders>
              <w:top w:val="single" w:color="CCCCCC" w:sz="1"/>
              <w:left w:val="single" w:color="CCCCCC" w:sz="1"/>
              <w:bottom w:val="single" w:color="CCCCCC" w:sz="1"/>
              <w:right w:val="single" w:color="CCCCCC" w:sz="1"/>
            </w:tcBorders>
          </w:tcPr>
          <w:p>
            <w:pPr>
              <w:jc w:val="right"/>
            </w:pPr>
            <w:r>
              <w:t xml:space="preserve">$77,2 mld</w:t>
            </w:r>
          </w:p>
        </w:tc>
        <w:tc>
          <w:tcPr>
            <w:tcW w:type="dxa" w:w="2100"/>
            <w:tcBorders>
              <w:top w:val="single" w:color="CCCCCC" w:sz="1"/>
              <w:left w:val="single" w:color="CCCCCC" w:sz="1"/>
              <w:bottom w:val="single" w:color="CCCCCC" w:sz="1"/>
              <w:right w:val="single" w:color="CCCCCC" w:sz="1"/>
            </w:tcBorders>
          </w:tcPr>
          <w:p>
            <w:pPr>
              <w:jc w:val="right"/>
            </w:pPr>
            <w:r>
              <w:t xml:space="preserve">$72,9 mld</w:t>
            </w:r>
          </w:p>
        </w:tc>
        <w:tc>
          <w:tcPr>
            <w:tcW w:type="dxa" w:w="2100"/>
            <w:tcBorders>
              <w:top w:val="single" w:color="CCCCCC" w:sz="1"/>
              <w:left w:val="single" w:color="CCCCCC" w:sz="1"/>
              <w:bottom w:val="single" w:color="CCCCCC" w:sz="1"/>
              <w:right w:val="single" w:color="CCCCCC" w:sz="1"/>
            </w:tcBorders>
          </w:tcPr>
          <w:p>
            <w:pPr>
              <w:jc w:val="right"/>
            </w:pPr>
            <w:r>
              <w:t xml:space="preserve">$72,6 mld</w:t>
            </w:r>
          </w:p>
        </w:tc>
      </w:tr>
      <w:tr>
        <w:tc>
          <w:tcPr>
            <w:tcW w:type="dxa" w:w="3000"/>
            <w:tcBorders>
              <w:top w:val="single" w:color="CCCCCC" w:sz="1"/>
              <w:left w:val="single" w:color="CCCCCC" w:sz="1"/>
              <w:bottom w:val="single" w:color="CCCCCC" w:sz="1"/>
              <w:right w:val="single" w:color="CCCCCC" w:sz="1"/>
            </w:tcBorders>
            <w:shd w:fill="f7fafc" w:val="clear"/>
          </w:tcPr>
          <w:p>
            <w:r>
              <w:t xml:space="preserve">Adjusted EBITDA</w:t>
            </w:r>
          </w:p>
        </w:tc>
        <w:tc>
          <w:tcPr>
            <w:tcW w:type="dxa" w:w="2100"/>
            <w:tcBorders>
              <w:top w:val="single" w:color="CCCCCC" w:sz="1"/>
              <w:left w:val="single" w:color="CCCCCC" w:sz="1"/>
              <w:bottom w:val="single" w:color="CCCCCC" w:sz="1"/>
              <w:right w:val="single" w:color="CCCCCC" w:sz="1"/>
            </w:tcBorders>
            <w:shd w:fill="f7fafc" w:val="clear"/>
          </w:tcPr>
          <w:p>
            <w:pPr>
              <w:jc w:val="right"/>
            </w:pPr>
            <w:r>
              <w:t xml:space="preserve">$7,2 mld</w:t>
            </w:r>
          </w:p>
        </w:tc>
        <w:tc>
          <w:tcPr>
            <w:tcW w:type="dxa" w:w="2100"/>
            <w:tcBorders>
              <w:top w:val="single" w:color="CCCCCC" w:sz="1"/>
              <w:left w:val="single" w:color="CCCCCC" w:sz="1"/>
              <w:bottom w:val="single" w:color="CCCCCC" w:sz="1"/>
              <w:right w:val="single" w:color="CCCCCC" w:sz="1"/>
            </w:tcBorders>
            <w:shd w:fill="f7fafc" w:val="clear"/>
          </w:tcPr>
          <w:p>
            <w:pPr>
              <w:jc w:val="right"/>
            </w:pPr>
            <w:r>
              <w:t xml:space="preserve">n.b.</w:t>
            </w:r>
          </w:p>
        </w:tc>
        <w:tc>
          <w:tcPr>
            <w:tcW w:type="dxa" w:w="2100"/>
            <w:tcBorders>
              <w:top w:val="single" w:color="CCCCCC" w:sz="1"/>
              <w:left w:val="single" w:color="CCCCCC" w:sz="1"/>
              <w:bottom w:val="single" w:color="CCCCCC" w:sz="1"/>
              <w:right w:val="single" w:color="CCCCCC" w:sz="1"/>
            </w:tcBorders>
            <w:shd w:fill="f7fafc" w:val="clear"/>
          </w:tcPr>
          <w:p>
            <w:pPr>
              <w:jc w:val="right"/>
            </w:pPr>
            <w:r>
              <w:t xml:space="preserve">n.b.</w:t>
            </w:r>
          </w:p>
        </w:tc>
      </w:tr>
      <w:tr>
        <w:tc>
          <w:tcPr>
            <w:tcW w:type="dxa" w:w="3000"/>
            <w:tcBorders>
              <w:top w:val="single" w:color="CCCCCC" w:sz="1"/>
              <w:left w:val="single" w:color="CCCCCC" w:sz="1"/>
              <w:bottom w:val="single" w:color="CCCCCC" w:sz="1"/>
              <w:right w:val="single" w:color="CCCCCC" w:sz="1"/>
            </w:tcBorders>
          </w:tcPr>
          <w:p>
            <w:r>
              <w:t xml:space="preserve">Netto winst/(verlies)</w:t>
            </w:r>
          </w:p>
        </w:tc>
        <w:tc>
          <w:tcPr>
            <w:tcW w:type="dxa" w:w="2100"/>
            <w:tcBorders>
              <w:top w:val="single" w:color="CCCCCC" w:sz="1"/>
              <w:left w:val="single" w:color="CCCCCC" w:sz="1"/>
              <w:bottom w:val="single" w:color="CCCCCC" w:sz="1"/>
              <w:right w:val="single" w:color="CCCCCC" w:sz="1"/>
            </w:tcBorders>
          </w:tcPr>
          <w:p>
            <w:pPr>
              <w:jc w:val="right"/>
            </w:pPr>
            <w:r>
              <w:t xml:space="preserve">$2,0 mld</w:t>
            </w:r>
          </w:p>
        </w:tc>
        <w:tc>
          <w:tcPr>
            <w:tcW w:type="dxa" w:w="2100"/>
            <w:tcBorders>
              <w:top w:val="single" w:color="CCCCCC" w:sz="1"/>
              <w:left w:val="single" w:color="CCCCCC" w:sz="1"/>
              <w:bottom w:val="single" w:color="CCCCCC" w:sz="1"/>
              <w:right w:val="single" w:color="CCCCCC" w:sz="1"/>
            </w:tcBorders>
          </w:tcPr>
          <w:p>
            <w:pPr>
              <w:jc w:val="right"/>
            </w:pPr>
            <w:r>
              <w:t xml:space="preserve">($0,1 mld)</w:t>
            </w:r>
          </w:p>
        </w:tc>
        <w:tc>
          <w:tcPr>
            <w:tcW w:type="dxa" w:w="2100"/>
            <w:tcBorders>
              <w:top w:val="single" w:color="CCCCCC" w:sz="1"/>
              <w:left w:val="single" w:color="CCCCCC" w:sz="1"/>
              <w:bottom w:val="single" w:color="CCCCCC" w:sz="1"/>
              <w:right w:val="single" w:color="CCCCCC" w:sz="1"/>
            </w:tcBorders>
          </w:tcPr>
          <w:p>
            <w:pPr>
              <w:jc w:val="right"/>
            </w:pPr>
            <w:r>
              <w:t xml:space="preserve">$3,1 mld</w:t>
            </w:r>
          </w:p>
        </w:tc>
      </w:tr>
    </w:tbl>
    <w:p>
      <w:pPr>
        <w:spacing w:before="200" w:after="200"/>
      </w:pPr>
      <w:r>
        <w:rPr>
          <w:i/>
          <w:iCs/>
          <w:sz w:val="20"/>
          <w:szCs w:val="20"/>
        </w:rPr>
        <w:t xml:space="preserve">Bron: SEC Form 20-F, JBS S.A., Accession Number 0001013762-25-002376, ingediend 25 maart 2025</w:t>
      </w:r>
    </w:p>
    <w:p>
      <w:pPr>
        <w:pStyle w:val="Heading2"/>
      </w:pPr>
      <w:r>
        <w:t xml:space="preserve">2.2 Wat de SEC-rapportage NIET laat zien</w:t>
      </w:r>
    </w:p>
    <w:p>
      <w:pPr>
        <w:spacing w:after="200"/>
      </w:pPr>
      <w:r>
        <w:t xml:space="preserve">De officiële financiële rapportages van JBS bevatten geen enkele vermelding van:</w:t>
      </w:r>
    </w:p>
    <w:p>
      <w:pPr>
        <w:pStyle w:val="ListParagraph"/>
        <w:numPr>
          <w:ilvl w:val="0"/>
          <w:numId w:val="2"/>
        </w:numPr>
      </w:pPr>
      <w:r>
        <w:t xml:space="preserve">Totale CO₂-uitstoot van de volledige toeleveringsketen (Scope 3)</w:t>
      </w:r>
    </w:p>
    <w:p>
      <w:pPr>
        <w:pStyle w:val="ListParagraph"/>
        <w:numPr>
          <w:ilvl w:val="0"/>
          <w:numId w:val="2"/>
        </w:numPr>
      </w:pPr>
      <w:r>
        <w:t xml:space="preserve">Hectares ontbossing gerelateerd aan veeleveranciers</w:t>
      </w:r>
    </w:p>
    <w:p>
      <w:pPr>
        <w:pStyle w:val="ListParagraph"/>
        <w:numPr>
          <w:ilvl w:val="0"/>
          <w:numId w:val="2"/>
        </w:numPr>
      </w:pPr>
      <w:r>
        <w:t xml:space="preserve">Methaanuitstoot van vee</w:t>
      </w:r>
    </w:p>
    <w:p>
      <w:pPr>
        <w:pStyle w:val="ListParagraph"/>
        <w:numPr>
          <w:ilvl w:val="0"/>
          <w:numId w:val="2"/>
        </w:numPr>
      </w:pPr>
      <w:r>
        <w:t xml:space="preserve">Watervervuiling door slachthuizen</w:t>
      </w:r>
    </w:p>
    <w:p>
      <w:pPr>
        <w:pStyle w:val="ListParagraph"/>
        <w:numPr>
          <w:ilvl w:val="0"/>
          <w:numId w:val="2"/>
        </w:numPr>
        <w:spacing w:after="200"/>
      </w:pPr>
      <w:r>
        <w:t xml:space="preserve">Voedselverspilling in de keten (geschat 11,9% tussen slacht en retail)</w:t>
      </w:r>
    </w:p>
    <w:p>
      <w:pPr>
        <w:shd w:fill="fffff0" w:val="clear"/>
        <w:spacing w:after="200"/>
      </w:pPr>
      <w:r>
        <w:rPr>
          <w:b/>
          <w:bCs/>
        </w:rPr>
        <w:t xml:space="preserve">Dit is geen omissie — dit is het systeem. </w:t>
      </w:r>
      <w:r>
        <w:t xml:space="preserve">Het huidige boekhoudkundige en fiscale systeem heeft simpelweg geen categorie voor ecologische schade. Daarom kan JBS miljarden aan milieukosten externaliseren en dit als "winst" rapporteren.</w:t>
      </w:r>
    </w:p>
    <w:p>
      <w:r>
        <w:br w:type="page"/>
      </w:r>
    </w:p>
    <w:p>
      <w:pPr>
        <w:pStyle w:val="Heading1"/>
      </w:pPr>
      <w:r>
        <w:t xml:space="preserve">3. ECOLOGISCHE IMPACT</w:t>
      </w:r>
    </w:p>
    <w:p>
      <w:pPr>
        <w:pStyle w:val="Heading2"/>
      </w:pPr>
      <w:r>
        <w:t xml:space="preserve">3.1 Broeikasgasemissies</w:t>
      </w:r>
    </w:p>
    <w:p>
      <w:pPr>
        <w:spacing w:after="200"/>
      </w:pPr>
      <w:r>
        <w:t xml:space="preserve">Het Institute for Agriculture and Trade Policy (IATP) berekende JBS's totale emissies met behulp van het UN FAO GLEAM-model (Global Livestock Environmental Assessment Model), de internationale standaard voor het berekenen van emissies in de veeteeltsector.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600"/>
      </w:tblGrid>
      <w:tr>
        <w:tc>
          <w:tcPr>
            <w:tcW w:type="dxa" w:w="4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Vergelijking</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CO₂-eq/jaar</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Bron</w:t>
            </w:r>
          </w:p>
        </w:tc>
      </w:tr>
      <w:tr>
        <w:tc>
          <w:tcPr>
            <w:tcW w:type="dxa" w:w="4500"/>
            <w:tcBorders>
              <w:top w:val="single" w:color="CCCCCC" w:sz="1"/>
              <w:left w:val="single" w:color="CCCCCC" w:sz="1"/>
              <w:bottom w:val="single" w:color="CCCCCC" w:sz="1"/>
              <w:right w:val="single" w:color="CCCCCC" w:sz="1"/>
            </w:tcBorders>
          </w:tcPr>
          <w:p>
            <w:r>
              <w:rPr>
                <w:b/>
                <w:bCs/>
              </w:rPr>
              <w:t xml:space="preserve">JBS S.A. (2021)</w:t>
            </w:r>
          </w:p>
        </w:tc>
        <w:tc>
          <w:tcPr>
            <w:tcW w:type="dxa" w:w="2200"/>
            <w:tcBorders>
              <w:top w:val="single" w:color="CCCCCC" w:sz="1"/>
              <w:left w:val="single" w:color="CCCCCC" w:sz="1"/>
              <w:bottom w:val="single" w:color="CCCCCC" w:sz="1"/>
              <w:right w:val="single" w:color="CCCCCC" w:sz="1"/>
            </w:tcBorders>
          </w:tcPr>
          <w:p>
            <w:pPr>
              <w:jc w:val="right"/>
            </w:pPr>
            <w:r>
              <w:rPr>
                <w:b/>
                <w:bCs/>
              </w:rPr>
              <w:t xml:space="preserve">421,6 Mt</w:t>
            </w:r>
          </w:p>
        </w:tc>
        <w:tc>
          <w:tcPr>
            <w:tcW w:type="dxa" w:w="2600"/>
            <w:tcBorders>
              <w:top w:val="single" w:color="CCCCCC" w:sz="1"/>
              <w:left w:val="single" w:color="CCCCCC" w:sz="1"/>
              <w:bottom w:val="single" w:color="CCCCCC" w:sz="1"/>
              <w:right w:val="single" w:color="CCCCCC" w:sz="1"/>
            </w:tcBorders>
          </w:tcPr>
          <w:p>
            <w:r>
              <w:t xml:space="preserve">IATP/GLEAM</w:t>
            </w:r>
          </w:p>
        </w:tc>
      </w:tr>
      <w:tr>
        <w:tc>
          <w:tcPr>
            <w:tcW w:type="dxa" w:w="4500"/>
            <w:tcBorders>
              <w:top w:val="single" w:color="CCCCCC" w:sz="1"/>
              <w:left w:val="single" w:color="CCCCCC" w:sz="1"/>
              <w:bottom w:val="single" w:color="CCCCCC" w:sz="1"/>
              <w:right w:val="single" w:color="CCCCCC" w:sz="1"/>
            </w:tcBorders>
            <w:shd w:fill="f7fafc" w:val="clear"/>
          </w:tcPr>
          <w:p>
            <w:r>
              <w:t xml:space="preserve">Italië (nationaal, 2019)</w:t>
            </w:r>
          </w:p>
        </w:tc>
        <w:tc>
          <w:tcPr>
            <w:tcW w:type="dxa" w:w="2200"/>
            <w:tcBorders>
              <w:top w:val="single" w:color="CCCCCC" w:sz="1"/>
              <w:left w:val="single" w:color="CCCCCC" w:sz="1"/>
              <w:bottom w:val="single" w:color="CCCCCC" w:sz="1"/>
              <w:right w:val="single" w:color="CCCCCC" w:sz="1"/>
            </w:tcBorders>
            <w:shd w:fill="f7fafc" w:val="clear"/>
          </w:tcPr>
          <w:p>
            <w:pPr>
              <w:jc w:val="right"/>
            </w:pPr>
            <w:r>
              <w:t xml:space="preserve">418,3 Mt</w:t>
            </w:r>
          </w:p>
        </w:tc>
        <w:tc>
          <w:tcPr>
            <w:tcW w:type="dxa" w:w="2600"/>
            <w:tcBorders>
              <w:top w:val="single" w:color="CCCCCC" w:sz="1"/>
              <w:left w:val="single" w:color="CCCCCC" w:sz="1"/>
              <w:bottom w:val="single" w:color="CCCCCC" w:sz="1"/>
              <w:right w:val="single" w:color="CCCCCC" w:sz="1"/>
            </w:tcBorders>
            <w:shd w:fill="f7fafc" w:val="clear"/>
          </w:tcPr>
          <w:p>
            <w:r>
              <w:t xml:space="preserve">EU/UNFCCC</w:t>
            </w:r>
          </w:p>
        </w:tc>
      </w:tr>
      <w:tr>
        <w:tc>
          <w:tcPr>
            <w:tcW w:type="dxa" w:w="4500"/>
            <w:tcBorders>
              <w:top w:val="single" w:color="CCCCCC" w:sz="1"/>
              <w:left w:val="single" w:color="CCCCCC" w:sz="1"/>
              <w:bottom w:val="single" w:color="CCCCCC" w:sz="1"/>
              <w:right w:val="single" w:color="CCCCCC" w:sz="1"/>
            </w:tcBorders>
          </w:tcPr>
          <w:p>
            <w:r>
              <w:t xml:space="preserve">TotalEnergies (2020)</w:t>
            </w:r>
          </w:p>
        </w:tc>
        <w:tc>
          <w:tcPr>
            <w:tcW w:type="dxa" w:w="2200"/>
            <w:tcBorders>
              <w:top w:val="single" w:color="CCCCCC" w:sz="1"/>
              <w:left w:val="single" w:color="CCCCCC" w:sz="1"/>
              <w:bottom w:val="single" w:color="CCCCCC" w:sz="1"/>
              <w:right w:val="single" w:color="CCCCCC" w:sz="1"/>
            </w:tcBorders>
          </w:tcPr>
          <w:p>
            <w:pPr>
              <w:jc w:val="right"/>
            </w:pPr>
            <w:r>
              <w:t xml:space="preserve">417 Mt</w:t>
            </w:r>
          </w:p>
        </w:tc>
        <w:tc>
          <w:tcPr>
            <w:tcW w:type="dxa" w:w="2600"/>
            <w:tcBorders>
              <w:top w:val="single" w:color="CCCCCC" w:sz="1"/>
              <w:left w:val="single" w:color="CCCCCC" w:sz="1"/>
              <w:bottom w:val="single" w:color="CCCCCC" w:sz="1"/>
              <w:right w:val="single" w:color="CCCCCC" w:sz="1"/>
            </w:tcBorders>
          </w:tcPr>
          <w:p>
            <w:r>
              <w:t xml:space="preserve">Climate Accountability</w:t>
            </w:r>
          </w:p>
        </w:tc>
      </w:tr>
      <w:tr>
        <w:tc>
          <w:tcPr>
            <w:tcW w:type="dxa" w:w="4500"/>
            <w:tcBorders>
              <w:top w:val="single" w:color="CCCCCC" w:sz="1"/>
              <w:left w:val="single" w:color="CCCCCC" w:sz="1"/>
              <w:bottom w:val="single" w:color="CCCCCC" w:sz="1"/>
              <w:right w:val="single" w:color="CCCCCC" w:sz="1"/>
            </w:tcBorders>
            <w:shd w:fill="f7fafc" w:val="clear"/>
          </w:tcPr>
          <w:p>
            <w:r>
              <w:t xml:space="preserve">Frankrijk (nationaal)</w:t>
            </w:r>
          </w:p>
        </w:tc>
        <w:tc>
          <w:tcPr>
            <w:tcW w:type="dxa" w:w="2200"/>
            <w:tcBorders>
              <w:top w:val="single" w:color="CCCCCC" w:sz="1"/>
              <w:left w:val="single" w:color="CCCCCC" w:sz="1"/>
              <w:bottom w:val="single" w:color="CCCCCC" w:sz="1"/>
              <w:right w:val="single" w:color="CCCCCC" w:sz="1"/>
            </w:tcBorders>
            <w:shd w:fill="f7fafc" w:val="clear"/>
          </w:tcPr>
          <w:p>
            <w:pPr>
              <w:jc w:val="right"/>
            </w:pPr>
            <w:r>
              <w:t xml:space="preserve">443 Mt</w:t>
            </w:r>
          </w:p>
        </w:tc>
        <w:tc>
          <w:tcPr>
            <w:tcW w:type="dxa" w:w="2600"/>
            <w:tcBorders>
              <w:top w:val="single" w:color="CCCCCC" w:sz="1"/>
              <w:left w:val="single" w:color="CCCCCC" w:sz="1"/>
              <w:bottom w:val="single" w:color="CCCCCC" w:sz="1"/>
              <w:right w:val="single" w:color="CCCCCC" w:sz="1"/>
            </w:tcBorders>
            <w:shd w:fill="f7fafc" w:val="clear"/>
          </w:tcPr>
          <w:p>
            <w:r>
              <w:t xml:space="preserve">EU/UNFCCC</w:t>
            </w:r>
          </w:p>
        </w:tc>
      </w:tr>
      <w:tr>
        <w:tc>
          <w:tcPr>
            <w:tcW w:type="dxa" w:w="4500"/>
            <w:tcBorders>
              <w:top w:val="single" w:color="CCCCCC" w:sz="1"/>
              <w:left w:val="single" w:color="CCCCCC" w:sz="1"/>
              <w:bottom w:val="single" w:color="CCCCCC" w:sz="1"/>
              <w:right w:val="single" w:color="CCCCCC" w:sz="1"/>
            </w:tcBorders>
          </w:tcPr>
          <w:p>
            <w:r>
              <w:t xml:space="preserve">Franse vleesindustrie (totaal)</w:t>
            </w:r>
          </w:p>
        </w:tc>
        <w:tc>
          <w:tcPr>
            <w:tcW w:type="dxa" w:w="2200"/>
            <w:tcBorders>
              <w:top w:val="single" w:color="CCCCCC" w:sz="1"/>
              <w:left w:val="single" w:color="CCCCCC" w:sz="1"/>
              <w:bottom w:val="single" w:color="CCCCCC" w:sz="1"/>
              <w:right w:val="single" w:color="CCCCCC" w:sz="1"/>
            </w:tcBorders>
          </w:tcPr>
          <w:p>
            <w:pPr>
              <w:jc w:val="right"/>
            </w:pPr>
            <w:r>
              <w:t xml:space="preserve">42,6 Mt</w:t>
            </w:r>
          </w:p>
        </w:tc>
        <w:tc>
          <w:tcPr>
            <w:tcW w:type="dxa" w:w="2600"/>
            <w:tcBorders>
              <w:top w:val="single" w:color="CCCCCC" w:sz="1"/>
              <w:left w:val="single" w:color="CCCCCC" w:sz="1"/>
              <w:bottom w:val="single" w:color="CCCCCC" w:sz="1"/>
              <w:right w:val="single" w:color="CCCCCC" w:sz="1"/>
            </w:tcBorders>
          </w:tcPr>
          <w:p>
            <w:r>
              <w:t xml:space="preserve">ADEME/berekend</w:t>
            </w:r>
          </w:p>
        </w:tc>
      </w:tr>
    </w:tbl>
    <w:p>
      <w:pPr>
        <w:shd w:fill="fff5f5" w:val="clear"/>
        <w:spacing w:before="300" w:after="200"/>
      </w:pPr>
      <w:r>
        <w:rPr>
          <w:b/>
          <w:bCs/>
          <w:color w:val="c53030"/>
        </w:rPr>
        <w:t xml:space="preserve">Één familiebedrijf (JBS) stoot bijna 10× meer CO₂ uit dan de gehele Franse vleesindustrie.</w:t>
      </w:r>
    </w:p>
    <w:p>
      <w:pPr>
        <w:pStyle w:val="Heading2"/>
      </w:pPr>
      <w:r>
        <w:t xml:space="preserve">3.2 Emissiegroei</w:t>
      </w:r>
    </w:p>
    <w:p>
      <w:pPr>
        <w:spacing w:after="200"/>
      </w:pPr>
      <w:r>
        <w:t xml:space="preserve">Ondanks JBS's aankondiging van een "net-zero 2040" doelstelling in maart 2021, zijn de emissies gestegen:</w:t>
      </w:r>
    </w:p>
    <w:p>
      <w:pPr>
        <w:pStyle w:val="ListParagraph"/>
        <w:numPr>
          <w:ilvl w:val="0"/>
          <w:numId w:val="2"/>
        </w:numPr>
      </w:pPr>
      <w:r>
        <w:t xml:space="preserve">2016: 280 miljoen ton CO₂-equivalent</w:t>
      </w:r>
    </w:p>
    <w:p>
      <w:pPr>
        <w:pStyle w:val="ListParagraph"/>
        <w:numPr>
          <w:ilvl w:val="0"/>
          <w:numId w:val="2"/>
        </w:numPr>
      </w:pPr>
      <w:r>
        <w:t xml:space="preserve">2021: 421,6 miljoen ton CO₂-equivalent</w:t>
      </w:r>
    </w:p>
    <w:p>
      <w:pPr>
        <w:pStyle w:val="ListParagraph"/>
        <w:numPr>
          <w:ilvl w:val="0"/>
          <w:numId w:val="2"/>
        </w:numPr>
        <w:spacing w:after="200"/>
      </w:pPr>
      <w:r>
        <w:rPr>
          <w:b/>
          <w:bCs/>
        </w:rPr>
        <w:t xml:space="preserve">Stijging: +51% in vijf jaar</w:t>
      </w:r>
    </w:p>
    <w:p>
      <w:pPr>
        <w:spacing w:after="200"/>
      </w:pPr>
      <w:r>
        <w:t xml:space="preserve">In 2024 werd JBS verwijderd van het Science-Based Targets initiative (SBTi) wegens het niet leveren van een adequaat plan om emissies te reduceren.</w:t>
      </w:r>
    </w:p>
    <w:p>
      <w:pPr>
        <w:pStyle w:val="Heading2"/>
      </w:pPr>
      <w:r>
        <w:t xml:space="preserve">3.3 Ontbossing Amazone</w:t>
      </w:r>
    </w:p>
    <w:p>
      <w:pPr>
        <w:spacing w:after="200"/>
      </w:pPr>
      <w:r>
        <w:t xml:space="preserve">Onderzoeken van Greenpeace, Human Rights Watch, en Mighty Earth documenteren systematische links tussen JBS en illegale ontbossing:</w:t>
      </w:r>
    </w:p>
    <w:p>
      <w:pPr>
        <w:pStyle w:val="ListParagraph"/>
        <w:numPr>
          <w:ilvl w:val="0"/>
          <w:numId w:val="2"/>
        </w:numPr>
      </w:pPr>
      <w:r>
        <w:t xml:space="preserve">Directe toeleveringsketen: 200.000 hectare ontbossing</w:t>
      </w:r>
    </w:p>
    <w:p>
      <w:pPr>
        <w:pStyle w:val="ListParagraph"/>
        <w:numPr>
          <w:ilvl w:val="0"/>
          <w:numId w:val="2"/>
        </w:numPr>
      </w:pPr>
      <w:r>
        <w:t xml:space="preserve">Indirecte toeleveringsketen: 1,5 miljoen hectare ontbossing</w:t>
      </w:r>
    </w:p>
    <w:p>
      <w:pPr>
        <w:pStyle w:val="ListParagraph"/>
        <w:numPr>
          <w:ilvl w:val="0"/>
          <w:numId w:val="2"/>
        </w:numPr>
      </w:pPr>
      <w:r>
        <w:t xml:space="preserve">17% van vee in Pará afkomstig van illegale ontbossing (Braziliaanse federale aanklagers)</w:t>
      </w:r>
    </w:p>
    <w:p>
      <w:pPr>
        <w:pStyle w:val="ListParagraph"/>
        <w:numPr>
          <w:ilvl w:val="0"/>
          <w:numId w:val="2"/>
        </w:numPr>
        <w:spacing w:after="200"/>
      </w:pPr>
      <w:r>
        <w:t xml:space="preserve">Oktober 2025: Nieuwe links gevonden met illegale veeteelt in beschermde gebieden (World Animal Protection)</w:t>
      </w:r>
    </w:p>
    <w:p>
      <w:r>
        <w:br w:type="page"/>
      </w:r>
    </w:p>
    <w:p>
      <w:pPr>
        <w:pStyle w:val="Heading1"/>
      </w:pPr>
      <w:r>
        <w:t xml:space="preserve">4. THE DIVINE DEAL: VERLIESBELASTING BEREKENING</w:t>
      </w:r>
    </w:p>
    <w:p>
      <w:pPr>
        <w:spacing w:after="200"/>
      </w:pPr>
      <w:r>
        <w:t xml:space="preserve">The Divine Deal introduceert een nieuw economisch principe: bedrijven betalen belasting over de schade (verliezen) die ze veroorzaken, niet alleen over hun inkomsten.</w:t>
      </w:r>
    </w:p>
    <w:p>
      <w:pPr>
        <w:pStyle w:val="Heading2"/>
      </w:pPr>
      <w:r>
        <w:t xml:space="preserve">4.1 De formule</w:t>
      </w:r>
    </w:p>
    <w:p>
      <w:pPr>
        <w:shd w:fill="edf2f7" w:val="clear"/>
        <w:spacing w:before="200" w:after="200"/>
        <w:jc w:val="center"/>
      </w:pPr>
      <w:r>
        <w:rPr>
          <w:b/>
          <w:bCs/>
          <w:sz w:val="32"/>
          <w:szCs w:val="32"/>
        </w:rPr>
        <w:t xml:space="preserve">W = (T − ΣV) + ΣH</w:t>
      </w:r>
    </w:p>
    <w:p>
      <w:pPr>
        <w:spacing w:after="100"/>
      </w:pPr>
      <w:r>
        <w:t xml:space="preserve">Waarbij:</w:t>
      </w:r>
    </w:p>
    <w:p>
      <w:pPr>
        <w:pStyle w:val="ListParagraph"/>
        <w:numPr>
          <w:ilvl w:val="0"/>
          <w:numId w:val="2"/>
        </w:numPr>
      </w:pPr>
      <w:r>
        <w:rPr>
          <w:b/>
          <w:bCs/>
        </w:rPr>
        <w:t xml:space="preserve">W </w:t>
      </w:r>
      <w:r>
        <w:t xml:space="preserve">= Werkelijke waarde</w:t>
      </w:r>
    </w:p>
    <w:p>
      <w:pPr>
        <w:pStyle w:val="ListParagraph"/>
        <w:numPr>
          <w:ilvl w:val="0"/>
          <w:numId w:val="2"/>
        </w:numPr>
      </w:pPr>
      <w:r>
        <w:rPr>
          <w:b/>
          <w:bCs/>
        </w:rPr>
        <w:t xml:space="preserve">T </w:t>
      </w:r>
      <w:r>
        <w:t xml:space="preserve">= Totale gerapporteerde waarde (omzet/winst)</w:t>
      </w:r>
    </w:p>
    <w:p>
      <w:pPr>
        <w:pStyle w:val="ListParagraph"/>
        <w:numPr>
          <w:ilvl w:val="0"/>
          <w:numId w:val="2"/>
        </w:numPr>
      </w:pPr>
      <w:r>
        <w:rPr>
          <w:b/>
          <w:bCs/>
        </w:rPr>
        <w:t xml:space="preserve">ΣV </w:t>
      </w:r>
      <w:r>
        <w:t xml:space="preserve">= Som van alle verliezen (ecologische en sociale schade)</w:t>
      </w:r>
    </w:p>
    <w:p>
      <w:pPr>
        <w:pStyle w:val="ListParagraph"/>
        <w:numPr>
          <w:ilvl w:val="0"/>
          <w:numId w:val="2"/>
        </w:numPr>
        <w:spacing w:after="200"/>
      </w:pPr>
      <w:r>
        <w:rPr>
          <w:b/>
          <w:bCs/>
        </w:rPr>
        <w:t xml:space="preserve">ΣH </w:t>
      </w:r>
      <w:r>
        <w:t xml:space="preserve">= Som van alle herstelinspanningen</w:t>
      </w:r>
    </w:p>
    <w:p>
      <w:pPr>
        <w:pStyle w:val="Heading2"/>
      </w:pPr>
      <w:r>
        <w:t xml:space="preserve">4.2 Toepassing op JBS</w:t>
      </w:r>
    </w:p>
    <w:p>
      <w:pPr>
        <w:spacing w:after="200"/>
      </w:pPr>
      <w:r>
        <w:rPr>
          <w:b/>
          <w:bCs/>
        </w:rPr>
        <w:t xml:space="preserve">Verliesbelasting berekening bij €50/ton CO₂: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00"/>
      </w:tblGrid>
      <w:tr>
        <w:tc>
          <w:tcPr>
            <w:tcW w:type="dxa" w:w="5000"/>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W w:type="dxa" w:w="4300"/>
            <w:tcBorders>
              <w:top w:val="single" w:color="CCCCCC" w:sz="1"/>
              <w:left w:val="single" w:color="CCCCCC" w:sz="1"/>
              <w:bottom w:val="single" w:color="CCCCCC" w:sz="1"/>
              <w:right w:val="single" w:color="CCCCCC" w:sz="1"/>
            </w:tcBorders>
            <w:shd w:fill="1a365d" w:val="clear"/>
          </w:tcPr>
          <w:p>
            <w:pPr>
              <w:jc w:val="right"/>
            </w:pPr>
            <w:r>
              <w:rPr>
                <w:b/>
                <w:bCs/>
                <w:color w:val="FFFFFF"/>
              </w:rPr>
              <w:t xml:space="preserve">Bedrag</w:t>
            </w:r>
          </w:p>
        </w:tc>
      </w:tr>
      <w:tr>
        <w:tc>
          <w:tcPr>
            <w:tcW w:type="dxa" w:w="5000"/>
            <w:tcBorders>
              <w:top w:val="single" w:color="CCCCCC" w:sz="1"/>
              <w:left w:val="single" w:color="CCCCCC" w:sz="1"/>
              <w:bottom w:val="single" w:color="CCCCCC" w:sz="1"/>
              <w:right w:val="single" w:color="CCCCCC" w:sz="1"/>
            </w:tcBorders>
          </w:tcPr>
          <w:p>
            <w:r>
              <w:t xml:space="preserve">T: Gerapporteerde EBITDA</w:t>
            </w:r>
          </w:p>
        </w:tc>
        <w:tc>
          <w:tcPr>
            <w:tcW w:type="dxa" w:w="4300"/>
            <w:tcBorders>
              <w:top w:val="single" w:color="CCCCCC" w:sz="1"/>
              <w:left w:val="single" w:color="CCCCCC" w:sz="1"/>
              <w:bottom w:val="single" w:color="CCCCCC" w:sz="1"/>
              <w:right w:val="single" w:color="CCCCCC" w:sz="1"/>
            </w:tcBorders>
          </w:tcPr>
          <w:p>
            <w:pPr>
              <w:jc w:val="right"/>
            </w:pPr>
            <w:r>
              <w:t xml:space="preserve">+ €7,2 miljard</w:t>
            </w:r>
          </w:p>
        </w:tc>
      </w:tr>
      <w:tr>
        <w:tc>
          <w:tcPr>
            <w:tcW w:type="dxa" w:w="5000"/>
            <w:tcBorders>
              <w:top w:val="single" w:color="CCCCCC" w:sz="1"/>
              <w:left w:val="single" w:color="CCCCCC" w:sz="1"/>
              <w:bottom w:val="single" w:color="CCCCCC" w:sz="1"/>
              <w:right w:val="single" w:color="CCCCCC" w:sz="1"/>
            </w:tcBorders>
            <w:shd w:fill="f7fafc" w:val="clear"/>
          </w:tcPr>
          <w:p>
            <w:r>
              <w:t xml:space="preserve">V₁: CO₂-uitstoot (421,6 Mt × €50)</w:t>
            </w:r>
          </w:p>
        </w:tc>
        <w:tc>
          <w:tcPr>
            <w:tcW w:type="dxa" w:w="4300"/>
            <w:tcBorders>
              <w:top w:val="single" w:color="CCCCCC" w:sz="1"/>
              <w:left w:val="single" w:color="CCCCCC" w:sz="1"/>
              <w:bottom w:val="single" w:color="CCCCCC" w:sz="1"/>
              <w:right w:val="single" w:color="CCCCCC" w:sz="1"/>
            </w:tcBorders>
            <w:shd w:fill="f7fafc" w:val="clear"/>
          </w:tcPr>
          <w:p>
            <w:pPr>
              <w:jc w:val="right"/>
            </w:pPr>
            <w:r>
              <w:rPr>
                <w:color w:val="c53030"/>
              </w:rPr>
              <w:t xml:space="preserve">− €21,08 miljard</w:t>
            </w:r>
          </w:p>
        </w:tc>
      </w:tr>
      <w:tr>
        <w:tc>
          <w:tcPr>
            <w:tcW w:type="dxa" w:w="5000"/>
            <w:tcBorders>
              <w:top w:val="single" w:color="CCCCCC" w:sz="1"/>
              <w:left w:val="single" w:color="CCCCCC" w:sz="1"/>
              <w:bottom w:val="single" w:color="CCCCCC" w:sz="1"/>
              <w:right w:val="single" w:color="CCCCCC" w:sz="1"/>
            </w:tcBorders>
          </w:tcPr>
          <w:p>
            <w:r>
              <w:t xml:space="preserve">V₂: Ontbossing (niet meegerekend)</w:t>
            </w:r>
          </w:p>
        </w:tc>
        <w:tc>
          <w:tcPr>
            <w:tcW w:type="dxa" w:w="4300"/>
            <w:tcBorders>
              <w:top w:val="single" w:color="CCCCCC" w:sz="1"/>
              <w:left w:val="single" w:color="CCCCCC" w:sz="1"/>
              <w:bottom w:val="single" w:color="CCCCCC" w:sz="1"/>
              <w:right w:val="single" w:color="CCCCCC" w:sz="1"/>
            </w:tcBorders>
          </w:tcPr>
          <w:p>
            <w:pPr>
              <w:jc w:val="right"/>
            </w:pPr>
            <w:r>
              <w:t xml:space="preserve">− €X miljard</w:t>
            </w:r>
          </w:p>
        </w:tc>
      </w:tr>
      <w:tr>
        <w:tc>
          <w:tcPr>
            <w:tcW w:type="dxa" w:w="5000"/>
            <w:tcBorders>
              <w:top w:val="single" w:color="CCCCCC" w:sz="1"/>
              <w:left w:val="single" w:color="CCCCCC" w:sz="1"/>
              <w:bottom w:val="single" w:color="CCCCCC" w:sz="1"/>
              <w:right w:val="single" w:color="CCCCCC" w:sz="1"/>
            </w:tcBorders>
            <w:shd w:fill="f7fafc" w:val="clear"/>
          </w:tcPr>
          <w:p>
            <w:r>
              <w:t xml:space="preserve">V₃: Watervervuiling (niet meegerekend)</w:t>
            </w:r>
          </w:p>
        </w:tc>
        <w:tc>
          <w:tcPr>
            <w:tcW w:type="dxa" w:w="4300"/>
            <w:tcBorders>
              <w:top w:val="single" w:color="CCCCCC" w:sz="1"/>
              <w:left w:val="single" w:color="CCCCCC" w:sz="1"/>
              <w:bottom w:val="single" w:color="CCCCCC" w:sz="1"/>
              <w:right w:val="single" w:color="CCCCCC" w:sz="1"/>
            </w:tcBorders>
            <w:shd w:fill="f7fafc" w:val="clear"/>
          </w:tcPr>
          <w:p>
            <w:pPr>
              <w:jc w:val="right"/>
            </w:pPr>
            <w:r>
              <w:t xml:space="preserve">− €X miljard</w:t>
            </w:r>
          </w:p>
        </w:tc>
      </w:tr>
      <w:tr>
        <w:tc>
          <w:tcPr>
            <w:tcW w:type="dxa" w:w="5000"/>
            <w:tcBorders>
              <w:top w:val="single" w:color="CCCCCC" w:sz="1"/>
              <w:left w:val="single" w:color="CCCCCC" w:sz="1"/>
              <w:bottom w:val="single" w:color="CCCCCC" w:sz="1"/>
              <w:right w:val="single" w:color="CCCCCC" w:sz="1"/>
            </w:tcBorders>
          </w:tcPr>
          <w:p>
            <w:r>
              <w:t xml:space="preserve">H: Herstelinspanningen</w:t>
            </w:r>
          </w:p>
        </w:tc>
        <w:tc>
          <w:tcPr>
            <w:tcW w:type="dxa" w:w="4300"/>
            <w:tcBorders>
              <w:top w:val="single" w:color="CCCCCC" w:sz="1"/>
              <w:left w:val="single" w:color="CCCCCC" w:sz="1"/>
              <w:bottom w:val="single" w:color="CCCCCC" w:sz="1"/>
              <w:right w:val="single" w:color="CCCCCC" w:sz="1"/>
            </w:tcBorders>
          </w:tcPr>
          <w:p>
            <w:pPr>
              <w:jc w:val="right"/>
            </w:pPr>
            <w:r>
              <w:t xml:space="preserve">+ €0</w:t>
            </w:r>
          </w:p>
        </w:tc>
      </w:tr>
      <w:tr>
        <w:tc>
          <w:tcPr>
            <w:tcW w:type="dxa" w:w="5000"/>
            <w:tcBorders>
              <w:top w:val="single" w:color="CCCCCC" w:sz="1"/>
              <w:left w:val="single" w:color="CCCCCC" w:sz="1"/>
              <w:bottom w:val="single" w:color="CCCCCC" w:sz="1"/>
              <w:right w:val="single" w:color="CCCCCC" w:sz="1"/>
            </w:tcBorders>
            <w:shd w:fill="c53030" w:val="clear"/>
          </w:tcPr>
          <w:p>
            <w:r>
              <w:rPr>
                <w:b/>
                <w:bCs/>
                <w:color w:val="FFFFFF"/>
              </w:rPr>
              <w:t xml:space="preserve">W: WERKELIJKE WAARDE</w:t>
            </w:r>
          </w:p>
        </w:tc>
        <w:tc>
          <w:tcPr>
            <w:tcW w:type="dxa" w:w="4300"/>
            <w:tcBorders>
              <w:top w:val="single" w:color="CCCCCC" w:sz="1"/>
              <w:left w:val="single" w:color="CCCCCC" w:sz="1"/>
              <w:bottom w:val="single" w:color="CCCCCC" w:sz="1"/>
              <w:right w:val="single" w:color="CCCCCC" w:sz="1"/>
            </w:tcBorders>
            <w:shd w:fill="c53030" w:val="clear"/>
          </w:tcPr>
          <w:p>
            <w:pPr>
              <w:jc w:val="right"/>
            </w:pPr>
            <w:r>
              <w:rPr>
                <w:b/>
                <w:bCs/>
                <w:color w:val="FFFFFF"/>
              </w:rPr>
              <w:t xml:space="preserve">− €13,88 miljard</w:t>
            </w:r>
          </w:p>
        </w:tc>
      </w:tr>
    </w:tbl>
    <w:p>
      <w:pPr>
        <w:spacing w:before="300" w:after="200"/>
      </w:pPr>
      <w:r>
        <w:rPr>
          <w:b/>
          <w:bCs/>
        </w:rPr>
        <w:t xml:space="preserve">Conclusie: </w:t>
      </w:r>
      <w:r>
        <w:t xml:space="preserve">Alleen al op basis van CO₂-uitstoot is JBS geen winstgevend bedrijf maar een bedrijf met bijna €14 miljard VERLIES. De andere verliesposten (ontbossing, watervervuiling, voedselverspilling) zijn hier nog niet eens bij opgeteld.</w:t>
      </w:r>
    </w:p>
    <w:p>
      <w:pPr>
        <w:pStyle w:val="Heading2"/>
      </w:pPr>
      <w:r>
        <w:t xml:space="preserve">4.3 Vergelijking: JBS vs. Frankrijk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800"/>
      </w:tblGrid>
      <w:tr>
        <w:tc>
          <w:tcPr>
            <w:tcW w:type="dxa" w:w="3500"/>
            <w:tcBorders>
              <w:top w:val="single" w:color="CCCCCC" w:sz="1"/>
              <w:left w:val="single" w:color="CCCCCC" w:sz="1"/>
              <w:bottom w:val="single" w:color="CCCCCC" w:sz="1"/>
              <w:right w:val="single" w:color="CCCCCC" w:sz="1"/>
            </w:tcBorders>
            <w:shd w:fill="1a365d" w:val="clear"/>
          </w:tcPr>
          <w:p>
            <w:r>
              <w:rPr>
                <w:b/>
                <w:bCs/>
                <w:color w:val="FFFFFF"/>
              </w:rPr>
              <w:t xml:space="preserve">Indicator</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JBS S.A.</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Frankrijk (vlees)</w:t>
            </w:r>
          </w:p>
        </w:tc>
      </w:tr>
      <w:tr>
        <w:tc>
          <w:tcPr>
            <w:tcW w:type="dxa" w:w="3500"/>
            <w:tcBorders>
              <w:top w:val="single" w:color="CCCCCC" w:sz="1"/>
              <w:left w:val="single" w:color="CCCCCC" w:sz="1"/>
              <w:bottom w:val="single" w:color="CCCCCC" w:sz="1"/>
              <w:right w:val="single" w:color="CCCCCC" w:sz="1"/>
            </w:tcBorders>
          </w:tcPr>
          <w:p>
            <w:r>
              <w:t xml:space="preserve">Omzet</w:t>
            </w:r>
          </w:p>
        </w:tc>
        <w:tc>
          <w:tcPr>
            <w:tcW w:type="dxa" w:w="2800"/>
            <w:tcBorders>
              <w:top w:val="single" w:color="CCCCCC" w:sz="1"/>
              <w:left w:val="single" w:color="CCCCCC" w:sz="1"/>
              <w:bottom w:val="single" w:color="CCCCCC" w:sz="1"/>
              <w:right w:val="single" w:color="CCCCCC" w:sz="1"/>
            </w:tcBorders>
          </w:tcPr>
          <w:p>
            <w:pPr>
              <w:jc w:val="right"/>
            </w:pPr>
            <w:r>
              <w:t xml:space="preserve">$77,2 miljard</w:t>
            </w:r>
          </w:p>
        </w:tc>
        <w:tc>
          <w:tcPr>
            <w:tcW w:type="dxa" w:w="2800"/>
            <w:tcBorders>
              <w:top w:val="single" w:color="CCCCCC" w:sz="1"/>
              <w:left w:val="single" w:color="CCCCCC" w:sz="1"/>
              <w:bottom w:val="single" w:color="CCCCCC" w:sz="1"/>
              <w:right w:val="single" w:color="CCCCCC" w:sz="1"/>
            </w:tcBorders>
          </w:tcPr>
          <w:p>
            <w:pPr>
              <w:jc w:val="right"/>
            </w:pPr>
            <w:r>
              <w:t xml:space="preserve">~€30 miljard</w:t>
            </w:r>
          </w:p>
        </w:tc>
      </w:tr>
      <w:tr>
        <w:tc>
          <w:tcPr>
            <w:tcW w:type="dxa" w:w="3500"/>
            <w:tcBorders>
              <w:top w:val="single" w:color="CCCCCC" w:sz="1"/>
              <w:left w:val="single" w:color="CCCCCC" w:sz="1"/>
              <w:bottom w:val="single" w:color="CCCCCC" w:sz="1"/>
              <w:right w:val="single" w:color="CCCCCC" w:sz="1"/>
            </w:tcBorders>
            <w:shd w:fill="f7fafc" w:val="clear"/>
          </w:tcPr>
          <w:p>
            <w:r>
              <w:t xml:space="preserve">Productie</w:t>
            </w:r>
          </w:p>
        </w:tc>
        <w:tc>
          <w:tcPr>
            <w:tcW w:type="dxa" w:w="2800"/>
            <w:tcBorders>
              <w:top w:val="single" w:color="CCCCCC" w:sz="1"/>
              <w:left w:val="single" w:color="CCCCCC" w:sz="1"/>
              <w:bottom w:val="single" w:color="CCCCCC" w:sz="1"/>
              <w:right w:val="single" w:color="CCCCCC" w:sz="1"/>
            </w:tcBorders>
            <w:shd w:fill="f7fafc" w:val="clear"/>
          </w:tcPr>
          <w:p>
            <w:pPr>
              <w:jc w:val="right"/>
            </w:pPr>
            <w:r>
              <w:t xml:space="preserve">~78 miljoen ton</w:t>
            </w:r>
          </w:p>
        </w:tc>
        <w:tc>
          <w:tcPr>
            <w:tcW w:type="dxa" w:w="2800"/>
            <w:tcBorders>
              <w:top w:val="single" w:color="CCCCCC" w:sz="1"/>
              <w:left w:val="single" w:color="CCCCCC" w:sz="1"/>
              <w:bottom w:val="single" w:color="CCCCCC" w:sz="1"/>
              <w:right w:val="single" w:color="CCCCCC" w:sz="1"/>
            </w:tcBorders>
            <w:shd w:fill="f7fafc" w:val="clear"/>
          </w:tcPr>
          <w:p>
            <w:pPr>
              <w:jc w:val="right"/>
            </w:pPr>
            <w:r>
              <w:t xml:space="preserve">5 miljoen ton</w:t>
            </w:r>
          </w:p>
        </w:tc>
      </w:tr>
      <w:tr>
        <w:tc>
          <w:tcPr>
            <w:tcW w:type="dxa" w:w="3500"/>
            <w:tcBorders>
              <w:top w:val="single" w:color="CCCCCC" w:sz="1"/>
              <w:left w:val="single" w:color="CCCCCC" w:sz="1"/>
              <w:bottom w:val="single" w:color="CCCCCC" w:sz="1"/>
              <w:right w:val="single" w:color="CCCCCC" w:sz="1"/>
            </w:tcBorders>
          </w:tcPr>
          <w:p>
            <w:r>
              <w:t xml:space="preserve">CO₂-uitstoot</w:t>
            </w:r>
          </w:p>
        </w:tc>
        <w:tc>
          <w:tcPr>
            <w:tcW w:type="dxa" w:w="2800"/>
            <w:tcBorders>
              <w:top w:val="single" w:color="CCCCCC" w:sz="1"/>
              <w:left w:val="single" w:color="CCCCCC" w:sz="1"/>
              <w:bottom w:val="single" w:color="CCCCCC" w:sz="1"/>
              <w:right w:val="single" w:color="CCCCCC" w:sz="1"/>
            </w:tcBorders>
          </w:tcPr>
          <w:p>
            <w:pPr>
              <w:jc w:val="right"/>
            </w:pPr>
            <w:r>
              <w:rPr>
                <w:b/>
                <w:bCs/>
              </w:rPr>
              <w:t xml:space="preserve">421,6 Mt</w:t>
            </w:r>
          </w:p>
        </w:tc>
        <w:tc>
          <w:tcPr>
            <w:tcW w:type="dxa" w:w="2800"/>
            <w:tcBorders>
              <w:top w:val="single" w:color="CCCCCC" w:sz="1"/>
              <w:left w:val="single" w:color="CCCCCC" w:sz="1"/>
              <w:bottom w:val="single" w:color="CCCCCC" w:sz="1"/>
              <w:right w:val="single" w:color="CCCCCC" w:sz="1"/>
            </w:tcBorders>
          </w:tcPr>
          <w:p>
            <w:pPr>
              <w:jc w:val="right"/>
            </w:pPr>
            <w:r>
              <w:t xml:space="preserve">42,6 Mt</w:t>
            </w:r>
          </w:p>
        </w:tc>
      </w:tr>
      <w:tr>
        <w:tc>
          <w:tcPr>
            <w:tcW w:type="dxa" w:w="3500"/>
            <w:tcBorders>
              <w:top w:val="single" w:color="CCCCCC" w:sz="1"/>
              <w:left w:val="single" w:color="CCCCCC" w:sz="1"/>
              <w:bottom w:val="single" w:color="CCCCCC" w:sz="1"/>
              <w:right w:val="single" w:color="CCCCCC" w:sz="1"/>
            </w:tcBorders>
            <w:shd w:fill="f7fafc" w:val="clear"/>
          </w:tcPr>
          <w:p>
            <w:r>
              <w:t xml:space="preserve">Amazone-ontbossing</w:t>
            </w:r>
          </w:p>
        </w:tc>
        <w:tc>
          <w:tcPr>
            <w:tcW w:type="dxa" w:w="2800"/>
            <w:tcBorders>
              <w:top w:val="single" w:color="CCCCCC" w:sz="1"/>
              <w:left w:val="single" w:color="CCCCCC" w:sz="1"/>
              <w:bottom w:val="single" w:color="CCCCCC" w:sz="1"/>
              <w:right w:val="single" w:color="CCCCCC" w:sz="1"/>
            </w:tcBorders>
            <w:shd w:fill="f7fafc" w:val="clear"/>
          </w:tcPr>
          <w:p>
            <w:pPr>
              <w:jc w:val="right"/>
            </w:pPr>
            <w:r>
              <w:rPr>
                <w:color w:val="c53030"/>
              </w:rPr>
              <w:t xml:space="preserve">1,5 miljoen ha</w:t>
            </w:r>
          </w:p>
        </w:tc>
        <w:tc>
          <w:tcPr>
            <w:tcW w:type="dxa" w:w="2800"/>
            <w:tcBorders>
              <w:top w:val="single" w:color="CCCCCC" w:sz="1"/>
              <w:left w:val="single" w:color="CCCCCC" w:sz="1"/>
              <w:bottom w:val="single" w:color="CCCCCC" w:sz="1"/>
              <w:right w:val="single" w:color="CCCCCC" w:sz="1"/>
            </w:tcBorders>
            <w:shd w:fill="f7fafc" w:val="clear"/>
          </w:tcPr>
          <w:p>
            <w:pPr>
              <w:jc w:val="right"/>
            </w:pPr>
            <w:r>
              <w:t xml:space="preserve">0 ha</w:t>
            </w:r>
          </w:p>
        </w:tc>
      </w:tr>
      <w:tr>
        <w:tc>
          <w:tcPr>
            <w:tcW w:type="dxa" w:w="3500"/>
            <w:tcBorders>
              <w:top w:val="single" w:color="CCCCCC" w:sz="1"/>
              <w:left w:val="single" w:color="CCCCCC" w:sz="1"/>
              <w:bottom w:val="single" w:color="CCCCCC" w:sz="1"/>
              <w:right w:val="single" w:color="CCCCCC" w:sz="1"/>
            </w:tcBorders>
          </w:tcPr>
          <w:p>
            <w:r>
              <w:t xml:space="preserve">Verliesbelasting (€50/ton)</w:t>
            </w:r>
          </w:p>
        </w:tc>
        <w:tc>
          <w:tcPr>
            <w:tcW w:type="dxa" w:w="2800"/>
            <w:tcBorders>
              <w:top w:val="single" w:color="CCCCCC" w:sz="1"/>
              <w:left w:val="single" w:color="CCCCCC" w:sz="1"/>
              <w:bottom w:val="single" w:color="CCCCCC" w:sz="1"/>
              <w:right w:val="single" w:color="CCCCCC" w:sz="1"/>
            </w:tcBorders>
          </w:tcPr>
          <w:p>
            <w:pPr>
              <w:jc w:val="right"/>
            </w:pPr>
            <w:r>
              <w:rPr>
                <w:b/>
                <w:bCs/>
                <w:color w:val="c53030"/>
              </w:rPr>
              <w:t xml:space="preserve">€21,08 miljard</w:t>
            </w:r>
          </w:p>
        </w:tc>
        <w:tc>
          <w:tcPr>
            <w:tcW w:type="dxa" w:w="2800"/>
            <w:tcBorders>
              <w:top w:val="single" w:color="CCCCCC" w:sz="1"/>
              <w:left w:val="single" w:color="CCCCCC" w:sz="1"/>
              <w:bottom w:val="single" w:color="CCCCCC" w:sz="1"/>
              <w:right w:val="single" w:color="CCCCCC" w:sz="1"/>
            </w:tcBorders>
          </w:tcPr>
          <w:p>
            <w:pPr>
              <w:jc w:val="right"/>
            </w:pPr>
            <w:r>
              <w:t xml:space="preserve">€2,13 miljard</w:t>
            </w:r>
          </w:p>
        </w:tc>
      </w:tr>
    </w:tbl>
    <w:p>
      <w:r>
        <w:br w:type="page"/>
      </w:r>
    </w:p>
    <w:p>
      <w:pPr>
        <w:pStyle w:val="Heading1"/>
      </w:pPr>
      <w:r>
        <w:t xml:space="preserve">5. HET FALEN VAN DE EU</w:t>
      </w:r>
    </w:p>
    <w:p>
      <w:pPr>
        <w:pStyle w:val="Heading2"/>
      </w:pPr>
      <w:r>
        <w:t xml:space="preserve">5.1 EUDR-uitstel</w:t>
      </w:r>
    </w:p>
    <w:p>
      <w:pPr>
        <w:spacing w:after="200"/>
      </w:pPr>
      <w:r>
        <w:t xml:space="preserve">De EU Deforestation Regulation (EUDR) zou op 30 december 2024 van kracht worden. Op 14 november 2024 stemde het Europees Parlement voor een uitstel van 12 maanden naar 30 december 2025, na druk van de industrie en bepaalde lidstaten.</w:t>
      </w:r>
    </w:p>
    <w:p>
      <w:pPr>
        <w:spacing w:after="200"/>
      </w:pPr>
      <w:r>
        <w:t xml:space="preserve">Greenpeace stelt: "Tot de baanbrekende EU Deforestation Regulation eindelijk wordt geïmplementeerd, heeft de EU geen middelen om te garanderen dat vlees gelinkt aan ontbossing van de Amazone of landconflicten niet op de Europese markt komt."</w:t>
      </w:r>
    </w:p>
    <w:p>
      <w:pPr>
        <w:pStyle w:val="Heading2"/>
      </w:pPr>
      <w:r>
        <w:t xml:space="preserve">5.2 JBS marktaandeel</w:t>
      </w:r>
    </w:p>
    <w:p>
      <w:pPr>
        <w:spacing w:after="200"/>
      </w:pPr>
      <w:r>
        <w:t xml:space="preserve">Ondanks alle schandalen domineert JBS de Europese import:</w:t>
      </w:r>
    </w:p>
    <w:p>
      <w:pPr>
        <w:pStyle w:val="ListParagraph"/>
        <w:numPr>
          <w:ilvl w:val="0"/>
          <w:numId w:val="2"/>
        </w:numPr>
      </w:pPr>
      <w:r>
        <w:t xml:space="preserve">51% van alle Braziliaanse rundvleesexport naar de EU (januari-november 2023)</w:t>
      </w:r>
    </w:p>
    <w:p>
      <w:pPr>
        <w:pStyle w:val="ListParagraph"/>
        <w:numPr>
          <w:ilvl w:val="0"/>
          <w:numId w:val="2"/>
        </w:numPr>
      </w:pPr>
      <w:r>
        <w:t xml:space="preserve">41,9% van het volume naar de EU in 2020</w:t>
      </w:r>
    </w:p>
    <w:p>
      <w:pPr>
        <w:pStyle w:val="ListParagraph"/>
        <w:numPr>
          <w:ilvl w:val="0"/>
          <w:numId w:val="2"/>
        </w:numPr>
        <w:spacing w:after="200"/>
      </w:pPr>
      <w:r>
        <w:t xml:space="preserve">Europa was de tweede grootste markt voor JBS-exporten in eerste helft 2025</w:t>
      </w:r>
    </w:p>
    <w:p>
      <w:pPr>
        <w:spacing w:after="200"/>
      </w:pPr>
      <w:r>
        <w:rPr>
          <w:b/>
          <w:bCs/>
        </w:rPr>
        <w:t xml:space="preserve">De importerende landen: </w:t>
      </w:r>
      <w:r>
        <w:t xml:space="preserve">Spanje, Duitsland, Verenigd Koninkrijk, Italië, Nederland, België, Denemarken, Frankrijk, Ierland, Zweden.</w:t>
      </w:r>
    </w:p>
    <w:p>
      <w:pPr>
        <w:pStyle w:val="Heading2"/>
      </w:pPr>
      <w:r>
        <w:t xml:space="preserve">5.3 De EU-Mercosur deal</w:t>
      </w:r>
    </w:p>
    <w:p>
      <w:pPr>
        <w:spacing w:after="200"/>
      </w:pPr>
      <w:r>
        <w:t xml:space="preserve">Terwijl de EUDR wordt uitgesteld, onderhandelt de EU over het EU-Mercosur handelsverdrag dat vleesimportquota uit Brazilië zou verhogen — zonder garantie dat deze importen niet gelinkt zijn aan ontbossing.</w:t>
      </w:r>
    </w:p>
    <w:p>
      <w:pPr>
        <w:shd w:fill="fff5f5" w:val="clear"/>
        <w:spacing w:after="200"/>
      </w:pPr>
      <w:r>
        <w:rPr>
          <w:b/>
          <w:bCs/>
          <w:color w:val="c53030"/>
        </w:rPr>
        <w:t xml:space="preserve">SAMENGEVAT: </w:t>
      </w:r>
      <w:r>
        <w:rPr>
          <w:color w:val="c53030"/>
        </w:rPr>
        <w:t xml:space="preserve">De EU kent de feiten, heeft wetgeving aangenomen, stelt deze vervolgens uit op verzoek van de industrie, en onderhandelt tegelijkertijd over een deal die het probleem zou verergeren. Dit is geen onwetendheid — dit is medeplichtigheid.</w:t>
      </w:r>
    </w:p>
    <w:p>
      <w:r>
        <w:br w:type="page"/>
      </w:r>
    </w:p>
    <w:p>
      <w:pPr>
        <w:pStyle w:val="Heading1"/>
      </w:pPr>
      <w:r>
        <w:t xml:space="preserve">6. BRONVERMELDING</w:t>
      </w:r>
    </w:p>
    <w:p>
      <w:pPr>
        <w:spacing w:after="200"/>
      </w:pPr>
      <w:r>
        <w:rPr>
          <w:i/>
          <w:iCs/>
        </w:rPr>
        <w:t xml:space="preserve">Alle cijfers in dit dossier zijn verifieerbaar via de volgende primaire bronnen:</w:t>
      </w:r>
    </w:p>
    <w:p>
      <w:pPr>
        <w:pStyle w:val="Heading3"/>
      </w:pPr>
      <w:r>
        <w:t xml:space="preserve">Officiële SEC-documenten</w:t>
      </w:r>
    </w:p>
    <w:p>
      <w:pPr>
        <w:pStyle w:val="ListParagraph"/>
        <w:numPr>
          <w:ilvl w:val="0"/>
          <w:numId w:val="3"/>
        </w:numPr>
      </w:pPr>
      <w:r>
        <w:t xml:space="preserve">JBS S.A. Form 20-F Annual Report FY2024, SEC Accession 0001013762-25-002376, 25 maart 2025</w:t>
      </w:r>
    </w:p>
    <w:p>
      <w:pPr>
        <w:pStyle w:val="ListParagraph"/>
        <w:numPr>
          <w:ilvl w:val="0"/>
          <w:numId w:val="3"/>
        </w:numPr>
      </w:pPr>
      <w:r>
        <w:t xml:space="preserve">JBS S.A. Form 424B3, SEC, 14 november 2024</w:t>
      </w:r>
    </w:p>
    <w:p>
      <w:pPr>
        <w:pStyle w:val="ListParagraph"/>
        <w:numPr>
          <w:ilvl w:val="0"/>
          <w:numId w:val="3"/>
        </w:numPr>
        <w:spacing w:after="200"/>
      </w:pPr>
      <w:r>
        <w:t xml:space="preserve">JBS Institutional Presentation 4Q21, gepubliceerd februari 2022</w:t>
      </w:r>
    </w:p>
    <w:p>
      <w:pPr>
        <w:pStyle w:val="Heading3"/>
      </w:pPr>
      <w:r>
        <w:t xml:space="preserve">Wetenschappelijke rapporten</w:t>
      </w:r>
    </w:p>
    <w:p>
      <w:pPr>
        <w:pStyle w:val="ListParagraph"/>
        <w:numPr>
          <w:ilvl w:val="0"/>
          <w:numId w:val="3"/>
        </w:numPr>
      </w:pPr>
      <w:r>
        <w:t xml:space="preserve">IATP, "The great climate greenwash: Global meat giant JBS' emissions leap by 51% in five years", april 2022</w:t>
      </w:r>
    </w:p>
    <w:p>
      <w:pPr>
        <w:pStyle w:val="ListParagraph"/>
        <w:numPr>
          <w:ilvl w:val="0"/>
          <w:numId w:val="3"/>
        </w:numPr>
      </w:pPr>
      <w:r>
        <w:t xml:space="preserve">IATP &amp; GRAIN, "Emissions Impossible", 2018 (methodologie)</w:t>
      </w:r>
    </w:p>
    <w:p>
      <w:pPr>
        <w:pStyle w:val="ListParagraph"/>
        <w:numPr>
          <w:ilvl w:val="0"/>
          <w:numId w:val="3"/>
        </w:numPr>
      </w:pPr>
      <w:r>
        <w:t xml:space="preserve">UN FAO GLEAM Model (Global Livestock Environmental Assessment Model)</w:t>
      </w:r>
    </w:p>
    <w:p>
      <w:pPr>
        <w:pStyle w:val="ListParagraph"/>
        <w:numPr>
          <w:ilvl w:val="0"/>
          <w:numId w:val="3"/>
        </w:numPr>
        <w:spacing w:after="200"/>
      </w:pPr>
      <w:r>
        <w:t xml:space="preserve">IATP &amp; Changing Markets, "Emissions Impossible: Methane Edition", 2023</w:t>
      </w:r>
    </w:p>
    <w:p>
      <w:pPr>
        <w:pStyle w:val="Heading3"/>
      </w:pPr>
      <w:r>
        <w:t xml:space="preserve">NGO-onderzoeken</w:t>
      </w:r>
    </w:p>
    <w:p>
      <w:pPr>
        <w:pStyle w:val="ListParagraph"/>
        <w:numPr>
          <w:ilvl w:val="0"/>
          <w:numId w:val="3"/>
        </w:numPr>
      </w:pPr>
      <w:r>
        <w:t xml:space="preserve">Human Rights Watch, "Tainted: JBS and the EU's Exposure to Human Rights Violations", oktober 2025</w:t>
      </w:r>
    </w:p>
    <w:p>
      <w:pPr>
        <w:pStyle w:val="ListParagraph"/>
        <w:numPr>
          <w:ilvl w:val="0"/>
          <w:numId w:val="3"/>
        </w:numPr>
      </w:pPr>
      <w:r>
        <w:t xml:space="preserve">Greenpeace Brasil, "JBS beef exports linked to cattle raised illegally on Indigenous Land", september 2025</w:t>
      </w:r>
    </w:p>
    <w:p>
      <w:pPr>
        <w:pStyle w:val="ListParagraph"/>
        <w:numPr>
          <w:ilvl w:val="0"/>
          <w:numId w:val="3"/>
        </w:numPr>
      </w:pPr>
      <w:r>
        <w:t xml:space="preserve">World Animal Protection, "JBS linked again to cattle from farm tied to Amazon deforestation", oktober 2025</w:t>
      </w:r>
    </w:p>
    <w:p>
      <w:pPr>
        <w:pStyle w:val="ListParagraph"/>
        <w:numPr>
          <w:ilvl w:val="0"/>
          <w:numId w:val="3"/>
        </w:numPr>
      </w:pPr>
      <w:r>
        <w:t xml:space="preserve">Global Witness, "JBS's legal liabilities triple before Wall Street listing", 2025</w:t>
      </w:r>
    </w:p>
    <w:p>
      <w:pPr>
        <w:pStyle w:val="ListParagraph"/>
        <w:numPr>
          <w:ilvl w:val="0"/>
          <w:numId w:val="3"/>
        </w:numPr>
      </w:pPr>
      <w:r>
        <w:t xml:space="preserve">Mighty Earth, "The Boys from Brazil", april 2022</w:t>
      </w:r>
    </w:p>
    <w:p>
      <w:pPr>
        <w:pStyle w:val="ListParagraph"/>
        <w:numPr>
          <w:ilvl w:val="0"/>
          <w:numId w:val="3"/>
        </w:numPr>
        <w:spacing w:after="200"/>
      </w:pPr>
      <w:r>
        <w:t xml:space="preserve">Earthsight/EIA, "Who bought Apyterewa's illegal cattle?", mei 2024</w:t>
      </w:r>
    </w:p>
    <w:p>
      <w:pPr>
        <w:pStyle w:val="Heading3"/>
      </w:pPr>
      <w:r>
        <w:t xml:space="preserve">EU-wetgeving</w:t>
      </w:r>
    </w:p>
    <w:p>
      <w:pPr>
        <w:pStyle w:val="ListParagraph"/>
        <w:numPr>
          <w:ilvl w:val="0"/>
          <w:numId w:val="3"/>
        </w:numPr>
      </w:pPr>
      <w:r>
        <w:t xml:space="preserve">EU Regulation on Deforestation-Free Products (EUDR), aangenomen 2023</w:t>
      </w:r>
    </w:p>
    <w:p>
      <w:pPr>
        <w:pStyle w:val="ListParagraph"/>
        <w:numPr>
          <w:ilvl w:val="0"/>
          <w:numId w:val="3"/>
        </w:numPr>
        <w:spacing w:after="200"/>
      </w:pPr>
      <w:r>
        <w:t xml:space="preserve">EU Parliament Amendment, 14 november 2024 (12-maanden uitstel)</w:t>
      </w:r>
    </w:p>
    <w:p>
      <w:pPr>
        <w:pStyle w:val="Heading3"/>
      </w:pPr>
      <w:r>
        <w:t xml:space="preserve">Overige bronnen</w:t>
      </w:r>
    </w:p>
    <w:p>
      <w:pPr>
        <w:pStyle w:val="ListParagraph"/>
        <w:numPr>
          <w:ilvl w:val="0"/>
          <w:numId w:val="3"/>
        </w:numPr>
      </w:pPr>
      <w:r>
        <w:t xml:space="preserve">Braziliaanse federale aanklagers (MPF), onderzoek JBS illegale vee-aankopen, oktober 2021</w:t>
      </w:r>
    </w:p>
    <w:p>
      <w:pPr>
        <w:pStyle w:val="ListParagraph"/>
        <w:numPr>
          <w:ilvl w:val="0"/>
          <w:numId w:val="3"/>
        </w:numPr>
      </w:pPr>
      <w:r>
        <w:t xml:space="preserve">Trase Supply Chains, Braziliaanse vlees-exportdata</w:t>
      </w:r>
    </w:p>
    <w:p>
      <w:pPr>
        <w:pStyle w:val="ListParagraph"/>
        <w:numPr>
          <w:ilvl w:val="0"/>
          <w:numId w:val="3"/>
        </w:numPr>
      </w:pPr>
      <w:r>
        <w:t xml:space="preserve">ADEME (Franse milieuagentschap), emissiefactoren vlees</w:t>
      </w:r>
    </w:p>
    <w:p>
      <w:pPr>
        <w:pStyle w:val="ListParagraph"/>
        <w:numPr>
          <w:ilvl w:val="0"/>
          <w:numId w:val="3"/>
        </w:numPr>
      </w:pPr>
      <w:r>
        <w:t xml:space="preserve">FranceAgriMer/Eurostat, Franse vleesproductiecijfers 2023</w:t>
      </w:r>
    </w:p>
    <w:p>
      <w:r>
        <w:br w:type="page"/>
      </w:r>
    </w:p>
    <w:p>
      <w:pPr>
        <w:pStyle w:val="Heading1"/>
      </w:pPr>
      <w:r>
        <w:t xml:space="preserve">7. CONCLUSIE EN AANBEVELINGEN</w:t>
      </w:r>
    </w:p>
    <w:p>
      <w:pPr>
        <w:spacing w:after="200"/>
      </w:pPr>
      <w:r>
        <w:t xml:space="preserve">Dit dossier toont aan dat het huidige economische systeem fundamenteel gebroken is. Een familie-gecontroleerd bedrijf kan:</w:t>
      </w:r>
    </w:p>
    <w:p>
      <w:pPr>
        <w:pStyle w:val="ListParagraph"/>
        <w:numPr>
          <w:ilvl w:val="0"/>
          <w:numId w:val="2"/>
        </w:numPr>
      </w:pPr>
      <w:r>
        <w:t xml:space="preserve">Meer CO₂ uitstoten dan een heel land (Italië)</w:t>
      </w:r>
    </w:p>
    <w:p>
      <w:pPr>
        <w:pStyle w:val="ListParagraph"/>
        <w:numPr>
          <w:ilvl w:val="0"/>
          <w:numId w:val="2"/>
        </w:numPr>
      </w:pPr>
      <w:r>
        <w:t xml:space="preserve">1,5 miljoen hectare regenwoud vernietigen</w:t>
      </w:r>
    </w:p>
    <w:p>
      <w:pPr>
        <w:pStyle w:val="ListParagraph"/>
        <w:numPr>
          <w:ilvl w:val="0"/>
          <w:numId w:val="2"/>
        </w:numPr>
      </w:pPr>
      <w:r>
        <w:t xml:space="preserve">Systematisch vee kopen van illegale ontbossers</w:t>
      </w:r>
    </w:p>
    <w:p>
      <w:pPr>
        <w:pStyle w:val="ListParagraph"/>
        <w:numPr>
          <w:ilvl w:val="0"/>
          <w:numId w:val="2"/>
        </w:numPr>
      </w:pPr>
      <w:r>
        <w:t xml:space="preserve">$6,9 miljard aan juridische aansprakelijkheden accumuleren</w:t>
      </w:r>
    </w:p>
    <w:p>
      <w:pPr>
        <w:pStyle w:val="ListParagraph"/>
        <w:numPr>
          <w:ilvl w:val="0"/>
          <w:numId w:val="2"/>
        </w:numPr>
        <w:spacing w:after="200"/>
      </w:pPr>
      <w:r>
        <w:rPr>
          <w:b/>
          <w:bCs/>
        </w:rPr>
        <w:t xml:space="preserve">En dit allemaal als "winst" rapporteren</w:t>
      </w:r>
    </w:p>
    <w:p>
      <w:pPr>
        <w:spacing w:after="300"/>
      </w:pPr>
      <w:r>
        <w:t xml:space="preserve">De enige reden dat dit mogelijk is: het huidige systeem heeft geen mechanisme om ecologische schade te belasten. The Divine Deal biedt dit mechanisme.</w:t>
      </w:r>
    </w:p>
    <w:p>
      <w:pPr>
        <w:pStyle w:val="Heading2"/>
      </w:pPr>
      <w:r>
        <w:t xml:space="preserve">Aanbevelingen</w:t>
      </w:r>
    </w:p>
    <w:p>
      <w:pPr>
        <w:spacing w:after="100"/>
      </w:pPr>
      <w:r>
        <w:rPr>
          <w:b/>
          <w:bCs/>
        </w:rPr>
        <w:t xml:space="preserve">Voor Frankrijk:</w:t>
      </w:r>
    </w:p>
    <w:p>
      <w:pPr>
        <w:pStyle w:val="ListParagraph"/>
        <w:numPr>
          <w:ilvl w:val="0"/>
          <w:numId w:val="2"/>
        </w:numPr>
      </w:pPr>
      <w:r>
        <w:t xml:space="preserve">Implementeer verliesbelasting als pilot in de vleesindustrie</w:t>
      </w:r>
    </w:p>
    <w:p>
      <w:pPr>
        <w:pStyle w:val="ListParagraph"/>
        <w:numPr>
          <w:ilvl w:val="0"/>
          <w:numId w:val="2"/>
        </w:numPr>
      </w:pPr>
      <w:r>
        <w:t xml:space="preserve">Weiger vlees van bedrijven met gedocumenteerde ontbossingslinks</w:t>
      </w:r>
    </w:p>
    <w:p>
      <w:pPr>
        <w:pStyle w:val="ListParagraph"/>
        <w:numPr>
          <w:ilvl w:val="0"/>
          <w:numId w:val="2"/>
        </w:numPr>
        <w:spacing w:after="200"/>
      </w:pPr>
      <w:r>
        <w:t xml:space="preserve">Neem leiderschap waar de EU faalt</w:t>
      </w:r>
    </w:p>
    <w:p>
      <w:pPr>
        <w:spacing w:after="100"/>
      </w:pPr>
      <w:r>
        <w:rPr>
          <w:b/>
          <w:bCs/>
        </w:rPr>
        <w:t xml:space="preserve">Voor de EU:</w:t>
      </w:r>
    </w:p>
    <w:p>
      <w:pPr>
        <w:pStyle w:val="ListParagraph"/>
        <w:numPr>
          <w:ilvl w:val="0"/>
          <w:numId w:val="2"/>
        </w:numPr>
      </w:pPr>
      <w:r>
        <w:t xml:space="preserve">Implementeer EUDR zonder verder uitstel</w:t>
      </w:r>
    </w:p>
    <w:p>
      <w:pPr>
        <w:pStyle w:val="ListParagraph"/>
        <w:numPr>
          <w:ilvl w:val="0"/>
          <w:numId w:val="2"/>
        </w:numPr>
      </w:pPr>
      <w:r>
        <w:t xml:space="preserve">Integreer verliesbelasting in handelsovereenkomsten</w:t>
      </w:r>
    </w:p>
    <w:p>
      <w:pPr>
        <w:pStyle w:val="ListParagraph"/>
        <w:numPr>
          <w:ilvl w:val="0"/>
          <w:numId w:val="2"/>
        </w:numPr>
        <w:spacing w:after="200"/>
      </w:pPr>
      <w:r>
        <w:t xml:space="preserve">Heroverweeg EU-Mercosur</w:t>
      </w:r>
    </w:p>
    <w:p>
      <w:pPr>
        <w:spacing w:after="100"/>
      </w:pPr>
      <w:r>
        <w:rPr>
          <w:b/>
          <w:bCs/>
        </w:rPr>
        <w:t xml:space="preserve">Voor internationale instellingen (VN, UNESCO, SEC):</w:t>
      </w:r>
    </w:p>
    <w:p>
      <w:pPr>
        <w:pStyle w:val="ListParagraph"/>
        <w:numPr>
          <w:ilvl w:val="0"/>
          <w:numId w:val="2"/>
        </w:numPr>
      </w:pPr>
      <w:r>
        <w:t xml:space="preserve">Verplicht volledige Scope 3 emissie-rapportage</w:t>
      </w:r>
    </w:p>
    <w:p>
      <w:pPr>
        <w:pStyle w:val="ListParagraph"/>
        <w:numPr>
          <w:ilvl w:val="0"/>
          <w:numId w:val="2"/>
        </w:numPr>
      </w:pPr>
      <w:r>
        <w:t xml:space="preserve">Integreer ecologische schade in financiële rapportagestandaarden</w:t>
      </w:r>
    </w:p>
    <w:p>
      <w:pPr>
        <w:pStyle w:val="ListParagraph"/>
        <w:numPr>
          <w:ilvl w:val="0"/>
          <w:numId w:val="2"/>
        </w:numPr>
      </w:pPr>
      <w:r>
        <w:t xml:space="preserve">Onderzoek JBS voor mogelijke effectenfraude door materiële risico's te verzwijgen</w:t>
      </w:r>
    </w:p>
    <w:p>
      <w:pPr>
        <w:spacing w:before="400"/>
      </w:pPr>
    </w:p>
    <w:p>
      <w:pPr>
        <w:spacing w:before="400"/>
        <w:jc w:val="center"/>
      </w:pPr>
      <w:r>
        <w:rPr>
          <w:b/>
          <w:bCs/>
          <w:color w:val="718096"/>
        </w:rPr>
        <w:t xml:space="preserve">— EINDE DOSSIER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Pagina </w:t>
    </w:r>
    <w:r>
      <w:rPr>
        <w:sz w:val="18"/>
        <w:szCs w:val="18"/>
      </w:rPr>
      <w:fldChar w:fldCharType="begin"/>
      <w:instrText xml:space="preserve">PAGE</w:instrText>
      <w:fldChar w:fldCharType="separate"/>
      <w:fldChar w:fldCharType="end"/>
    </w:r>
    <w:r>
      <w:rPr>
        <w:sz w:val="18"/>
        <w:szCs w:val="18"/>
      </w:rPr>
      <w:t xml:space="preserve"> van </w:t>
    </w:r>
    <w:r>
      <w:rPr>
        <w:sz w:val="18"/>
        <w:szCs w:val="18"/>
      </w:rPr>
      <w:fldChar w:fldCharType="begin"/>
      <w:instrText xml:space="preserve">NUMPAGES</w:instrText>
      <w:fldChar w:fldCharType="separate"/>
      <w:fldChar w:fldCharType="end"/>
    </w:r>
    <w:r>
      <w:rPr>
        <w:color w:val="718096"/>
        <w:sz w:val="18"/>
        <w:szCs w:val="18"/>
      </w:rPr>
      <w:t xml:space="preserve"> — Vertrouwelijk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JBS DOSSIER — BIJLAGE THE DIVINE DEAL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2025-12-10T10:13:32.649Z</dcterms:created>
  <dcterms:modified xsi:type="dcterms:W3CDTF">2025-12-10T10:13:32.650Z</dcterms:modified>
</cp:coreProperties>
</file>

<file path=docProps/custom.xml><?xml version="1.0" encoding="utf-8"?>
<Properties xmlns="http://schemas.openxmlformats.org/officeDocument/2006/custom-properties" xmlns:vt="http://schemas.openxmlformats.org/officeDocument/2006/docPropsVTypes"/>
</file>