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Microsoft YaHei" w:hAnsi="Arial"/>
          <w:b/>
          <w:bCs/>
          <w:color w:val="1F3864"/>
          <w:sz w:val="40"/>
          <w:szCs w:val="40"/>
        </w:rPr>
        <w:t xml:space="preserve">FS-COD 1.0 交付清单</w:t>
      </w:r>
    </w:p>
    <w:p>
      <w:pPr>
        <w:spacing w:after="300"/>
        <w:jc w:val="center"/>
      </w:pPr>
      <w:r>
        <w:rPr>
          <w:rFonts w:ascii="Times New Roman" w:cs="Times New Roman" w:eastAsia="SimSun" w:hAnsi="Times New Roman"/>
          <w:sz w:val="22"/>
          <w:szCs w:val="22"/>
        </w:rPr>
        <w:t xml:space="preserve">生成日期：2026 年 9 月 30 日（公式与插图修订版）    交付根目录：FS_COD_交付/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本清单逐项列出交付文件的名称、用途、生成方式与验证状态。验证状态分为：已验证（真实运行产出且经校验/复核）、已校验（文档类通过 docx 结构与渲染检查）、声明（说明性文件，无需运行验证）。所有数值结果均可由 code/ 目录脚本按 README.md 复现。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1900"/>
        <w:gridCol w:w="1500"/>
      </w:tblGrid>
      <w:tr>
        <w:tc>
          <w:tcPr>
            <w:tcW w:type="dxa" w:w="2900"/>
            <w:shd w:fill="DEE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文件名</w:t>
            </w:r>
          </w:p>
        </w:tc>
        <w:tc>
          <w:tcPr>
            <w:tcW w:type="dxa" w:w="2600"/>
            <w:shd w:fill="DEE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用途</w:t>
            </w:r>
          </w:p>
        </w:tc>
        <w:tc>
          <w:tcPr>
            <w:tcW w:type="dxa" w:w="1900"/>
            <w:shd w:fill="DEE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生成方式</w:t>
            </w:r>
          </w:p>
        </w:tc>
        <w:tc>
          <w:tcPr>
            <w:tcW w:type="dxa" w:w="1500"/>
            <w:shd w:fill="DEE6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验证状态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docs/泛因素空间驱动的图像对象与边界协同识别算法（FS-COD 1.0）设计文档.docx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算法设计主文档（SCI 论文结构五章：引言/理论基础/算法设计/实证分析/结论及展望 + 参考文献三格式），含 Word 原生可编辑 OMML 公式（手写 OMML 注入，规避 docx-js Math API 子元素重排缺陷）、目录、理论—代码对应表、三列分阶段技术路线图、单图三行完整对比面板、失败案例完整六方法面板、英文插图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docx-js 脚本生成（doc_build/create_main.js）+ 后处理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已校验（OpenXML 结构校验通过 + 逐页渲染复核，31 页；10 条显示公式逐条渲染复核）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docs/FS-COD_1.0_过程与反思报告.docx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开发过程、缺陷记录 D1–D14、修复与复验过程、诚实性说明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docx-js 脚本生成（doc_build/create_reflection.js）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已校验（结构校验通过 + 逐页渲染复核）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docs/FS-COD_1.0_交付清单.docx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本清单：文件名/用途/生成方式/验证状态 + 合规性核验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docx-js 脚本生成（doc_build/create_checklist.js）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已校验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code/FS_COD.py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FS-COD 1.0 算法完整实现（原子化、因素池、相态化、分析/合成算子、边界凭证、语义规则）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手工编写，阶段验证修正凭证机制后冻结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已验证（500 张真实运行）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code/baselines.py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5 个对比算法统一封装（SLIC/Felzenszwalb/Quickshift/Watershed/MeanShift）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已验证（500 张×5 真实运行）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code/metrics.py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12 项指标实现（6 监督：BF/PRI/VOI/COV/BDE/ARI；6 无监督：SSE/Con/GSup/Comp/SizeEnt/NReg），多标注逐标注平均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已验证（4500 次评价运行）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code/run_benchmark.py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全量基准运行器（500 张×9 方法/变体，含断点续跑）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benchmark_results.csv）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code/calibrate_lambda.py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λ 标定（训练集 30 张网格搜索，复合平均秩准则）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lambda_calibration*.csv）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code/analyze_results.py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汇总/胜率/Wilcoxon 统计脚本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summary/winrate/wilcoxon 表）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code/run_sensitivity.py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敏感性扫描（b/τ/k_max 三参数）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sensitivity*.csv）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code/failure_cases.py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失败案例自动筛选（测试集净胜场最低 5 张）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failure_cases.csv）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code/regen_rules.py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语义规则文本再生成（D11 编号一致性修复，仅重写规则文本，不改标签与指标）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已验证（500 张规则文本再生成）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code/figures.py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全部插图生成脚本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figures/）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code/README.md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运行说明：依赖、命令、冻结参数、文件结构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声明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results/benchmark_results.csv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全量逐图原始结果（4500 行 = 500 图×9 方法，12 指标+运行时间+区域数）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run_benchmark.py 真实运行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results/stage20_snapshot.csv / summary_stage20.csv / winrate_stage20.csv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阶段验证（预声明 20 张）逐图结果与汇总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阶段验证运行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results/summary_by_split.csv / summary_by_split_2level.csv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全量逐划分汇总（train/val/test × 9 方法）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analyze_results.py 由原始结果计算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results/winrate_{train,val,test}.csv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逐图综合胜率（预注册规则）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analyze_results.py 计算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results/wilcoxon_{train,val,test}.csv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Wilcoxon 符号秩检验（逐指标逐基线）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analyze_results.py 计算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results/lambda_calibration.csv / _ext.csv / _summary.csv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λ 标定逐图与汇总（冻结 λ=0.5，复合平均秩 2.2722）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calibrate_lambda.py 真实运行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results/sensitivity.csv / sensitivity_per_image.csv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敏感性扫描汇总与逐图结果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run_sensitivity.py 真实运行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results/failure_cases.csv / failure_scores_all.csv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失败案例清单与全体测试图净胜得分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failure_cases.py 计算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results/fscod_artifacts/{train,val,test}/（1500 个文件）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FS-COD 逐图产物：标签场 npz + 语义规则 _rules.txt + 运行日志 _log.json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FS_COD.py 真实运行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figures/（12 图 × PNG 150dpi + TIFF 300dpi）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全部图内表述为英文 Times New Roman 风格（Liberation Serif，与 Times New Roman 度量兼容）：三列分阶段技术路线图/泛因素空间结构/λ标定曲线/指标柱状/胜率/单图 3×3 六方法对比面板×2/失败案例完整六方法面板×5/语义示例图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figures.py 与交互会话脚本（matplotlib）生成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logs/（7 个日志文件）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各阶段完整运行日志（阶段验证、标定、全量、敏感性）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运行自动记录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data/BSR/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BSD500 原始数据集（用户上传解包，未改动）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用户上传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声明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doc_build/（构建脚本与后处理）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三份文档的生成脚本、checklist 数据、postfix_docx.py 兼容性后处理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手工编写</w:t>
            </w:r>
          </w:p>
        </w:tc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Times New Roman" w:cs="Times New Roman" w:eastAsia="SimSun" w:hAnsi="Times New Roman"/>
                <w:sz w:val="18"/>
                <w:szCs w:val="18"/>
              </w:rPr>
              <w:t xml:space="preserve">已验证（产出 docs/）</w:t>
            </w:r>
          </w:p>
        </w:tc>
      </w:tr>
    </w:tbl>
    <w:p>
      <w:pPr>
        <w:pStyle w:val="Heading1"/>
        <w:spacing w:after="180" w:before="320"/>
      </w:pPr>
      <w:r>
        <w:rPr>
          <w:rFonts w:ascii="Arial" w:cs="Arial" w:eastAsia="Microsoft YaHei" w:hAnsi="Arial"/>
          <w:b/>
          <w:bCs/>
          <w:color w:val="1F3864"/>
          <w:sz w:val="32"/>
          <w:szCs w:val="32"/>
        </w:rPr>
        <w:t xml:space="preserve">附：实验合规性核验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预声明抽样：阶段验证 20 张图像按划分分层、按文件名序抽样，抽样清单先于任何结果查看即冻结于运行日志（logs/stage20_run.log），全过程未更换样本。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无硬编码：算法与脚本中不存在针对 BSD500 具体图像编号或标注内容的分支逻辑；全部参数集中于 FS_COD.py 的 Config 冻结表，λ 与 τ 仅由训练集标定。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无标注泄漏：标定只用训练集图像与其标注；阶段验证用验证集；冻结后的完整验证覆盖全部 500 张；任何图像的标注不参与该图像的算法运行。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无选择性报告：4500 次运行的逐图结果完整保留于 results/benchmark_results.csv（含失败与 NaN），汇总统计由脚本机械计算；阶段验证修正前的原始数据在过程与反思报告中如实披露。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诚实性区分：设计文档 5.2 节明确区分三类内容——已由真实运行验证（全部实验数值）、仅由数学推导支持（极限原理、终止性等命题）、受环境限制未能完成（与 gPb/HED/SAM 等算力密集方法的实跑对比，仅作文献层面讨论）。</w:t>
      </w:r>
    </w:p>
    <w:p>
      <w:pPr>
        <w:spacing w:after="100" w:line="300"/>
        <w:ind w:firstLine="475"/>
        <w:jc w:val="both"/>
      </w:pPr>
      <w:r>
        <w:rPr>
          <w:rFonts w:ascii="Times New Roman" w:cs="Times New Roman" w:eastAsia="SimSun" w:hAnsi="Times New Roman"/>
          <w:sz w:val="22"/>
          <w:szCs w:val="22"/>
        </w:rPr>
        <w:t xml:space="preserve">可复现性：全部结果可由 code/ 目录脚本按 README.md 命令复现；随机种子 20260927 冻结；依赖版本见 README。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line="300"/>
      <w:jc w:val="center"/>
    </w:pPr>
    <w:r>
      <w:rPr>
        <w:rFonts w:ascii="Times New Roman" w:cs="Times New Roman" w:eastAsia="SimSun" w:hAnsi="Times New Roman"/>
        <w:color w:val="595959"/>
        <w:sz w:val="18"/>
        <w:szCs w:val="18"/>
      </w:rPr>
      <w:t xml:space="preserve">FS-COD 1.0 交付清单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2026-09-30T11:19:56.300Z</dcterms:created>
  <dcterms:modified xsi:type="dcterms:W3CDTF">2026-09-30T11:19:56.300Z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