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95.0" w:type="dxa"/>
        <w:jc w:val="left"/>
        <w:tblLayout w:type="fixed"/>
        <w:tblLook w:val="0600"/>
      </w:tblPr>
      <w:tblGrid>
        <w:gridCol w:w="4500"/>
        <w:gridCol w:w="4395"/>
        <w:tblGridChange w:id="0">
          <w:tblGrid>
            <w:gridCol w:w="4500"/>
            <w:gridCol w:w="4395"/>
          </w:tblGrid>
        </w:tblGridChange>
      </w:tblGrid>
      <w:tr>
        <w:trPr>
          <w:cantSplit w:val="0"/>
          <w:trHeight w:val="300"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02">
            <w:pPr>
              <w:rPr>
                <w:color w:val="666666"/>
                <w:sz w:val="20"/>
                <w:szCs w:val="20"/>
              </w:rPr>
            </w:pPr>
            <w:r w:rsidDel="00000000" w:rsidR="00000000" w:rsidRPr="00000000">
              <w:rPr>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3">
            <w:pPr>
              <w:rPr>
                <w:color w:val="666666"/>
                <w:sz w:val="20"/>
                <w:szCs w:val="20"/>
              </w:rPr>
            </w:pPr>
            <w:r w:rsidDel="00000000" w:rsidR="00000000" w:rsidRPr="00000000">
              <w:rPr>
                <w:color w:val="666666"/>
                <w:sz w:val="20"/>
                <w:szCs w:val="20"/>
                <w:rtl w:val="0"/>
              </w:rPr>
              <w:t xml:space="preserve">Population, total (SP.POP.TOTL)</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04">
            <w:pPr>
              <w:rPr>
                <w:color w:val="666666"/>
                <w:sz w:val="20"/>
                <w:szCs w:val="20"/>
              </w:rPr>
            </w:pPr>
            <w:r w:rsidDel="00000000" w:rsidR="00000000" w:rsidRPr="00000000">
              <w:rPr>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5">
            <w:pPr>
              <w:rPr>
                <w:color w:val="666666"/>
                <w:sz w:val="20"/>
                <w:szCs w:val="20"/>
              </w:rPr>
            </w:pPr>
            <w:r w:rsidDel="00000000" w:rsidR="00000000" w:rsidRPr="00000000">
              <w:rPr>
                <w:color w:val="666666"/>
                <w:sz w:val="20"/>
                <w:szCs w:val="20"/>
                <w:rtl w:val="0"/>
              </w:rPr>
              <w:t xml:space="preserve">Total population is based on the de facto definition of population, which counts all residents regardless of legal status or citizenship. The values shown are midyear estimates.</w:t>
            </w:r>
          </w:p>
        </w:tc>
      </w:tr>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06">
            <w:pPr>
              <w:rPr>
                <w:color w:val="666666"/>
                <w:sz w:val="20"/>
                <w:szCs w:val="20"/>
              </w:rPr>
            </w:pPr>
            <w:r w:rsidDel="00000000" w:rsidR="00000000" w:rsidRPr="00000000">
              <w:rPr>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7">
            <w:pPr>
              <w:rPr>
                <w:color w:val="666666"/>
                <w:sz w:val="20"/>
                <w:szCs w:val="20"/>
              </w:rPr>
            </w:pPr>
            <w:r w:rsidDel="00000000" w:rsidR="00000000" w:rsidRPr="00000000">
              <w:rPr>
                <w:color w:val="666666"/>
                <w:sz w:val="20"/>
                <w:szCs w:val="20"/>
                <w:rtl w:val="0"/>
              </w:rPr>
              <w:t xml:space="preserve">(1) United Nations Population Division. World Population Prospects: 2022 Revision; (2) Statistical databases and publications from national statistical offices; (3) Eurostat: Demographic Statistics; (4) United Nations Statistics Division. Population and Vital Statistics Reprot (various years).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08">
            <w:pPr>
              <w:rPr>
                <w:color w:val="666666"/>
                <w:sz w:val="20"/>
                <w:szCs w:val="20"/>
              </w:rPr>
            </w:pPr>
            <w:r w:rsidDel="00000000" w:rsidR="00000000" w:rsidRPr="00000000">
              <w:rPr>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9">
            <w:pPr>
              <w:rPr>
                <w:color w:val="666666"/>
                <w:sz w:val="20"/>
                <w:szCs w:val="20"/>
              </w:rPr>
            </w:pPr>
            <w:r w:rsidDel="00000000" w:rsidR="00000000" w:rsidRPr="00000000">
              <w:rPr>
                <w:color w:val="666666"/>
                <w:sz w:val="20"/>
                <w:szCs w:val="20"/>
                <w:rtl w:val="0"/>
              </w:rPr>
              <w:t xml:space="preserve">Health: Population: Structure</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0A">
            <w:pPr>
              <w:rPr>
                <w:color w:val="666666"/>
                <w:sz w:val="20"/>
                <w:szCs w:val="20"/>
              </w:rPr>
            </w:pPr>
            <w:r w:rsidDel="00000000" w:rsidR="00000000" w:rsidRPr="00000000">
              <w:rPr>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B">
            <w:pPr>
              <w:rPr>
                <w:color w:val="666666"/>
                <w:sz w:val="20"/>
                <w:szCs w:val="20"/>
              </w:rPr>
            </w:pPr>
            <w:r w:rsidDel="00000000" w:rsidR="00000000" w:rsidRPr="00000000">
              <w:rPr>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0C">
            <w:pPr>
              <w:rPr>
                <w:color w:val="666666"/>
                <w:sz w:val="20"/>
                <w:szCs w:val="20"/>
              </w:rPr>
            </w:pPr>
            <w:r w:rsidDel="00000000" w:rsidR="00000000" w:rsidRPr="00000000">
              <w:rPr>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D">
            <w:pPr>
              <w:rPr>
                <w:color w:val="666666"/>
                <w:sz w:val="20"/>
                <w:szCs w:val="20"/>
              </w:rPr>
            </w:pPr>
            <w:r w:rsidDel="00000000" w:rsidR="00000000" w:rsidRPr="00000000">
              <w:rPr>
                <w:color w:val="666666"/>
                <w:sz w:val="20"/>
                <w:szCs w:val="20"/>
                <w:rtl w:val="0"/>
              </w:rPr>
              <w:t xml:space="preserve">Sum</w:t>
            </w:r>
          </w:p>
        </w:tc>
      </w:tr>
      <w:tr>
        <w:trPr>
          <w:cantSplit w:val="0"/>
          <w:trHeight w:val="101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0E">
            <w:pPr>
              <w:rPr>
                <w:color w:val="666666"/>
                <w:sz w:val="20"/>
                <w:szCs w:val="20"/>
              </w:rPr>
            </w:pPr>
            <w:r w:rsidDel="00000000" w:rsidR="00000000" w:rsidRPr="00000000">
              <w:rPr>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0F">
            <w:pPr>
              <w:rPr>
                <w:color w:val="666666"/>
                <w:sz w:val="20"/>
                <w:szCs w:val="20"/>
              </w:rPr>
            </w:pPr>
            <w:r w:rsidDel="00000000" w:rsidR="00000000" w:rsidRPr="00000000">
              <w:rPr>
                <w:color w:val="666666"/>
                <w:sz w:val="20"/>
                <w:szCs w:val="20"/>
                <w:rtl w:val="0"/>
              </w:rPr>
              <w:t xml:space="preserve">Population estimates are usually based on national population censuses, and estimates of fertility, mortality and migration. Errors and undercounting in census occur even in high-income countries. In developing countries errors may be substantial because of limits in the transport, communications, and other resources required to conduct and analyze a full census. The quality and reliability of official demographic data are also affected by public trust in the government, government commitment to full and accurate enumeration, confidentiality and protection against misuse of census data, and census agencies' independence from political influence. Moreover, comparability of population indicators is limited by differences in the concepts, definitions, collection procedures, and estimation methods used by national statistical agencies and other organizations that collect the data. The currentness of a census and the availability of complementary data from surveys or registration systems are objective ways to judge demographic data quality. Some European countries' registration systems offer complete information on population in the absence of a census. The United Nations Statistics Division monitors the completeness of vital registration systems. Some developing countries have made progress over the last 60 years, but others still have deficiencies in civil registration systems. International migration is the only other factor besides birth and death rates that directly determines a country's population change. Estimating migration is difficult. At any time many people are located outside their home country as tourists, workers, or refugees or for other reasons. Standards for the duration and purpose of international moves that qualify as migration vary, and estimates require information on flows into and out of countries that is difficult to collect. Population projections, starting from a base year are projected forward using assumptions of mortality, fertility, and migration by age and sex through 2050, based on the UN Population Division's World Population Prospects database medium variant.</w:t>
            </w:r>
          </w:p>
        </w:tc>
      </w:tr>
      <w:tr>
        <w:trPr>
          <w:cantSplit w:val="0"/>
          <w:trHeight w:val="29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10">
            <w:pPr>
              <w:rPr>
                <w:color w:val="666666"/>
                <w:sz w:val="20"/>
                <w:szCs w:val="20"/>
              </w:rPr>
            </w:pPr>
            <w:r w:rsidDel="00000000" w:rsidR="00000000" w:rsidRPr="00000000">
              <w:rPr>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1">
            <w:pPr>
              <w:rPr>
                <w:color w:val="666666"/>
                <w:sz w:val="20"/>
                <w:szCs w:val="20"/>
              </w:rPr>
            </w:pPr>
            <w:r w:rsidDel="00000000" w:rsidR="00000000" w:rsidRPr="00000000">
              <w:rPr>
                <w:color w:val="666666"/>
                <w:sz w:val="20"/>
                <w:szCs w:val="20"/>
                <w:rtl w:val="0"/>
              </w:rPr>
              <w:t xml:space="preserve">Increases in human population, whether as a result of immigration or more births than deaths, can impact natural resources and social infrastructure. This can place pressure on a country's sustainability. A significant growth in population will negatively impact the availability of land for agricultural production, and will aggravate demand for food, energy, water, social services, and infrastructure. On the other hand, decreasing population size - a result of fewer births than deaths, and people moving out of a country - can impact a government's commitment to maintain services and infrastructure.</w:t>
            </w:r>
          </w:p>
        </w:tc>
      </w:tr>
      <w:tr>
        <w:trPr>
          <w:cantSplit w:val="0"/>
          <w:trHeight w:val="36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12">
            <w:pPr>
              <w:rPr>
                <w:color w:val="666666"/>
                <w:sz w:val="20"/>
                <w:szCs w:val="20"/>
              </w:rPr>
            </w:pPr>
            <w:r w:rsidDel="00000000" w:rsidR="00000000" w:rsidRPr="00000000">
              <w:rPr>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3">
            <w:pPr>
              <w:rPr>
                <w:color w:val="666666"/>
                <w:sz w:val="20"/>
                <w:szCs w:val="20"/>
              </w:rPr>
            </w:pPr>
            <w:r w:rsidDel="00000000" w:rsidR="00000000" w:rsidRPr="00000000">
              <w:rPr>
                <w:color w:val="666666"/>
                <w:sz w:val="20"/>
                <w:szCs w:val="20"/>
                <w:rtl w:val="0"/>
              </w:rPr>
              <w:t xml:space="preserve">Current population estimates for developing countries that lack (i) reliable recent census data, and (ii) pre- and post-census estimates for countries with census data, are provided by the United Nations Population Division and other agencies. The cohort component method - a standard method for estimating and projecting population - requires fertility, mortality, and net migration data, often collected from sample surveys, which can be small or limited in coverage. Population estimates are from demographic modeling and so are susceptible to biases and errors from shortcomings in both the model and the data. Because future trends cannot be known with certainty, population projections have a wide range of uncertainty.</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14">
            <w:pPr>
              <w:rPr>
                <w:color w:val="666666"/>
                <w:sz w:val="20"/>
                <w:szCs w:val="20"/>
              </w:rPr>
            </w:pPr>
            <w:r w:rsidDel="00000000" w:rsidR="00000000" w:rsidRPr="00000000">
              <w:rPr>
                <w:b w:val="1"/>
                <w:color w:val="666666"/>
                <w:sz w:val="20"/>
                <w:szCs w:val="20"/>
                <w:rtl w:val="0"/>
              </w:rPr>
              <w:t xml:space="preserve">General 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5">
            <w:pPr>
              <w:rPr>
                <w:color w:val="666666"/>
                <w:sz w:val="20"/>
                <w:szCs w:val="20"/>
              </w:rPr>
            </w:pPr>
            <w:r w:rsidDel="00000000" w:rsidR="00000000" w:rsidRPr="00000000">
              <w:rPr>
                <w:color w:val="666666"/>
                <w:sz w:val="20"/>
                <w:szCs w:val="20"/>
                <w:rtl w:val="0"/>
              </w:rPr>
              <w:t xml:space="preserve">Relevance to gender indicator: disaggregating the population composition by gender will help a country in projecting its demand for social services on a gender basis.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16">
            <w:pPr>
              <w:rPr>
                <w:color w:val="666666"/>
                <w:sz w:val="20"/>
                <w:szCs w:val="20"/>
              </w:rPr>
            </w:pPr>
            <w:r w:rsidDel="00000000" w:rsidR="00000000" w:rsidRPr="00000000">
              <w:rPr>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7">
            <w:pPr>
              <w:rPr>
                <w:color w:val="666666"/>
                <w:sz w:val="20"/>
                <w:szCs w:val="20"/>
              </w:rPr>
            </w:pPr>
            <w:r w:rsidDel="00000000" w:rsidR="00000000" w:rsidRPr="00000000">
              <w:rPr>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18">
            <w:pPr>
              <w:rPr>
                <w:color w:val="666666"/>
                <w:sz w:val="20"/>
                <w:szCs w:val="20"/>
              </w:rPr>
            </w:pPr>
            <w:r w:rsidDel="00000000" w:rsidR="00000000" w:rsidRPr="00000000">
              <w:rPr>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9">
            <w:pPr>
              <w:rPr>
                <w:color w:val="666666"/>
                <w:sz w:val="20"/>
                <w:szCs w:val="20"/>
              </w:rPr>
            </w:pPr>
            <w:r w:rsidDel="00000000" w:rsidR="00000000" w:rsidRPr="00000000">
              <w:rPr>
                <w:color w:val="666666"/>
                <w:sz w:val="20"/>
                <w:szCs w:val="20"/>
                <w:rtl w:val="0"/>
              </w:rPr>
              <w:t xml:space="preserve">CC BY-4.0</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8895.0" w:type="dxa"/>
        <w:jc w:val="left"/>
        <w:tblLayout w:type="fixed"/>
        <w:tblLook w:val="0600"/>
      </w:tblPr>
      <w:tblGrid>
        <w:gridCol w:w="4500"/>
        <w:gridCol w:w="4395"/>
        <w:tblGridChange w:id="0">
          <w:tblGrid>
            <w:gridCol w:w="4500"/>
            <w:gridCol w:w="4395"/>
          </w:tblGrid>
        </w:tblGridChange>
      </w:tblGrid>
      <w:tr>
        <w:trPr>
          <w:cantSplit w:val="0"/>
          <w:trHeight w:val="300"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1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1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Population growth (annual %) (SP.POP.GROW)</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2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Short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 population growth rate. Population is based on the de facto definition of population, which counts all residents regardless of legal status or citizenship.</w:t>
            </w:r>
          </w:p>
        </w:tc>
      </w:tr>
      <w:tr>
        <w:trPr>
          <w:cantSplit w:val="0"/>
          <w:trHeight w:val="14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2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 population growth rate for year t is the exponential rate of growth of midyear population from year t-1 to t, expressed as a percentage . Population is based on the de facto definition of population, which counts all residents regardless of legal status or citizenship.</w:t>
            </w:r>
          </w:p>
        </w:tc>
      </w:tr>
      <w:tr>
        <w:trPr>
          <w:cantSplit w:val="0"/>
          <w:trHeight w:val="18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2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Derived from total population. Population source: (1) United Nations Population Division. World Population Prospects: 2022 Revision; (2) Statistical databases and publications from national statistical offices; (3) Eurostat: Demographic Statistics; (4) United Nations Statistics Division. Population and Vital Statistics Reprot (various years).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2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Health: Population: Dynamics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2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2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29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2C">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D">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Total population growth rates are calculated on the assumption that rate of growth is constant between two points in time. The growth rate is computed using the exponential growth formula: r = ln(pn/p0)/n, where r is the exponential rate of growth, ln() is the natural logarithm, pn is the end period population, p0 is the beginning period population, and n is the number of years in between. Note that this is not the geometric growth rate used to compute compound growth over discrete periods. For information on total population from which the growth rates are calculated, see total population (SP.POP.TOTL).</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2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2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3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3"/>
        <w:tblW w:w="8895.0" w:type="dxa"/>
        <w:jc w:val="left"/>
        <w:tblLayout w:type="fixed"/>
        <w:tblLook w:val="0600"/>
      </w:tblPr>
      <w:tblGrid>
        <w:gridCol w:w="4500"/>
        <w:gridCol w:w="4395"/>
        <w:tblGridChange w:id="0">
          <w:tblGrid>
            <w:gridCol w:w="4500"/>
            <w:gridCol w:w="4395"/>
          </w:tblGrid>
        </w:tblGridChange>
      </w:tblGrid>
      <w:tr>
        <w:trPr>
          <w:cantSplit w:val="0"/>
          <w:trHeight w:val="300"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3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GDP growth (annual %) (NY.GDP.MKTP.KD.ZG)</w:t>
            </w:r>
          </w:p>
        </w:tc>
      </w:tr>
      <w:tr>
        <w:trPr>
          <w:cantSplit w:val="0"/>
          <w:trHeight w:val="25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3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 percentage growth rate of GDP at market prices based on constant local currency. Aggregates are based on constant 2015 prices, expressed in U.S. dollars.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3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World Bank national accounts data, and OECD National Accounts data files.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3C">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D">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Economic Policy &amp; Debt: National accounts: Growth rates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3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3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4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56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4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Gross domestic product (GDP) represents the sum of value added by all its producers. Value added is the value of the gross output of producers less the value of intermediate goods and services consumed in production, before accounting for consumption of fixed capital in production. The United Nations System of National Accounts calls for value added to be valued at either basic prices (excluding net taxes on products) or producer prices (including net taxes on products paid by producers but excluding sales or value added taxes). Both valuations exclude transport charges that are invoiced separately by producers. Total GDP is measured at purchaser prices. Value added by industry is normally measured at basic prices. When value added is measured at producer prices. Growth rates of GDP and its components are calculated using the least squares method and constant price data in the local currency. Constant price in U.S. dollar series are used to calculate regional and income group growth rates. Local currency series are converted to constant U.S. dollars using an exchange rate in the common reference year.</w:t>
            </w:r>
          </w:p>
        </w:tc>
      </w:tr>
      <w:tr>
        <w:trPr>
          <w:cantSplit w:val="0"/>
          <w:trHeight w:val="29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4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 economy's growth is measured by the change in the volume of its output or in the real incomes of its residents. The 2008 United Nations System of National Accounts (2008 SNA) offers three plausible indicators for calculating growth: the volume of gross domestic product (GDP), real gross domestic income, and real gross national income. The volume of GDP is the sum of value added, measured at constant prices, by households, government, and industries operating in the economy. GDP accounts for all domestic production, regardless of whether the income accrues to domestic or foreign institutions.</w:t>
            </w:r>
          </w:p>
        </w:tc>
      </w:tr>
      <w:tr>
        <w:trPr>
          <w:cantSplit w:val="0"/>
          <w:trHeight w:val="160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4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Each industry's contribution to growth in the economy's output is measured by growth in the industry's value added. In principle, value added in constant prices can be estimated by measuring the quantity of goods and services produced in a period, valuing them at an agreed set of base year prices, and subtracting the cost of intermediate inputs, also in constant prices. This double-deflation method requires detailed information on the structure of prices of inputs and outputs. In many industries, however, value added is extrapolated from the base year using single volume indexes of outputs or, less commonly, inputs. Particularly in the services industries, including most of government, value added in constant prices is often imputed from labor inputs, such as real wages or number of employees. In the absence of well defined measures of output, measuring the growth of services remains difficult. Moreover, technical progress can lead to improvements in production processes and in the quality of goods and services that, if not properly accounted for, can distort measures of value added and thus of growth. When inputs are used to estimate output, as for nonmarket services, unmeasured technical progress leads to underestimates of the volume of output. Similarly, unmeasured improvements in quality lead to underestimates of the value of output and value added. The result can be underestimates of growth and productivity improvement and overestimates of inflation. Informal economic activities pose a particular measurement problem, especially in developing countries, where much economic activity is unrecorded. A complete picture of the economy requires estimating household outputs produced for home use, sales in informal markets, barter exchanges, and illicit or deliberately unreported activities. The consistency and completeness of such estimates depend on the skill and methods of the compiling statisticians. Rebasing of national accounts can alter the measured growth rate of an economy and lead to breaks in series that affect the consistency of data over time. When countries rebase their national accounts, they update the weights assigned to various components to better reflect current patterns of production or uses of output. The new base year should represent normal operation of the economy - it should be a year without major shocks or distortions. Some developing countries have not rebased their national accounts for many years. Using an old base year can be misleading because implicit price and volume weights become progressively less relevant and useful. To obtain comparable series of constant price data for computing aggregates, the World Bank rescales GDP and value added by industrial origin to a common reference year. Because rescaling changes the implicit weights used in forming regional and income group aggregates, aggregate growth rates are not comparable with those from earlier editions with different base years. Rescaling may result in a discrepancy between the rescaled GDP and the sum of the rescaled components. To avoid distortions in the growth rates, the discrepancy is left unallocated. As a result, the weighted average of the growth rates of the components generally does not equal the GDP growth rate.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4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4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4"/>
        <w:tblW w:w="8895.0" w:type="dxa"/>
        <w:jc w:val="left"/>
        <w:tblLayout w:type="fixed"/>
        <w:tblLook w:val="0600"/>
      </w:tblPr>
      <w:tblGrid>
        <w:gridCol w:w="4500"/>
        <w:gridCol w:w="4395"/>
        <w:tblGridChange w:id="0">
          <w:tblGrid>
            <w:gridCol w:w="4500"/>
            <w:gridCol w:w="4395"/>
          </w:tblGrid>
        </w:tblGridChange>
      </w:tblGrid>
      <w:tr>
        <w:trPr>
          <w:cantSplit w:val="0"/>
          <w:trHeight w:val="300"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5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GDP (current US$) (NY.GDP.MKTP.CD)</w:t>
            </w:r>
          </w:p>
        </w:tc>
      </w:tr>
      <w:tr>
        <w:trPr>
          <w:cantSplit w:val="0"/>
          <w:trHeight w:val="322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5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 Dollar figures for GDP are converted from domestic currencies using single year official exchange rates. For a few countries where the official exchange rate does not reflect the rate effectively applied to actual foreign exchange transactions, an alternative conversion factor is used.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5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World Bank national accounts data, and OECD National Accounts data files.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5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Economic Policy &amp; Debt: National accounts: US$ at current prices: Aggregate indicators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5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5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Gap-filled total</w:t>
            </w:r>
          </w:p>
        </w:tc>
      </w:tr>
      <w:tr>
        <w:trPr>
          <w:cantSplit w:val="0"/>
          <w:trHeight w:val="36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5C">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D">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Gross domestic product (GDP) represents the sum of value added by all its producers. Value added is the value of the gross output of producers less the value of intermediate goods and services consumed in production, before accounting for consumption of fixed capital in production. The United Nations System of National Accounts calls for value added to be valued at either basic prices (excluding net taxes on products) or producer prices (including net taxes on products paid by producers but excluding sales or value added taxes). Both valuations exclude transport charges that are invoiced separately by producers. Total GDP is measured at purchaser prices. Value added by industry is normally measured at basic prices.</w:t>
            </w:r>
          </w:p>
        </w:tc>
      </w:tr>
      <w:tr>
        <w:trPr>
          <w:cantSplit w:val="0"/>
          <w:trHeight w:val="61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5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Gross domestic product (GDP), though widely tracked, may not always be the most relevant summary of aggregated economic performance for all economies, especially when production occurs at the expense of consuming capital stock. While GDP estimates based on the production approach are generally more reliable than estimates compiled from the income or expenditure side, different countries use different definitions, methods, and reporting standards. World Bank staff review the quality of national accounts data and sometimes make adjustments to improve consistency with international guidelines. Nevertheless, significant discrepancies remain between international standards and actual practice. Many statistical offices, especially those in developing countries, face severe limitations in the resources, time, training, and budgets required to produce reliable and comprehensive series of national accounts statistics. Among the difficulties faced by compilers of national accounts is the extent of unreported economic activity in the informal or secondary economy. In developing countries a large share of agricultural output is either not exchanged (because it is consumed within the household) or not exchanged for money.</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6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6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5"/>
        <w:tblW w:w="8895.0" w:type="dxa"/>
        <w:jc w:val="left"/>
        <w:tblLayout w:type="fixed"/>
        <w:tblLook w:val="0600"/>
      </w:tblPr>
      <w:tblGrid>
        <w:gridCol w:w="4500"/>
        <w:gridCol w:w="4395"/>
        <w:tblGridChange w:id="0">
          <w:tblGrid>
            <w:gridCol w:w="4500"/>
            <w:gridCol w:w="4395"/>
          </w:tblGrid>
        </w:tblGridChange>
      </w:tblGrid>
      <w:tr>
        <w:trPr>
          <w:cantSplit w:val="0"/>
          <w:trHeight w:val="300"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6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GDP per capita (current US$) (NY.GDP.PCAP.CD)</w:t>
            </w:r>
          </w:p>
        </w:tc>
      </w:tr>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6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C">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GDP per capita is gross domestic product divided by midyear population. GDP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6D">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6E">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World Bank national accounts data, and OECD National Accounts data files.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6F">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0">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Economic Policy &amp; Debt: National accounts: US$ at current prices: Aggregate indicators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7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7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4">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7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6">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For more information, see the metadata for current U.S. dollar GDP (NY.GDP.MKTP.CD) and total population (SP.POP.TOTL).</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77">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8">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7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7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6"/>
        <w:tblW w:w="8895.0" w:type="dxa"/>
        <w:jc w:val="left"/>
        <w:tblLayout w:type="fixed"/>
        <w:tblLook w:val="0600"/>
      </w:tblPr>
      <w:tblGrid>
        <w:gridCol w:w="4500"/>
        <w:gridCol w:w="4395"/>
        <w:tblGridChange w:id="0">
          <w:tblGrid>
            <w:gridCol w:w="4500"/>
            <w:gridCol w:w="4395"/>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8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GDP per capita growth (annual %) (NY.GDP.PCAP.KD.ZG)</w:t>
            </w:r>
          </w:p>
        </w:tc>
      </w:tr>
      <w:tr>
        <w:trPr>
          <w:cantSplit w:val="0"/>
          <w:trHeight w:val="25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8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 percentage growth rate of GDP per capita based on constant local currency. GDP per capita is gross domestic product divided by midyear population. 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8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World Bank national accounts data, and OECD National Accounts data files.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8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Economic Policy &amp; Debt: National accounts: Growth rates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8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8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8C">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D">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For more information, see the metadata for constant U.S. dollar GDP (NY.GDP.MKTP.KD) and total population (SP.POP.TOTL).</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8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8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9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tbl>
      <w:tblPr>
        <w:tblStyle w:val="Table7"/>
        <w:tblW w:w="8895.0" w:type="dxa"/>
        <w:jc w:val="left"/>
        <w:tblLayout w:type="fixed"/>
        <w:tblLook w:val="0600"/>
      </w:tblPr>
      <w:tblGrid>
        <w:gridCol w:w="4500"/>
        <w:gridCol w:w="4395"/>
        <w:tblGridChange w:id="0">
          <w:tblGrid>
            <w:gridCol w:w="4500"/>
            <w:gridCol w:w="4395"/>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97">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8">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Armed forces personnel (% of total labor force) (MS.MIL.TOTL.TF.ZS)</w:t>
            </w:r>
          </w:p>
        </w:tc>
      </w:tr>
      <w:tr>
        <w:trPr>
          <w:cantSplit w:val="0"/>
          <w:trHeight w:val="187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9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Armed forces personnel are active duty military personnel, including paramilitary forces if the training, organization, equipment, and control suggest they may be used to support or replace regular military forces. Labor force comprises all people who meet the International Labour Organization's definition of the economically active population.</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9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C">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International Institute for Strategic Studies, The Military Balance.</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9D">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9E">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Public Sector: Defense &amp; arms trade</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9F">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0">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A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104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A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4">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Military data on manpower represent quantitative assessment of the personnel strengths of the world's armed forces. The numbers are based on the most accurate data available to, or, on the best estimate that can be made by the International Institute for Strategic Studies (IISS) at the time of its annual publication. The IISS collects the data from national governments. Armed forces personnel comprise all servicemen and women on full-time duty (including conscripts and long-term assignments from the Reserves). Reserve describes formations and units not fully manned or operational in peacetime, but which can be mobilized by recalling reservists in an emergency. IISS estimates of effective reservist strengths on the numbers available within five years of completing full-time service, unless there is good evidence that obligations are enforced for longer. Although paramilitary forces whose training, organization, equipment and control suggest they may be used to support or replace regular military forces, they are not included in the armed forces personnel. Home Guard units are counted as paramilitary. Data are shown as percentage of total labor force. According to International Labour Organization (ILO armed forces occupations include all jobs held by members of the armed forces. Members of the armed forces are those personnel who are currently serving in the armed forces, including auxiliary services, whether on a voluntary or compulsory basis, and who are not free to accept civilian employment and are subject to military discipline. Included are regular members of the army, navy, air force and other military services, as well as conscripts enrolled for military training or other service for a specified period. Excluded are persons in civilian employment of government establishments concerned with defense issues; police (other than military police); customs inspectors and members of border or other armed civilian services; persons who have been temporarily withdrawn from civilian life for a short period of military training or retraining, according to national requirements, and members of military reserves not currently on active service.</w:t>
            </w:r>
          </w:p>
        </w:tc>
      </w:tr>
      <w:tr>
        <w:trPr>
          <w:cantSplit w:val="0"/>
          <w:trHeight w:val="36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A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6">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Although national defense is an important function of government and security from external threats that contributes to economic development, high military expenditures for defense or civil conflicts burden the economy and may impede growth. Data on military expenditures are a rough indicator of the portion of national resources used for military activities and of the burden on the economy. Comparisons of military spending among countries should take into account the many factors that influence perceptions of vulnerability and risk, including historical and cultural traditions, the length of borders that need defending, the quality of relations with neighbors, and the role of the armed forces in the body politic.</w:t>
            </w:r>
          </w:p>
        </w:tc>
      </w:tr>
      <w:tr>
        <w:trPr>
          <w:cantSplit w:val="0"/>
          <w:trHeight w:val="23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A7">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8">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Data exclude personnel not on active duty, therefore they underestimate the share of the labor force working for the defense establishment. Governments rarely report the size of their armed forces, so such data typically come from intelligence sources. Unless otherwise indicated, reserves includes all reservists committed to rejoining the armed forces in an emergency, except when national reserve service obligations following conscription last almost a lifetime.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A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General 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Data for some countries are based on partial or uncertain data or rough estimates.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A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C">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AD">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AE">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tbl>
      <w:tblPr>
        <w:tblStyle w:val="Table8"/>
        <w:tblW w:w="8895.0" w:type="dxa"/>
        <w:jc w:val="left"/>
        <w:tblLayout w:type="fixed"/>
        <w:tblLook w:val="0600"/>
      </w:tblPr>
      <w:tblGrid>
        <w:gridCol w:w="4500"/>
        <w:gridCol w:w="4395"/>
        <w:tblGridChange w:id="0">
          <w:tblGrid>
            <w:gridCol w:w="4500"/>
            <w:gridCol w:w="4395"/>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B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Military expenditure (% of GDP) (MS.MIL.XPND.GD.ZS)</w:t>
            </w:r>
          </w:p>
        </w:tc>
      </w:tr>
      <w:tr>
        <w:trPr>
          <w:cantSplit w:val="0"/>
          <w:trHeight w:val="682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B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Military expenditures data from SIPRI are derived from the NATO definition, which includes all current and capital expenditures on the armed forces, including peacekeeping forces; defense ministries and other government agencies engaged in defense projects; paramilitary forces, if these are judged to be trained and equipped for military operations; and military space activities. Such expenditures include military and civil personnel, including retirement pensions of military personnel and social services for personnel; operation and maintenance; procurement; military research and development; and military aid (in the military expenditures of the donor country). Excluded are civil defense and current expenditures for previous military activities, such as for veterans' benefits, demobilization, conversion, and destruction of weapons. This definition cannot be applied for all countries, however, since that would require much more detailed information than is available about what is included in military budgets and off-budget military expenditure items. (For example, military budgets might or might not cover civil defense, reserves and auxiliary forces, police and paramilitary forces, dual-purpose forces such as military and civilian police, military grants in kind, pensions for military personnel, and social security contributions paid by one part of government to another.)</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B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Stockholm International Peace Research Institute (SIPRI), Yearbook: Armaments, Disarmament and International Security.</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B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Public Sector: Defense &amp; arms trade</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BC">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D">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B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B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122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C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C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SIPRI military expenditure data includes military and civil personnel, including retirement pensions and social services for military personnel; operation and maintenance; procurement; military research and development; and military aid (in the military expenditures of the donor country). Excluded are civil defense and current expenditures for previous military activities, such as for veterans' benefits, demobilization, and weapons conversion and destruction. This definition cannot be applied for all countries, however, since that would require more detailed information than is available about military budgets and off-budget military expenditures (for example, whether military budgets cover civil defense, reserves and auxiliary forces, police and paramilitary forces, and military pensions). SIPRI data for the most recent years include two types of estimate which apply to all countries: (a) figures for the most recent years are for adopted budgets, budget estimates or revised estimates, and are revised, more often than not, in subsequent years; and (b) the deflator used for the latest year in the series is an estimate SIPRI's primary source of military expenditure data is official data provided by national governments. These data are derived from budget documents, defense white papers, and other public documents from official government agencies, including government responses to questionnaires sent by SIPRI, the UNODA, or the Organization for Security and Co-operation in Europe. Secondary sources include international statistics, such as those of NATO and the IMF's Government Finance Statistics Yearbook. Other secondary sources include country reports of the Economist Intelligence Unit, country reports by IMF staff, and specialist journals and newspapers. The data on military expenditures as a share of GDP are SIPRI estimates. The SIPRI military expenditure figures are presented on a calendar-year basis. The only exception is the USA, for which statistics report data on a fiscal-year basis. Calendar-year data are calculated on the assumption of an even rate of expenditure throughout the fiscal year. The ratio of military expenditure to GDP is calculated in domestic currency at current prices and for calendar years. The SIPRI military expenditure figures are presented on a calendar-year basis. The only exception is the USA, for which statistics report data on a fiscal-year basis. Calendar-year data are calculated on the assumption of an even rate of expenditure throughout the fiscal year.</w:t>
            </w:r>
          </w:p>
        </w:tc>
      </w:tr>
      <w:tr>
        <w:trPr>
          <w:cantSplit w:val="0"/>
          <w:trHeight w:val="52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C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C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Although national defense is an important function of government and security from external threats that contributes to economic development, high military expenditures for defense or civil conflicts burden the economy and may impede growth. Data on military expenditures as a share of gross domestic product (GDP) are a rough indicator of the portion of national resources used for military activities and of the burden on the economy. Data on military expenditures as a share of gross domestic product (GDP) are a rough indicator of the portion of national resources used for military activities and of the burden on the economy. As an "input" measure military expenditures are not directly related to the "output" of military activities, capabilities, or security. Comparisons of military spending among countries should take into account the many factors that influence perceptions of vulnerability and risk, including historical and cultural traditions, the length of borders that need defending, the quality of relations with neighbors, and the role of the armed forces in the body politic.</w:t>
            </w:r>
          </w:p>
        </w:tc>
      </w:tr>
      <w:tr>
        <w:trPr>
          <w:cantSplit w:val="0"/>
          <w:trHeight w:val="52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C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C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Data on military expenditures are not compiled using standard definitions and are often incomplete and unreliable due to countries' reluctance to disclose military information. Even in countries where the parliament vigilantly reviews budgets and spending, military expenditures and arms transfers rarely receive close scrutiny or full, public disclosure (see Ball 1984 and Happe and Wakeman-Linn 1994). However, the Stockholm International Peace Research Institute (SIPRI) has adopted a definition of military expenditure derived from the North Atlantic Treaty Organization's (NATO) former definition (in use until 2002; see Definitions). In the many cases where SIPRI cannot make independent estimates, it uses the national data provided. Because of the differences in definitions and the difficulty in verifying the accuracy and completeness of data, data on military expenditures are not always comparable across countries. However, SIPRI puts a high priority on ensuring that the data series for each country is comparable over time.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C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General 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C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Data for some countries are based on partial or uncertain data or rough estimates.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C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C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https://www.sipri.org/about/terms-and-conditions</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C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C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Use and distribution of these data are subject to Stockholm International Peace Research Institute (SIPRI) terms and conditions.</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9"/>
        <w:tblW w:w="8895.0" w:type="dxa"/>
        <w:jc w:val="left"/>
        <w:tblLayout w:type="fixed"/>
        <w:tblLook w:val="0600"/>
      </w:tblPr>
      <w:tblGrid>
        <w:gridCol w:w="4500"/>
        <w:gridCol w:w="4395"/>
        <w:tblGridChange w:id="0">
          <w:tblGrid>
            <w:gridCol w:w="4500"/>
            <w:gridCol w:w="4395"/>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D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Government expenditure on education, total (% of GDP) (SE.XPD.TOTL.GD.ZS)</w:t>
            </w:r>
          </w:p>
        </w:tc>
      </w:tr>
      <w:tr>
        <w:trPr>
          <w:cantSplit w:val="0"/>
          <w:trHeight w:val="142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D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4">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General government expenditure on education (current, capital, and transfers) is expressed as a percentage of GDP. It includes expenditure funded by transfers from international sources to government. General government usually refers to local, regional and central governments.</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D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6">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UNESCO Institute for Statistics (UIS). UIS.Stat Bulk Data Download Service. Accessed April 24, 2024. https://apiportal.uis.unesco.org/bdds.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D7">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8">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Education: Inputs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D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D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C">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Median</w:t>
            </w:r>
          </w:p>
        </w:tc>
      </w:tr>
      <w:tr>
        <w:trPr>
          <w:cantSplit w:val="0"/>
          <w:trHeight w:val="45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DD">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DE">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Government expenditure on education, total (% of GDP) is calculated by dividing total government expenditure for all levels of education by the GDP, and multiplying by 100. Aggregate data are based on World Bank estimates. Data on education are collected by the UNESCO Institute for Statistics from official responses to its annual education survey. All the data are mapped to the International Standard Classification of Education (ISCED) to ensure the comparability of education programs at the international level. The current version was formally adopted by UNESCO Member States in 2011. GDP data come from the World Bank. The reference years reflect the school year for which the data are presented. In some countries the school year spans two calendar years (for example, from September 2010 to June 2011); in these cases the reference year refers to the year in which the school year ended (2011 in the example).</w:t>
            </w:r>
          </w:p>
        </w:tc>
      </w:tr>
      <w:tr>
        <w:trPr>
          <w:cantSplit w:val="0"/>
          <w:trHeight w:val="23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DF">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0">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The percentage of government expenditure on education to GDP is useful to compare education expenditure between countries and/or over time in relation to the size of their economy; A high percentage to GDP suggests a high priority for education and a capacity of raising revenues for public spending. Note that government expenditure appears lower in some countries where the private sector and/or households have a large share in total funding for education.</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E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Data may refer to spending by the ministry of education only (excluding spending on educational activities by other ministries).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E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4">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10"/>
        <w:tblW w:w="8895.0" w:type="dxa"/>
        <w:jc w:val="left"/>
        <w:tblLayout w:type="fixed"/>
        <w:tblLook w:val="0600"/>
      </w:tblPr>
      <w:tblGrid>
        <w:gridCol w:w="4500"/>
        <w:gridCol w:w="4395"/>
        <w:tblGridChange w:id="0">
          <w:tblGrid>
            <w:gridCol w:w="4500"/>
            <w:gridCol w:w="4395"/>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E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Compulsory education, duration (years) (SE.COM.DURS)</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EC">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D">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Duration of compulsory education is the number of years that children are legally obliged to attend school.</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E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E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UNESCO Institute for Statistics (UIS). UIS.Stat Bulk Data Download Service. Accessed April 24, 2024. https://apiportal.uis.unesco.org/bdds.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F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Education: Outcomes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F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F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Median</w:t>
            </w:r>
          </w:p>
        </w:tc>
      </w:tr>
      <w:tr>
        <w:trPr>
          <w:cantSplit w:val="0"/>
          <w:trHeight w:val="34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F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Data on education are collected by the UNESCO Institute for Statistics from official responses to its annual education survey. All the data are mapped to the International Standard Classification of Education (ISCED) to ensure the comparability of education programs at the international level. The current version was formally adopted by UNESCO Member States in 2011. Aggregate data are based on World Bank estimates. The reference years reflect the school year for which the data are presented. In some countries the school year spans two calendar years (for example, from September 2010 to June 2011); in these cases the reference year refers to the year in which the school year ended (2011 in the example).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F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0F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F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tbl>
      <w:tblPr>
        <w:tblStyle w:val="Table11"/>
        <w:tblW w:w="8895.0" w:type="dxa"/>
        <w:jc w:val="left"/>
        <w:tblLayout w:type="fixed"/>
        <w:tblLook w:val="0600"/>
      </w:tblPr>
      <w:tblGrid>
        <w:gridCol w:w="4500"/>
        <w:gridCol w:w="4395"/>
        <w:tblGridChange w:id="0">
          <w:tblGrid>
            <w:gridCol w:w="4500"/>
            <w:gridCol w:w="4395"/>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0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Unemployment, total (% of total labor force) (modeled ILO estimate) (SL.UEM.TOTL.ZS)</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0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4">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Unemployment refers to the share of the labor force that is without work but available for and seeking employment.</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0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6">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International Labour Organization. “ILO Modelled Estimates and Projections database (ILOEST)” ILOSTAT. Accessed June 18, 2024. https://ilostat.ilo.org/data/.</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07">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8">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Social Protection &amp; Labor: Unemployment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0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0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C">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77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0D">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0E">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The standard definition of unemployed persons is those individuals without work, seeking work in a recent past period, and currently available for work, including people who have lost their jobs or voluntarily left work. In addition, persons who did not look for work but have an arrangement for a future job are also counted as unemployed. Still, some unemployment is unavoidable—at any time, some workers are temporarily unemployed between jobs as employers look for the right workers and workers search for better jobs. The labor force or the economically active portion of the population serves as the base for this indicator, not the total population. The series is part of the "ILO modeled estimates database," including nationally reported observations and imputed data for countries with missing data, primarily to capture regional and global trends with consistent country coverage. Country-reported microdata is based mainly on nationally representative labor force surveys, with other sources (e.g., household surveys and population censuses) considering differences in the data source, the scope of coverage, methodology, and other country-specific factors. Country analysis requires caution where limited nationally reported data are available. A series of models are also applied to impute missing observations and make projections. However, imputed observations are not based on national data, are subject to high uncertainty, and should not be used for country comparisons or rankings. For more information: https://ilostat.ilo.org/resources/concepts-and-definitions/ilo-modelled-estimates/</w:t>
            </w:r>
          </w:p>
        </w:tc>
      </w:tr>
      <w:tr>
        <w:trPr>
          <w:cantSplit w:val="0"/>
          <w:trHeight w:val="81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0F">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0">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Paradoxically, low unemployment rates can disguise substantial poverty in a country, while high unemployment rates can occur in countries with a high level of economic development and low rates of poverty. In countries without unemployment or welfare benefits people eke out a living in vulnerable employment. In countries with well-developed safety nets workers can afford to wait for suitable or desirable jobs. But high and sustained unemployment indicates serious inefficiencies in resource allocation. Youth unemployment is an important policy issue for many economies. Young men and women today face increasing uncertainty in their hopes of undergoing a satisfactory transition in the labour market, and this uncertainty and disillusionment can, in turn, have damaging effects on individuals, communities, economies and society at large. Unemployed or underemployed youth are less able to contribute effectively to national development and have fewer opportunities to exercise their rights as citizens. They have less to spend as consumers, less to invest as savers and often have no "voice" to bring about change in their lives and communities. Widespread youth unemployment and underemployment also prevents companies and countries from innovating and developing competitive advantages based on human capital investment, thus undermining future prospects. Unemployment is a key measure to monitor whether a country is on track to achieve the Sustainable Development Goal of promoting sustained, inclusive and sustainable economic growth, full and productive employment and decent work for all. [SDG Indicator 8.5.2]</w:t>
            </w:r>
          </w:p>
        </w:tc>
      </w:tr>
      <w:tr>
        <w:trPr>
          <w:cantSplit w:val="0"/>
          <w:trHeight w:val="74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1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The criteria for people considered to be seeking work, and the treatment of people temporarily laid off or seeking work for the first time, vary across countries. In many cases it is especially difficult to measure employment and unemployment in agriculture. The timing of a survey can maximize the effects of seasonal unemployment in agriculture. And informal sector employment is difficult to quantify where informal activities are not tracked. There may be also persons not currently in the labour market who want to work but do not actively "seek" work because they view job opportunities as limited, or because they have restricted labour mobility, or face discrimination, or structural, social or cultural barriers. The exclusion of people who want to work but are not seeking work (often called the "hidden unemployed" or "discouraged workers") is a criterion that will affect the unemployment count of both women and men. However, women tend to be excluded from the count for various reasons. Women suffer more from discrimination and from structural, social, and cultural barriers that impede them from seeking work. Also, women are often responsible for the care of children and the elderly and for household affairs. They may not be available for work during the short reference period, as they need to make arrangements before starting work. Further, women are considered to be employed when they are working part-time or in temporary jobs, despite the instability of these jobs or their active search for more secure employment.</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1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General 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4">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National estimates are also available in the WDI database. Caution should be used when comparing ILO estimates with national estimates.</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1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Notes from original 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6">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Given the exceptional situation, including the scarcity of relevant data, the ILO modeled estimates and projections from 2020 onwards are subject to substantial uncertainty.</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17">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8">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1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1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tbl>
      <w:tblPr>
        <w:tblStyle w:val="Table12"/>
        <w:tblW w:w="8895.0" w:type="dxa"/>
        <w:jc w:val="left"/>
        <w:tblLayout w:type="fixed"/>
        <w:tblLook w:val="0600"/>
      </w:tblPr>
      <w:tblGrid>
        <w:gridCol w:w="4500"/>
        <w:gridCol w:w="4395"/>
        <w:tblGridChange w:id="0">
          <w:tblGrid>
            <w:gridCol w:w="4500"/>
            <w:gridCol w:w="4395"/>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2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2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Employment to population ratio, 15+, total (%) (modeled ILO estimate) (SL.EMP.TOTL.SP.ZS)</w:t>
            </w:r>
          </w:p>
        </w:tc>
      </w:tr>
      <w:tr>
        <w:trPr>
          <w:cantSplit w:val="0"/>
          <w:trHeight w:val="25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2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2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Employment to population ratio is the proportion of a country's population that is employed. Employment is defined as persons of working age who, during a short reference period, were engaged in any activity to produce goods or provide services for pay or profit, whether at work during the reference period (i.e. who worked in a job for at least one hour) or not at work due to temporary absence from a job, or to working-time arrangements. Ages 15 and older are generally considered the working-age population.</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2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2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International Labour Organization. “ILO Modelled Estimates and Projections database (ILOEST)” ILOSTAT. Accessed February 06, 2024. https://ilostat.ilo.org/data/.</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2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2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Social Protection &amp; Labor: Economic activity</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2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2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2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2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63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2C">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2D">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The employment-to-population ratio indicates how efficiently an economy provides jobs for people who want to work. A high ratio means that a large proportion of the population is employed. But a lower employment-to-population ratio can be seen as a positive sign, especially for young people, if an increase in their education causes it. The series is part of the "ILO modeled estimates database," including nationally reported observations and imputed data for countries with missing data, primarily to capture regional and global trends with consistent country coverage. Country-reported microdata is based mainly on nationally representative labor force surveys, with other sources (e.g., household surveys and population censuses) considering differences in the data source, the scope of coverage, methodology, and other country-specific factors. Country analysis requires caution where limited nationally reported data are available. A series of models are also applied to impute missing observations and make projections. However, imputed observations are not based on national data, are subject to high uncertainty, and should not be used for country comparisons or rankings. For more information: https://ilostat.ilo.org/resources/concepts-and-definitions/ilo-modelled-estimates/</w:t>
            </w:r>
          </w:p>
        </w:tc>
      </w:tr>
      <w:tr>
        <w:trPr>
          <w:cantSplit w:val="0"/>
          <w:trHeight w:val="34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2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2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Four targets were added to the UN Millennium Declaration at the 2005 World Summit High-Level Plenary Meeting of the 60th Session of the UN General Assembly. One was full and productive employment and decent work for all, which is seen as the main route for people to escape poverty. Employment to population ratio is a key measure to monitor whether a country is on track to achieve the Millennium Development Goal of eradicating extreme poverty and hunger by 2015. And it continues to be a priority in the Sustainable Development Goal of promoting sustained, inclusive and sustainable economic growth, full and productive employment and decent work for all.</w:t>
            </w:r>
          </w:p>
        </w:tc>
      </w:tr>
      <w:tr>
        <w:trPr>
          <w:cantSplit w:val="0"/>
          <w:trHeight w:val="81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3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Data on employment by status are drawn from labor force surveys and household surveys, supplemented by official estimates and censuses for a small group of countries. The labor force survey is the most comprehensive source for internationally comparable employment, but there are still some limitations for comparing data across countries and over time even within a country. Comparability of employment ratios across countries is affected by variations in definitions of employment and population. The biggest difference results from the age range used to define labor force activity. The population base for employment ratios can also vary. Most countries use the resident, non-institutionalized population of working age living in private households, which excludes members of the armed forces and individuals residing in mental, penal, or other types of institutions. But some countries include members of the armed forces in the population base of their employment ratio while excluding them from employment data. The reference period of a census or survey is another important source of differences: in some countries data refer to people's status on the day of the census or survey or during a specific period before the inquiry date, while in others data are recorded without reference to any period. Employment ratios tend to vary during the year as seasonal workers enter and leave. This indicator also has a gender bias because women who do not consider their work employment or who are not perceived as working tend to be undercounted. This bias has different effects across countries and reflects demographic, social, legal, and cultural trends and norms.</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3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General 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National estimates are also available in the WDI database. Caution should be used when comparing ILO estimates with national estimates.</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3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Notes from original 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Given the exceptional situation, including the scarcity of relevant data, the ILO modeled estimates and projections from 2020 onwards are subject to substantial uncertainty.</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3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3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tbl>
      <w:tblPr>
        <w:tblStyle w:val="Table13"/>
        <w:tblW w:w="8895.0" w:type="dxa"/>
        <w:jc w:val="left"/>
        <w:tblLayout w:type="fixed"/>
        <w:tblLook w:val="0600"/>
      </w:tblPr>
      <w:tblGrid>
        <w:gridCol w:w="4500"/>
        <w:gridCol w:w="4395"/>
        <w:tblGridChange w:id="0">
          <w:tblGrid>
            <w:gridCol w:w="4500"/>
            <w:gridCol w:w="4395"/>
          </w:tblGrid>
        </w:tblGridChange>
      </w:tblGrid>
      <w:tr>
        <w:trPr>
          <w:cantSplit w:val="0"/>
          <w:trHeight w:val="750"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3D">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3E">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PM2.5 air pollution, population exposed to levels exceeding WHO guideline value (% of total) (EN.ATM.PM25.MC.ZS)</w:t>
            </w:r>
          </w:p>
        </w:tc>
      </w:tr>
      <w:tr>
        <w:trPr>
          <w:cantSplit w:val="0"/>
          <w:trHeight w:val="232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3F">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40">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Percent of population exposed to ambient concentrations of PM2.5 that exceed the WHO guideline value is defined as the portion of a country’s population living in places where mean annual concentrations of PM2.5 are greater than 10 micrograms per cubic meter, the guideline value recommended by the World Health Organization as the lower end of the range of concentrations over which adverse health effects due to PM2.5 exposure have been observed.</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4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4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Brauer, M. et al. 2017, for the Global Burden of Disease Study 2017.</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4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44">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Environment: Emissions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4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46">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47">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48">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9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4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4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 van Donkelaar, R.V. Martin, M. Brauer, N.C. Hsu, R.A. Kahn, R.C. Levy, A. Lyapustin, A.M. Sayer, D.M. Winker, "Global Estimates of Fine Particulate Matter using a Combined Geophysical-Statistical Method with Information from Satellites, Models, and Monitors," Environ. Sci. Technol 50, no. 7 (2016): 3762–3772; GBD 2017 Risk Factors Collaborators, "Global, regional, and national comparative risk assessment of 84 behavioural, environmental and occupational, and metabolic risks or clusters of risks for 194 countries and territories, 1990–2017: a systematic analysis for the Global Burden of Disease Study 2017," Lancet 392 (2018): 1923-1994; Shaddick G, Thomas M, Amini H, Broday DM, Cohen A, Frostad J, Green A, Gumy S, Liu Y, Martin RV, Prüss-Üstün A, Simpson D, van Donkelaar A, Brauer M. Data integration for the assessment of population exposure to ambient air pollution for global burden of disease assessment. Environ Sci Technol. 2018 Jun 29. Data provided by Institute for Health Metrics and Evaluation, University of Washington, Seattle. Data on exposure to ambient air pollution are derived from estimates of annual concentrations of very fine particulates produced by the Global Burden of Disease study, an international scientific effort led by the Institute for Health Metrics and Evaluation at the University of Washington. Estimates of annual concentrations are generated by combining data from atmospheric chemistry transport models, satellite observations of aerosols in the atmosphere, and ground-level monitoring of particulates. Overlaying PM2.5 estimates with gridded population data, the percent of a nation's people that lives in areas where PM2.5 concentrations exceed recommended levels is calculated by summing the population for grid cells where PM2.5 concentrations are beyond a threshold value, in this case 10 micrograms per cubic meter, and then dividing by total population.</w:t>
            </w:r>
          </w:p>
        </w:tc>
      </w:tr>
      <w:tr>
        <w:trPr>
          <w:cantSplit w:val="0"/>
          <w:trHeight w:val="54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4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4C">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Air pollution places a major burden on world health. In many places, including cities but also in rural areas, exposure to air pollution is the main environmental threat to health, responsible for 6.5 million deaths per year, about one every 5 seconds. Around 40 percent of the world’s people rely on household burning of wood, charcoal, dung, crop waste, or coal to meet basic energy needs. Cooking and heating with solid fuels create harmful smoke and particles that fill homes and the surrounding environment. Household air pollution from cooking and heating with solid fuels is responsible for 2.9 million deaths a year. Long-term exposure to high levels of fine particles in the air contributes to a range of health effects, including respiratory diseases, lung cancer, and heart disease, resulting in 4.2 million deaths annually. Not only does exposure to air pollution affect the health of the world’s people, it also carries huge economic costs and represents a drag on development, particularly for low and middle income countries and vulnerable segments of the population such as children and the elderly.</w:t>
            </w:r>
          </w:p>
        </w:tc>
      </w:tr>
      <w:tr>
        <w:trPr>
          <w:cantSplit w:val="0"/>
          <w:trHeight w:val="38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4D">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4E">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Pollutant concentrations are sensitive to local conditions, and even monitoring sites in the same city may register different levels. Direct monitoring of PM2.5 is still rare in most parts of the world, and measurement protocols and standards are not the same for all countries. These data should be considered only a general indication of air quality, intended to inform cross-country comparisons of the health risks due to particulate matter pollution. The guideline set by the World Health Organization (WHO) for PM2.5 is that annual mean concentrations should not exceed 10 micrograms per cubic meter, representing the lower range over which adverse health effects have been observed. The WHO has also recommended guideline values for emissions of PM2.5 from burning fuels in households.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4F">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0">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5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153">
      <w:pPr>
        <w:rPr/>
      </w:pPr>
      <w:r w:rsidDel="00000000" w:rsidR="00000000" w:rsidRPr="00000000">
        <w:rPr>
          <w:rtl w:val="0"/>
        </w:rPr>
        <w:br w:type="textWrapping"/>
        <w:br w:type="textWrapping"/>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4"/>
        <w:tblW w:w="8895.0" w:type="dxa"/>
        <w:jc w:val="left"/>
        <w:tblLayout w:type="fixed"/>
        <w:tblLook w:val="0600"/>
      </w:tblPr>
      <w:tblGrid>
        <w:gridCol w:w="4500"/>
        <w:gridCol w:w="4395"/>
        <w:tblGridChange w:id="0">
          <w:tblGrid>
            <w:gridCol w:w="4500"/>
            <w:gridCol w:w="4395"/>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5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Current health expenditure per capita (current US$) (SH.XPD.CHEX.PC.CD)</w:t>
            </w:r>
          </w:p>
        </w:tc>
      </w:tr>
      <w:tr>
        <w:trPr>
          <w:cantSplit w:val="0"/>
          <w:trHeight w:val="97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5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Current expenditures on health per capita in current US dollars. Estimates of current health expenditures include healthcare goods and services consumed during each year.</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5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World Health Organization Global Health Expenditure database (http://apps.who.int/nha/database). The data was retrieved on April 15, 2024.</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5C">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D">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Health: Health systems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5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5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6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23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6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The health expenditure estimates have been prepared by the World Health Organization under the framework of the System of Health Accounts 2011 (SHA 2011). The Health SHA 2011 tracks all health spending in a given country over a defined period of time regardless of the entity or institution that financed and managed that spending. It generates consistent and comprehensive data on health spending in a country, which in turn can contribute to evidence-based policy-making.</w:t>
            </w:r>
          </w:p>
        </w:tc>
      </w:tr>
      <w:tr>
        <w:trPr>
          <w:cantSplit w:val="0"/>
          <w:trHeight w:val="32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6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Strengthening health financing is one objective of Sustainable Development Goal 3 (SDG target 3.c). The levels and trends of health expenditure data identify key issues such as weaknesses and strengths and areas that need investment, for instance additional health facilities, better health information systems, or better trained human resources. Health financing is also critical for reaching universal health coverage (UHC) defined as all people obtaining the quality health services they need without suffering financial hardship (SDG 3.8). The data on out-of-pocket spending is a key indicator with regard to financial protection and hence of progress towards UHC.</w:t>
            </w:r>
          </w:p>
        </w:tc>
      </w:tr>
      <w:tr>
        <w:trPr>
          <w:cantSplit w:val="0"/>
          <w:trHeight w:val="29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6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Notes from original 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The World Health Organization (WHO) has revised health expenditure data using the new international classification for health expenditures in the revised System of Health Accounts (SHA 2011). WHO’s Global Health Expenditure Database in this new version is the reference source for health expenditure for international comparison imbedded in a standardized framework. The SHA 2011 clarifies the financing mechanisms and introduces new dimensions which improve the comparability of health expenditures in the perspective of universal health coverage.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6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6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6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tbl>
      <w:tblPr>
        <w:tblStyle w:val="Table15"/>
        <w:tblW w:w="8895.0" w:type="dxa"/>
        <w:jc w:val="left"/>
        <w:tblLayout w:type="fixed"/>
        <w:tblLook w:val="0600"/>
      </w:tblPr>
      <w:tblGrid>
        <w:gridCol w:w="4500"/>
        <w:gridCol w:w="4395"/>
        <w:tblGridChange w:id="0">
          <w:tblGrid>
            <w:gridCol w:w="4500"/>
            <w:gridCol w:w="4395"/>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7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Current health expenditure (% of GDP) (SH.XPD.CHEX.GD.ZS)</w:t>
            </w:r>
          </w:p>
        </w:tc>
      </w:tr>
      <w:tr>
        <w:trPr>
          <w:cantSplit w:val="0"/>
          <w:trHeight w:val="165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7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4">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Level of current health expenditure expressed as a percentage of GDP. Estimates of current health expenditures include healthcare goods and services consumed during each year. This indicator does not include capital health expenditures such as buildings, machinery, IT and stocks of vaccines for emergency or outbreaks.</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7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6">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World Health Organization Global Health Expenditure database (http://apps.who.int/nha/database). The data was retrieved on April 15, 2024.</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77">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8">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Health: Health systems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7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7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C">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Weighted average</w:t>
            </w:r>
          </w:p>
        </w:tc>
      </w:tr>
      <w:tr>
        <w:trPr>
          <w:cantSplit w:val="0"/>
          <w:trHeight w:val="23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7D">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7E">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The health expenditure estimates have been prepared by the World Health Organization under the framework of the System of Health Accounts 2011 (SHA 2011). The Health SHA 2011 tracks all health spending in a given country over a defined period of time regardless of the entity or institution that financed and managed that spending. It generates consistent and comprehensive data on health spending in a country, which in turn can contribute to evidence-based policy-making.</w:t>
            </w:r>
          </w:p>
        </w:tc>
      </w:tr>
      <w:tr>
        <w:trPr>
          <w:cantSplit w:val="0"/>
          <w:trHeight w:val="32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7F">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0">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Strengthening health financing is one objective of Sustainable Development Goal 3 (SDG target 3.c). The levels and trends of health expenditure data identify key issues such as weaknesses and strengths and areas that need investment, for instance additional health facilities, better health information systems, or better trained human resources. Health financing is also critical for reaching universal health coverage (UHC) defined as all people obtaining the quality health services they need without suffering financial hardship (SDG 3.8). The data on out-of-pocket spending is a key indicator with regard to financial protection and hence of progress towards UHC.</w:t>
            </w:r>
          </w:p>
        </w:tc>
      </w:tr>
      <w:tr>
        <w:trPr>
          <w:cantSplit w:val="0"/>
          <w:trHeight w:val="29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8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Notes from original 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The World Health Organization (WHO) has revised health expenditure data using the new international classification for health expenditures in the revised System of Health Accounts (SHA 2011). WHO’s Global Health Expenditure Database in this new version is the reference source for health expenditure for international comparison imbedded in a standardized framework. The SHA 2011 clarifies the financing mechanisms and introduces new dimensions which improve the comparability of health expenditures in the perspective of universal health coverage.</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8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4">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8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6">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tbl>
      <w:tblPr>
        <w:tblStyle w:val="Table16"/>
        <w:tblW w:w="8895.0" w:type="dxa"/>
        <w:jc w:val="left"/>
        <w:tblLayout w:type="fixed"/>
        <w:tblLook w:val="0600"/>
      </w:tblPr>
      <w:tblGrid>
        <w:gridCol w:w="4500"/>
        <w:gridCol w:w="4395"/>
        <w:tblGridChange w:id="0">
          <w:tblGrid>
            <w:gridCol w:w="4500"/>
            <w:gridCol w:w="4395"/>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8C">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D">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International tourism, expenditures (current US$) (ST.INT.XPND.CD)</w:t>
            </w:r>
          </w:p>
        </w:tc>
      </w:tr>
      <w:tr>
        <w:trPr>
          <w:cantSplit w:val="0"/>
          <w:trHeight w:val="232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8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8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International tourism expenditures are expenditures of international outbound visitors in other countries, including payments to foreign carriers for international transport. These expenditures may include those by residents traveling abroad as same-day visitors, except in cases where these are important enough to justify separate classification. For some countries they do not include expenditures for passenger transport items. Data are in current U.S. dollars.</w:t>
            </w:r>
          </w:p>
        </w:tc>
      </w:tr>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9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World Tourism Organization, Yearbook of Tourism Statistics, Compendium of Tourism Statistics and data files.</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92">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3">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Private Sector &amp; Trade: Travel &amp; tourism</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94">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5">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9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7">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Gap-filled total</w:t>
            </w:r>
          </w:p>
        </w:tc>
      </w:tr>
      <w:tr>
        <w:trPr>
          <w:cantSplit w:val="0"/>
          <w:trHeight w:val="86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98">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9">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Outbound tourism expenditures may include those by residents traveling abroad as same-day visitors, except when these are important enough to justify separate classification. For some countries they do not include expenditures for passenger transport items. Their share in imports is calculated as a ratio to imports of goods and services (all transactions between residents of a country and the rest of the world involving a change of ownership from nonresidents to residents of general merchandise, goods sent for processing and repairs, nonmonetary gold, and services). Statistical information on tourism is based mainly on data on arrivals and overnight stays along with balance of payments information. These data do not completely capture the economic phenomenon of tourism or provide the information needed for effective public policies and efficient business operations. Data are needed on the scale and significance of tourism. Information on the role of tourism in national economies is particularly deficient. Although the World Tourism Organization reports progress in harmonizing definitions and measurement, differences in national practices still prevent full comparability. The World Tourism Organization is improving its coverage of tourism expenditure data, using balance of payments data from the International Monetary Fund (IMF) supplemented by data from individual countries. These data include travel and passenger transport items as defined in the IMF's Balance of Payments. When the IMF does not report data on passenger transport items, expenditure data for travel items are shown. The aggregates are calculated using the World Bank's weighted aggregation methodology and differ from the World Tourism Organization's aggregates.</w:t>
            </w:r>
          </w:p>
        </w:tc>
      </w:tr>
      <w:tr>
        <w:trPr>
          <w:cantSplit w:val="0"/>
          <w:trHeight w:val="50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9A">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B">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Tourism is officially recognized as a directly measurable activity, enabling more accurate analysis and more effective policy. Whereas previously the sector relied mostly on approximations from related areas of measurement (e.g. Balance of Payments statistics), tourism today possesses a range of instruments to track its productive activities and the activities of the consumers that drive them: visitors (both tourists and excursionists). An increasing number of countries have opened up and invested in tourism development, making tourism a key driver of socio-economic progress through export revenues, the creation of jobs and enterprises, and infrastructure development. As an internationally traded service, inbound tourism has become one of the world's major trade categories. For many developing countries it is one of the main sources of foreign exchange income and a major component of exports, creating much needed employment and development opportunities.</w:t>
            </w:r>
          </w:p>
        </w:tc>
      </w:tr>
      <w:tr>
        <w:trPr>
          <w:cantSplit w:val="0"/>
          <w:trHeight w:val="65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9C">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D">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Tourism can be either domestic or international. The data refers to international tourism, where the traveler's country of residence differs from the visiting country. International tourism consists of inbound (arrival) and outbound (departures) tourism. The data are from the World Tourism Organization (WTO), a United Nations agency. The data on inbound and outbound tourists refer to the number of arrivals and departures, not to the number of people traveling. Expenditure associated with the activity of international visitors has been traditionally identified with the travel item of the Balance of Payments (BOP). The 2008 International Recommendations for Tourism Statistics consider that "tourism industries and products" includes transport of passengers. Consequently, a better estimate of tourism-related expenditure by inbound and outbound visitors in an international scenario would be, in terms of the BOP, the value of the travel item plus that of the passenger transport item. Nevertheless, users should be aware that BOP estimates include, in addition to expenditures associated to visitors, those related to other types of travelers (these might be substantial in some countries; for instance, long-term students or patients, border and seasonal workers, etc.). Also data on expenditure by main purpose of the trip are BOP data.</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9E">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9F">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A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1">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tbl>
      <w:tblPr>
        <w:tblStyle w:val="Table17"/>
        <w:tblW w:w="8895.0" w:type="dxa"/>
        <w:jc w:val="left"/>
        <w:tblLayout w:type="fixed"/>
        <w:tblLook w:val="0600"/>
      </w:tblPr>
      <w:tblGrid>
        <w:gridCol w:w="4425"/>
        <w:gridCol w:w="4470"/>
        <w:tblGridChange w:id="0">
          <w:tblGrid>
            <w:gridCol w:w="4425"/>
            <w:gridCol w:w="4470"/>
          </w:tblGrid>
        </w:tblGridChange>
      </w:tblGrid>
      <w:tr>
        <w:trPr>
          <w:cantSplit w:val="0"/>
          <w:trHeight w:val="525" w:hRule="atLeast"/>
          <w:tblHeader w:val="0"/>
        </w:trPr>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A7">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Indicator Name</w:t>
            </w:r>
            <w:r w:rsidDel="00000000" w:rsidR="00000000" w:rsidRPr="00000000">
              <w:rPr>
                <w:rtl w:val="0"/>
              </w:rPr>
            </w:r>
          </w:p>
        </w:tc>
        <w:tc>
          <w:tcPr>
            <w:tcBorders>
              <w:top w:color="38b1ef" w:space="0" w:sz="6" w:val="single"/>
              <w:left w:color="000000" w:space="0" w:sz="0" w:val="nil"/>
              <w:bottom w:color="38b1ef" w:space="0" w:sz="6" w:val="single"/>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8">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Strength of legal rights index (0=weak to 12=strong) (IC.LGL.CRED.XQ)</w:t>
            </w:r>
          </w:p>
        </w:tc>
      </w:tr>
      <w:tr>
        <w:trPr>
          <w:cantSplit w:val="0"/>
          <w:trHeight w:val="142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A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Long definition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Strength of legal rights index measures the degree to which collateral and bankruptcy laws protect the rights of borrowers and lenders and thus facilitate lending. The index ranges from 0 to 12, with higher scores indicating that these laws are better designed to expand access to credit.</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A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Source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C">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World Bank, Doing Business project (http://www.doingbusiness.org/). NOTE: Doing Business has been discontinued as of 9/16/2021. For more information: https://bit.ly/3CLCbme</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AD">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AE">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Private Sector &amp; Trade: Business environment</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AF">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Periodicity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0">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Annual</w:t>
            </w:r>
          </w:p>
        </w:tc>
      </w:tr>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B1">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Aggregation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2">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Unweighted average</w:t>
            </w:r>
          </w:p>
        </w:tc>
      </w:tr>
      <w:tr>
        <w:trPr>
          <w:cantSplit w:val="0"/>
          <w:trHeight w:val="568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B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Statistical concept and methodology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4">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Data are collected by the World Bank with a standardized survey that uses a simple business case to ensure comparability across economies and over time - with assumptions about the legal form of the business, its size, its location, and nature of its operation. Surveys are administered through more than 9,000 local experts, including lawyers, business consultants, accountants, freight forwarders, government officials, and other professionals who routinely administer or advise on legal and regulatory requirements. The Doing Business project of the World Bank encompasses two types of data: data from readings of laws and regulations and data on time and motion indicators that measure efficiency in achieving a regulatory goal. Within the time and motion indicators cost estimates are recorded from official fee schedules where applicable. The data from surveys are subjected to numerous tests for robustness, which lead to revision or expansion of the information collected. Data starting in 2013 reflect the DB15-17 methodology change. For more information on methodology, see http://www.doingbusiness.org/Methodology/getting-credit#legalRights.</w:t>
            </w:r>
          </w:p>
        </w:tc>
      </w:tr>
      <w:tr>
        <w:trPr>
          <w:cantSplit w:val="0"/>
          <w:trHeight w:val="115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B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Development relevance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6">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Access to finance can expand opportunities for all with higher levels of access and use of banking services associated with lower financing obstacles for people and businesses. A stable financial system that promotes efficient savings and investment is also crucial for a thriving democracy and market economy. There are several aspects of access to financial services: availability, cost, and quality of services. The development and growth of credit markets depend on access to timely, reliable, and accurate data on borrowers' credit experiences. Access to credit can be improved by making it easy to create and enforce collateral agreements and by increasing information about potential borrowers' creditworthiness. Lenders look at a borrower's credit history and collateral. Where credit registries and effective collateral laws are absent - as in many developing countries - banks make fewer loans. Indicators that cover getting credit include the strength of legal rights index and the depth of credit information index. The economic health of a country is measured not only in macroeconomic terms but also by other factors that shape daily economic activity such as laws, regulations, and institutional arrangements. The data measure business regulation, gauge regulatory outcomes, and measure the extent of legal protection of property, the flexibility of employment regulation, and the tax burden on businesses. The fundamental premise of this data is that economic activity requires good rules and regulations that are efficient, accessible to all who need to use them, and simple to implement. Thus sometimes there is more emphasis on more regulation, such as stricter disclosure requirements in related-party transactions, and other times emphasis is on for simplified regulations, such as a one-stop shop for completing business startup formalities. Entrepreneurs may not be aware of all required procedures or may avoid legally required procedures altogether. But where regulation is particularly onerous, levels of informality are higher, which comes at a cost: firms in the informal sector usually grow more slowly, have less access to credit, and employ fewer workers - and those workers remain outside the protections of labor law. The indicator can help policymakers understand the business environment in a country and - along with information from other sources such as the World Bank's Enterprise Surveys - provide insights into potential areas of reform.</w:t>
            </w:r>
          </w:p>
        </w:tc>
      </w:tr>
      <w:tr>
        <w:trPr>
          <w:cantSplit w:val="0"/>
          <w:trHeight w:val="6135"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B7">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Limitations and exceptions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8">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The Doing Business methodology has limitations that should be considered when interpreting the data. First, the data collected refer to businesses in the economy's largest city and may not represent regulations in other locations of the economy. To address this limitation, subnational indicators are being collected for selected economies. These subnational studies point to significant differences in the speed of reform and the ease of doing business across cities in the same economy. Second, the data often focus on a specific business form - generally a limited liability company of a specified size - and may not represent regulation for other types of businesses such as sole proprietorships. Third, transactions described in a standardized business case refer to a specific set of issues and may not represent the full set of issues a business encounters. Fourth, the time measures involve an element of judgment by the expert respondents. When sources indicate different estimates, the Doing Business time indicators represent the median values of several responses given under the assumptions of the standardized case. Fifth, the methodology assumes that a business has full information on what is required and does not waste time when completing procedures.</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B9">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General comments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A">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Data are presented for the survey year instead of publication year.</w:t>
            </w:r>
          </w:p>
        </w:tc>
      </w:tr>
      <w:tr>
        <w:trPr>
          <w:cantSplit w:val="0"/>
          <w:trHeight w:val="51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B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C">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https://datacatalog.worldbank.org/public-licenses#cc-by</w:t>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300.0" w:type="dxa"/>
            </w:tcMar>
            <w:vAlign w:val="top"/>
          </w:tcPr>
          <w:p w:rsidR="00000000" w:rsidDel="00000000" w:rsidP="00000000" w:rsidRDefault="00000000" w:rsidRPr="00000000" w14:paraId="000001BD">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666666"/>
                <w:sz w:val="20"/>
                <w:szCs w:val="20"/>
                <w:rtl w:val="0"/>
              </w:rPr>
              <w:t xml:space="preserve">License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1BE">
            <w:pPr>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CC BY-4.0</w:t>
            </w:r>
          </w:p>
        </w:tc>
      </w:tr>
    </w:tbl>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