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1F3864"/>
          <w:sz w:val="56"/>
          <w:szCs w:val="56"/>
        </w:rPr>
        <w:t xml:space="preserve">LOAN DEFAULT PREDICTION</w:t>
      </w:r>
    </w:p>
    <w:p>
      <w:pPr>
        <w:spacing w:after="480" w:before="0"/>
        <w:jc w:val="center"/>
      </w:pPr>
      <w:r>
        <w:rPr>
          <w:rFonts w:ascii="Arial" w:cs="Arial" w:eastAsia="Arial" w:hAnsi="Arial"/>
          <w:b w:val="false"/>
          <w:bCs w:val="false"/>
          <w:color w:val="2E5FAA"/>
          <w:sz w:val="34"/>
          <w:szCs w:val="34"/>
        </w:rPr>
        <w:t xml:space="preserve">A Machine Learning Classification Study</w:t>
      </w:r>
    </w:p>
    <w:p>
      <w:pPr>
        <w:pBdr>
          <w:bottom w:val="single" w:color="1F3864" w:sz="8" w:space="1"/>
        </w:pBdr>
        <w:spacing w:after="480" w:before="0"/>
        <w:jc w:val="center"/>
      </w:pPr>
      <w:r>
        <w:t xml:space="preserve"/>
      </w:r>
    </w:p>
    <w:p>
      <w:pPr>
        <w:spacing w:after="120" w:before="480"/>
        <w:jc w:val="center"/>
      </w:pPr>
      <w:r>
        <w:rPr>
          <w:rFonts w:ascii="Arial" w:cs="Arial" w:eastAsia="Arial" w:hAnsi="Arial"/>
          <w:color w:val="444444"/>
          <w:sz w:val="24"/>
          <w:szCs w:val="24"/>
        </w:rPr>
        <w:t xml:space="preserve">Dataset: LendingClub Accepted Loans (2007 – 2018 Q4)</w:t>
      </w:r>
    </w:p>
    <w:p>
      <w:pPr>
        <w:spacing w:after="60" w:before="60"/>
        <w:jc w:val="center"/>
      </w:pPr>
      <w:r>
        <w:rPr>
          <w:rFonts w:ascii="Arial" w:cs="Arial" w:eastAsia="Arial" w:hAnsi="Arial"/>
          <w:color w:val="444444"/>
          <w:sz w:val="24"/>
          <w:szCs w:val="24"/>
        </w:rPr>
        <w:t xml:space="preserve">Task: Binary Classification — Predict Loan Default</w:t>
      </w:r>
    </w:p>
    <w:p>
      <w:pPr>
        <w:spacing w:after="60" w:before="60"/>
        <w:jc w:val="center"/>
      </w:pPr>
      <w:r>
        <w:rPr>
          <w:rFonts w:ascii="Arial" w:cs="Arial" w:eastAsia="Arial" w:hAnsi="Arial"/>
          <w:color w:val="444444"/>
          <w:sz w:val="24"/>
          <w:szCs w:val="24"/>
        </w:rPr>
        <w:t xml:space="preserve">Models: Decision Tree · Random Forest · XGBoost · LightGBM · Neural Network</w:t>
      </w:r>
    </w:p>
    <w:p>
      <w:pPr>
        <w:spacing w:after="120" w:before="1200"/>
        <w:jc w:val="center"/>
      </w:pPr>
      <w:r>
        <w:rPr>
          <w:rFonts w:ascii="Arial" w:cs="Arial" w:eastAsia="Arial" w:hAnsi="Arial"/>
          <w:color w:val="666666"/>
          <w:sz w:val="24"/>
          <w:szCs w:val="24"/>
        </w:rPr>
        <w:t xml:space="preserve">May 2026</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3864"/>
          <w:sz w:val="32"/>
          <w:szCs w:val="32"/>
        </w:rPr>
        <w:t xml:space="preserve">Table of Contents</w:t>
      </w:r>
    </w:p>
    <w:p>
      <w:pPr>
        <w:spacing w:after="80" w:before="0"/>
      </w:pPr>
      <w:r>
        <w:t xml:space="preserve"/>
      </w:r>
    </w:p>
    <w:p>
      <w:pPr>
        <w:tabs>
          <w:tab w:val="right" w:pos="9360"/>
        </w:tabs>
        <w:spacing w:after="40" w:before="40"/>
      </w:pPr>
      <w:r>
        <w:rPr>
          <w:rFonts w:ascii="Arial" w:cs="Arial" w:eastAsia="Arial" w:hAnsi="Arial"/>
          <w:sz w:val="22"/>
          <w:szCs w:val="22"/>
        </w:rPr>
        <w:t xml:space="preserve">1.0   Introduction</w:t>
      </w:r>
      <w:r>
        <w:rPr>
          <w:rFonts w:ascii="Arial" w:cs="Arial" w:eastAsia="Arial" w:hAnsi="Arial"/>
          <w:sz w:val="22"/>
          <w:szCs w:val="22"/>
        </w:rPr>
        <w:t xml:space="preserve">	2</w:t>
      </w:r>
    </w:p>
    <w:p>
      <w:pPr>
        <w:tabs>
          <w:tab w:val="right" w:pos="9360"/>
        </w:tabs>
        <w:spacing w:after="40" w:before="40"/>
      </w:pPr>
      <w:r>
        <w:rPr>
          <w:rFonts w:ascii="Arial" w:cs="Arial" w:eastAsia="Arial" w:hAnsi="Arial"/>
          <w:sz w:val="22"/>
          <w:szCs w:val="22"/>
        </w:rPr>
        <w:t xml:space="preserve">2.0   Methodology</w:t>
      </w:r>
      <w:r>
        <w:rPr>
          <w:rFonts w:ascii="Arial" w:cs="Arial" w:eastAsia="Arial" w:hAnsi="Arial"/>
          <w:sz w:val="22"/>
          <w:szCs w:val="22"/>
        </w:rPr>
        <w:t xml:space="preserve">	3</w:t>
      </w:r>
    </w:p>
    <w:p>
      <w:pPr>
        <w:tabs>
          <w:tab w:val="right" w:pos="9360"/>
        </w:tabs>
        <w:spacing w:after="40" w:before="40"/>
      </w:pPr>
      <w:r>
        <w:rPr>
          <w:rFonts w:ascii="Arial" w:cs="Arial" w:eastAsia="Arial" w:hAnsi="Arial"/>
          <w:sz w:val="22"/>
          <w:szCs w:val="22"/>
        </w:rPr>
        <w:t xml:space="preserve">2.1   Research Design and Workflow</w:t>
      </w:r>
      <w:r>
        <w:rPr>
          <w:rFonts w:ascii="Arial" w:cs="Arial" w:eastAsia="Arial" w:hAnsi="Arial"/>
          <w:sz w:val="22"/>
          <w:szCs w:val="22"/>
        </w:rPr>
        <w:t xml:space="preserve">	3</w:t>
      </w:r>
    </w:p>
    <w:p>
      <w:pPr>
        <w:tabs>
          <w:tab w:val="right" w:pos="9360"/>
        </w:tabs>
        <w:spacing w:after="40" w:before="40"/>
      </w:pPr>
      <w:r>
        <w:rPr>
          <w:rFonts w:ascii="Arial" w:cs="Arial" w:eastAsia="Arial" w:hAnsi="Arial"/>
          <w:sz w:val="22"/>
          <w:szCs w:val="22"/>
        </w:rPr>
        <w:t xml:space="preserve">2.2   Experimental Setup</w:t>
      </w:r>
      <w:r>
        <w:rPr>
          <w:rFonts w:ascii="Arial" w:cs="Arial" w:eastAsia="Arial" w:hAnsi="Arial"/>
          <w:sz w:val="22"/>
          <w:szCs w:val="22"/>
        </w:rPr>
        <w:t xml:space="preserve">	3</w:t>
      </w:r>
    </w:p>
    <w:p>
      <w:pPr>
        <w:tabs>
          <w:tab w:val="right" w:pos="9360"/>
        </w:tabs>
        <w:spacing w:after="40" w:before="40"/>
      </w:pPr>
      <w:r>
        <w:rPr>
          <w:rFonts w:ascii="Arial" w:cs="Arial" w:eastAsia="Arial" w:hAnsi="Arial"/>
          <w:sz w:val="22"/>
          <w:szCs w:val="22"/>
        </w:rPr>
        <w:t xml:space="preserve">2.3   Dataset Description and Preprocessing</w:t>
      </w:r>
      <w:r>
        <w:rPr>
          <w:rFonts w:ascii="Arial" w:cs="Arial" w:eastAsia="Arial" w:hAnsi="Arial"/>
          <w:sz w:val="22"/>
          <w:szCs w:val="22"/>
        </w:rPr>
        <w:t xml:space="preserve">	4</w:t>
      </w:r>
    </w:p>
    <w:p>
      <w:pPr>
        <w:tabs>
          <w:tab w:val="right" w:pos="9360"/>
        </w:tabs>
        <w:spacing w:after="40" w:before="40"/>
      </w:pPr>
      <w:r>
        <w:rPr>
          <w:rFonts w:ascii="Arial" w:cs="Arial" w:eastAsia="Arial" w:hAnsi="Arial"/>
          <w:sz w:val="22"/>
          <w:szCs w:val="22"/>
        </w:rPr>
        <w:t xml:space="preserve">2.4   Feature Engineering</w:t>
      </w:r>
      <w:r>
        <w:rPr>
          <w:rFonts w:ascii="Arial" w:cs="Arial" w:eastAsia="Arial" w:hAnsi="Arial"/>
          <w:sz w:val="22"/>
          <w:szCs w:val="22"/>
        </w:rPr>
        <w:t xml:space="preserve">	5</w:t>
      </w:r>
    </w:p>
    <w:p>
      <w:pPr>
        <w:tabs>
          <w:tab w:val="right" w:pos="9360"/>
        </w:tabs>
        <w:spacing w:after="40" w:before="40"/>
      </w:pPr>
      <w:r>
        <w:rPr>
          <w:rFonts w:ascii="Arial" w:cs="Arial" w:eastAsia="Arial" w:hAnsi="Arial"/>
          <w:sz w:val="22"/>
          <w:szCs w:val="22"/>
        </w:rPr>
        <w:t xml:space="preserve">2.5   Model Development</w:t>
      </w:r>
      <w:r>
        <w:rPr>
          <w:rFonts w:ascii="Arial" w:cs="Arial" w:eastAsia="Arial" w:hAnsi="Arial"/>
          <w:sz w:val="22"/>
          <w:szCs w:val="22"/>
        </w:rPr>
        <w:t xml:space="preserve">	6</w:t>
      </w:r>
    </w:p>
    <w:p>
      <w:pPr>
        <w:tabs>
          <w:tab w:val="right" w:pos="9360"/>
        </w:tabs>
        <w:spacing w:after="40" w:before="40"/>
      </w:pPr>
      <w:r>
        <w:rPr>
          <w:rFonts w:ascii="Arial" w:cs="Arial" w:eastAsia="Arial" w:hAnsi="Arial"/>
          <w:sz w:val="22"/>
          <w:szCs w:val="22"/>
        </w:rPr>
        <w:t xml:space="preserve">2.6   Hyperparameter Tuning</w:t>
      </w:r>
      <w:r>
        <w:rPr>
          <w:rFonts w:ascii="Arial" w:cs="Arial" w:eastAsia="Arial" w:hAnsi="Arial"/>
          <w:sz w:val="22"/>
          <w:szCs w:val="22"/>
        </w:rPr>
        <w:t xml:space="preserve">	8</w:t>
      </w:r>
    </w:p>
    <w:p>
      <w:pPr>
        <w:tabs>
          <w:tab w:val="right" w:pos="9360"/>
        </w:tabs>
        <w:spacing w:after="40" w:before="40"/>
      </w:pPr>
      <w:r>
        <w:rPr>
          <w:rFonts w:ascii="Arial" w:cs="Arial" w:eastAsia="Arial" w:hAnsi="Arial"/>
          <w:sz w:val="22"/>
          <w:szCs w:val="22"/>
        </w:rPr>
        <w:t xml:space="preserve">3.0   Results</w:t>
      </w:r>
      <w:r>
        <w:rPr>
          <w:rFonts w:ascii="Arial" w:cs="Arial" w:eastAsia="Arial" w:hAnsi="Arial"/>
          <w:sz w:val="22"/>
          <w:szCs w:val="22"/>
        </w:rPr>
        <w:t xml:space="preserve">	9</w:t>
      </w:r>
    </w:p>
    <w:p>
      <w:pPr>
        <w:tabs>
          <w:tab w:val="right" w:pos="9360"/>
        </w:tabs>
        <w:spacing w:after="40" w:before="40"/>
      </w:pPr>
      <w:r>
        <w:rPr>
          <w:rFonts w:ascii="Arial" w:cs="Arial" w:eastAsia="Arial" w:hAnsi="Arial"/>
          <w:sz w:val="22"/>
          <w:szCs w:val="22"/>
        </w:rPr>
        <w:t xml:space="preserve">3.1   Model Accuracy</w:t>
      </w:r>
      <w:r>
        <w:rPr>
          <w:rFonts w:ascii="Arial" w:cs="Arial" w:eastAsia="Arial" w:hAnsi="Arial"/>
          <w:sz w:val="22"/>
          <w:szCs w:val="22"/>
        </w:rPr>
        <w:t xml:space="preserve">	9</w:t>
      </w:r>
    </w:p>
    <w:p>
      <w:pPr>
        <w:tabs>
          <w:tab w:val="right" w:pos="9360"/>
        </w:tabs>
        <w:spacing w:after="40" w:before="40"/>
      </w:pPr>
      <w:r>
        <w:rPr>
          <w:rFonts w:ascii="Arial" w:cs="Arial" w:eastAsia="Arial" w:hAnsi="Arial"/>
          <w:sz w:val="22"/>
          <w:szCs w:val="22"/>
        </w:rPr>
        <w:t xml:space="preserve">3.2   Classification Reports</w:t>
      </w:r>
      <w:r>
        <w:rPr>
          <w:rFonts w:ascii="Arial" w:cs="Arial" w:eastAsia="Arial" w:hAnsi="Arial"/>
          <w:sz w:val="22"/>
          <w:szCs w:val="22"/>
        </w:rPr>
        <w:t xml:space="preserve">	9</w:t>
      </w:r>
    </w:p>
    <w:p>
      <w:pPr>
        <w:tabs>
          <w:tab w:val="right" w:pos="9360"/>
        </w:tabs>
        <w:spacing w:after="40" w:before="40"/>
      </w:pPr>
      <w:r>
        <w:rPr>
          <w:rFonts w:ascii="Arial" w:cs="Arial" w:eastAsia="Arial" w:hAnsi="Arial"/>
          <w:sz w:val="22"/>
          <w:szCs w:val="22"/>
        </w:rPr>
        <w:t xml:space="preserve">3.3   Confusion Matrices</w:t>
      </w:r>
      <w:r>
        <w:rPr>
          <w:rFonts w:ascii="Arial" w:cs="Arial" w:eastAsia="Arial" w:hAnsi="Arial"/>
          <w:sz w:val="22"/>
          <w:szCs w:val="22"/>
        </w:rPr>
        <w:t xml:space="preserve">	10</w:t>
      </w:r>
    </w:p>
    <w:p>
      <w:pPr>
        <w:tabs>
          <w:tab w:val="right" w:pos="9360"/>
        </w:tabs>
        <w:spacing w:after="40" w:before="40"/>
      </w:pPr>
      <w:r>
        <w:rPr>
          <w:rFonts w:ascii="Arial" w:cs="Arial" w:eastAsia="Arial" w:hAnsi="Arial"/>
          <w:sz w:val="22"/>
          <w:szCs w:val="22"/>
        </w:rPr>
        <w:t xml:space="preserve">3.4   ROC and Precision-Recall Curves</w:t>
      </w:r>
      <w:r>
        <w:rPr>
          <w:rFonts w:ascii="Arial" w:cs="Arial" w:eastAsia="Arial" w:hAnsi="Arial"/>
          <w:sz w:val="22"/>
          <w:szCs w:val="22"/>
        </w:rPr>
        <w:t xml:space="preserve">	10</w:t>
      </w:r>
    </w:p>
    <w:p>
      <w:pPr>
        <w:tabs>
          <w:tab w:val="right" w:pos="9360"/>
        </w:tabs>
        <w:spacing w:after="40" w:before="40"/>
      </w:pPr>
      <w:r>
        <w:rPr>
          <w:rFonts w:ascii="Arial" w:cs="Arial" w:eastAsia="Arial" w:hAnsi="Arial"/>
          <w:sz w:val="22"/>
          <w:szCs w:val="22"/>
        </w:rPr>
        <w:t xml:space="preserve">3.5   Model Calibration</w:t>
      </w:r>
      <w:r>
        <w:rPr>
          <w:rFonts w:ascii="Arial" w:cs="Arial" w:eastAsia="Arial" w:hAnsi="Arial"/>
          <w:sz w:val="22"/>
          <w:szCs w:val="22"/>
        </w:rPr>
        <w:t xml:space="preserve">	11</w:t>
      </w:r>
    </w:p>
    <w:p>
      <w:pPr>
        <w:tabs>
          <w:tab w:val="right" w:pos="9360"/>
        </w:tabs>
        <w:spacing w:after="40" w:before="40"/>
      </w:pPr>
      <w:r>
        <w:rPr>
          <w:rFonts w:ascii="Arial" w:cs="Arial" w:eastAsia="Arial" w:hAnsi="Arial"/>
          <w:sz w:val="22"/>
          <w:szCs w:val="22"/>
        </w:rPr>
        <w:t xml:space="preserve">3.6   Summary of Results</w:t>
      </w:r>
      <w:r>
        <w:rPr>
          <w:rFonts w:ascii="Arial" w:cs="Arial" w:eastAsia="Arial" w:hAnsi="Arial"/>
          <w:sz w:val="22"/>
          <w:szCs w:val="22"/>
        </w:rPr>
        <w:t xml:space="preserve">	11</w:t>
      </w:r>
    </w:p>
    <w:p>
      <w:pPr>
        <w:tabs>
          <w:tab w:val="right" w:pos="9360"/>
        </w:tabs>
        <w:spacing w:after="40" w:before="40"/>
      </w:pPr>
      <w:r>
        <w:rPr>
          <w:rFonts w:ascii="Arial" w:cs="Arial" w:eastAsia="Arial" w:hAnsi="Arial"/>
          <w:sz w:val="22"/>
          <w:szCs w:val="22"/>
        </w:rPr>
        <w:t xml:space="preserve">4.0   Model Interpretation</w:t>
      </w:r>
      <w:r>
        <w:rPr>
          <w:rFonts w:ascii="Arial" w:cs="Arial" w:eastAsia="Arial" w:hAnsi="Arial"/>
          <w:sz w:val="22"/>
          <w:szCs w:val="22"/>
        </w:rPr>
        <w:t xml:space="preserve">	12</w:t>
      </w:r>
    </w:p>
    <w:p>
      <w:pPr>
        <w:tabs>
          <w:tab w:val="right" w:pos="9360"/>
        </w:tabs>
        <w:spacing w:after="40" w:before="40"/>
      </w:pPr>
      <w:r>
        <w:rPr>
          <w:rFonts w:ascii="Arial" w:cs="Arial" w:eastAsia="Arial" w:hAnsi="Arial"/>
          <w:sz w:val="22"/>
          <w:szCs w:val="22"/>
        </w:rPr>
        <w:t xml:space="preserve">4.1   Feature Importance</w:t>
      </w:r>
      <w:r>
        <w:rPr>
          <w:rFonts w:ascii="Arial" w:cs="Arial" w:eastAsia="Arial" w:hAnsi="Arial"/>
          <w:sz w:val="22"/>
          <w:szCs w:val="22"/>
        </w:rPr>
        <w:t xml:space="preserve">	12</w:t>
      </w:r>
    </w:p>
    <w:p>
      <w:pPr>
        <w:tabs>
          <w:tab w:val="right" w:pos="9360"/>
        </w:tabs>
        <w:spacing w:after="40" w:before="40"/>
      </w:pPr>
      <w:r>
        <w:rPr>
          <w:rFonts w:ascii="Arial" w:cs="Arial" w:eastAsia="Arial" w:hAnsi="Arial"/>
          <w:sz w:val="22"/>
          <w:szCs w:val="22"/>
        </w:rPr>
        <w:t xml:space="preserve">4.2   SHAP Analysis</w:t>
      </w:r>
      <w:r>
        <w:rPr>
          <w:rFonts w:ascii="Arial" w:cs="Arial" w:eastAsia="Arial" w:hAnsi="Arial"/>
          <w:sz w:val="22"/>
          <w:szCs w:val="22"/>
        </w:rPr>
        <w:t xml:space="preserve">	12</w:t>
      </w:r>
    </w:p>
    <w:p>
      <w:pPr>
        <w:tabs>
          <w:tab w:val="right" w:pos="9360"/>
        </w:tabs>
        <w:spacing w:after="40" w:before="40"/>
      </w:pPr>
      <w:r>
        <w:rPr>
          <w:rFonts w:ascii="Arial" w:cs="Arial" w:eastAsia="Arial" w:hAnsi="Arial"/>
          <w:sz w:val="22"/>
          <w:szCs w:val="22"/>
        </w:rPr>
        <w:t xml:space="preserve">4.3   LIME Analysis</w:t>
      </w:r>
      <w:r>
        <w:rPr>
          <w:rFonts w:ascii="Arial" w:cs="Arial" w:eastAsia="Arial" w:hAnsi="Arial"/>
          <w:sz w:val="22"/>
          <w:szCs w:val="22"/>
        </w:rPr>
        <w:t xml:space="preserve">	13</w:t>
      </w:r>
    </w:p>
    <w:p>
      <w:pPr>
        <w:tabs>
          <w:tab w:val="right" w:pos="9360"/>
        </w:tabs>
        <w:spacing w:after="40" w:before="40"/>
      </w:pPr>
      <w:r>
        <w:rPr>
          <w:rFonts w:ascii="Arial" w:cs="Arial" w:eastAsia="Arial" w:hAnsi="Arial"/>
          <w:sz w:val="22"/>
          <w:szCs w:val="22"/>
        </w:rPr>
        <w:t xml:space="preserve">4.4   Decision Threshold Analysis</w:t>
      </w:r>
      <w:r>
        <w:rPr>
          <w:rFonts w:ascii="Arial" w:cs="Arial" w:eastAsia="Arial" w:hAnsi="Arial"/>
          <w:sz w:val="22"/>
          <w:szCs w:val="22"/>
        </w:rPr>
        <w:t xml:space="preserve">	13</w:t>
      </w:r>
    </w:p>
    <w:p>
      <w:pPr>
        <w:tabs>
          <w:tab w:val="right" w:pos="9360"/>
        </w:tabs>
        <w:spacing w:after="40" w:before="40"/>
      </w:pPr>
      <w:r>
        <w:rPr>
          <w:rFonts w:ascii="Arial" w:cs="Arial" w:eastAsia="Arial" w:hAnsi="Arial"/>
          <w:sz w:val="22"/>
          <w:szCs w:val="22"/>
        </w:rPr>
        <w:t xml:space="preserve">4.5   Fairness Audit</w:t>
      </w:r>
      <w:r>
        <w:rPr>
          <w:rFonts w:ascii="Arial" w:cs="Arial" w:eastAsia="Arial" w:hAnsi="Arial"/>
          <w:sz w:val="22"/>
          <w:szCs w:val="22"/>
        </w:rPr>
        <w:t xml:space="preserve">	13</w:t>
      </w:r>
    </w:p>
    <w:p>
      <w:pPr>
        <w:tabs>
          <w:tab w:val="right" w:pos="9360"/>
        </w:tabs>
        <w:spacing w:after="40" w:before="40"/>
      </w:pPr>
      <w:r>
        <w:rPr>
          <w:rFonts w:ascii="Arial" w:cs="Arial" w:eastAsia="Arial" w:hAnsi="Arial"/>
          <w:sz w:val="22"/>
          <w:szCs w:val="22"/>
        </w:rPr>
        <w:t xml:space="preserve">5.0   Conclusion</w:t>
      </w:r>
      <w:r>
        <w:rPr>
          <w:rFonts w:ascii="Arial" w:cs="Arial" w:eastAsia="Arial" w:hAnsi="Arial"/>
          <w:sz w:val="22"/>
          <w:szCs w:val="22"/>
        </w:rPr>
        <w:t xml:space="preserve">	14</w:t>
      </w:r>
    </w:p>
    <w:p>
      <w:pPr>
        <w:tabs>
          <w:tab w:val="right" w:pos="9360"/>
        </w:tabs>
        <w:spacing w:after="40" w:before="40"/>
      </w:pPr>
      <w:r>
        <w:rPr>
          <w:rFonts w:ascii="Arial" w:cs="Arial" w:eastAsia="Arial" w:hAnsi="Arial"/>
          <w:sz w:val="22"/>
          <w:szCs w:val="22"/>
        </w:rPr>
        <w:t xml:space="preserve">6.0   Future Work</w:t>
      </w:r>
      <w:r>
        <w:rPr>
          <w:rFonts w:ascii="Arial" w:cs="Arial" w:eastAsia="Arial" w:hAnsi="Arial"/>
          <w:sz w:val="22"/>
          <w:szCs w:val="22"/>
        </w:rPr>
        <w:t xml:space="preserve">	14</w:t>
      </w:r>
    </w:p>
    <w:p>
      <w:r>
        <w:br w:type="page"/>
      </w:r>
    </w:p>
    <w:p>
      <w:pPr>
        <w:pStyle w:val="Heading1"/>
        <w:spacing w:after="120" w:before="360"/>
      </w:pPr>
      <w:r>
        <w:rPr>
          <w:rFonts w:ascii="Arial" w:cs="Arial" w:eastAsia="Arial" w:hAnsi="Arial"/>
          <w:b/>
          <w:bCs/>
          <w:color w:val="1F3864"/>
          <w:sz w:val="32"/>
          <w:szCs w:val="32"/>
        </w:rPr>
        <w:t xml:space="preserve">1.0   Introduction</w:t>
      </w:r>
    </w:p>
    <w:p>
      <w:pPr>
        <w:spacing w:after="80" w:before="80" w:line="276"/>
        <w:jc w:val="both"/>
      </w:pPr>
      <w:r>
        <w:rPr>
          <w:rFonts w:ascii="Arial" w:cs="Arial" w:eastAsia="Arial" w:hAnsi="Arial"/>
          <w:sz w:val="22"/>
          <w:szCs w:val="22"/>
        </w:rPr>
        <w:t xml:space="preserve">Access to credit is a fundamental driver of economic activity. Lending institutions must balance two competing risks: approving loans that subsequently default (credit loss) and rejecting creditworthy applicants (opportunity loss and reputational harm). Both errors carry direct financial consequences, making accurate default prediction one of the highest-stakes classification problems in financial technology.</w:t>
      </w:r>
    </w:p>
    <w:p>
      <w:pPr>
        <w:spacing w:after="80" w:before="0"/>
      </w:pPr>
      <w:r>
        <w:t xml:space="preserve"/>
      </w:r>
    </w:p>
    <w:p>
      <w:pPr>
        <w:spacing w:after="80" w:before="80" w:line="276"/>
        <w:jc w:val="both"/>
      </w:pPr>
      <w:r>
        <w:rPr>
          <w:rFonts w:ascii="Arial" w:cs="Arial" w:eastAsia="Arial" w:hAnsi="Arial"/>
          <w:sz w:val="22"/>
          <w:szCs w:val="22"/>
        </w:rPr>
        <w:t xml:space="preserve">Traditional credit scoring systems — anchored largely on FICO scores, debt-to-income ratios, and manual underwriting rules — have served the industry for decades but exhibit well-documented limitations. Single-biomarker thresholds fail to capture complex nonlinear interactions among applicant characteristics, while manual rules drift as borrower demographics and macroeconomic conditions change. The 2007–2009 financial crisis starkly exposed the cost of systematic under-estimation of default risk in consumer lending.</w:t>
      </w:r>
    </w:p>
    <w:p>
      <w:pPr>
        <w:spacing w:after="80" w:before="0"/>
      </w:pPr>
      <w:r>
        <w:t xml:space="preserve"/>
      </w:r>
    </w:p>
    <w:p>
      <w:pPr>
        <w:spacing w:after="80" w:before="80" w:line="276"/>
        <w:jc w:val="both"/>
      </w:pPr>
      <w:r>
        <w:rPr>
          <w:rFonts w:ascii="Arial" w:cs="Arial" w:eastAsia="Arial" w:hAnsi="Arial"/>
          <w:sz w:val="22"/>
          <w:szCs w:val="22"/>
        </w:rPr>
        <w:t xml:space="preserve">Advances in supervised machine learning offer a compelling complement to traditional methods. Algorithms such as gradient-boosted decision trees and deep neural networks can learn high-dimensional, nonlinear decision boundaries from millions of historical loan records — detecting patterns invisible to linear scorecards. Crucially, these models can be made explainable through tools such as SHAP (SHapley Additive exPlanations) and LIME, satisfying the adverse-action notice requirements of the Equal Credit Opportunity Act (ECOA) and Fair Credit Reporting Act (FCRA).</w:t>
      </w:r>
    </w:p>
    <w:p>
      <w:pPr>
        <w:spacing w:after="80" w:before="0"/>
      </w:pPr>
      <w:r>
        <w:t xml:space="preserve"/>
      </w:r>
    </w:p>
    <w:p>
      <w:pPr>
        <w:spacing w:after="80" w:before="80" w:line="276"/>
        <w:jc w:val="both"/>
      </w:pPr>
      <w:r>
        <w:rPr>
          <w:rFonts w:ascii="Arial" w:cs="Arial" w:eastAsia="Arial" w:hAnsi="Arial"/>
          <w:sz w:val="22"/>
          <w:szCs w:val="22"/>
        </w:rPr>
        <w:t xml:space="preserve">This project develops and evaluates a suite of machine learning models for loan default prediction using the publicly available LendingClub Accepted Loans dataset (2007–2018 Q4), comprising approximately 2.26 million records and 151 columns. The target variable is binary: 0 for loans that are Fully Paid (good loans) and 1 for loans that Defaulted, Charged Off, or became significantly Late (bad loans). The study evaluates five supervised learning algorithms — Decision Tree, Random Forest, XGBoost, LightGBM, and a Neural Network — and selects the best-performing model for a deployment-ready inference pipeline.</w:t>
      </w:r>
    </w:p>
    <w:p>
      <w:pPr>
        <w:spacing w:after="80" w:before="0"/>
      </w:pPr>
      <w:r>
        <w:t xml:space="preserve"/>
      </w:r>
    </w:p>
    <w:p>
      <w:pPr>
        <w:spacing w:after="80" w:before="80" w:line="276"/>
        <w:jc w:val="both"/>
      </w:pPr>
      <w:r>
        <w:rPr>
          <w:rFonts w:ascii="Arial" w:cs="Arial" w:eastAsia="Arial" w:hAnsi="Arial"/>
          <w:sz w:val="22"/>
          <w:szCs w:val="22"/>
        </w:rPr>
        <w:t xml:space="preserve">The remainder of this report is structured as follows: Section 2 describes the methodology including experimental setup, data preprocessing, and model training procedures. Section 3 presents quantitative results across all evaluation metrics. Section 4 covers model interpretation, fairness auditing, and threshold analysis. Section 5 concludes with key findings, and Section 6 outlines directions for future work.</w:t>
      </w:r>
    </w:p>
    <w:p>
      <w:r>
        <w:br w:type="page"/>
      </w:r>
    </w:p>
    <w:p>
      <w:pPr>
        <w:pStyle w:val="Heading1"/>
        <w:spacing w:after="120" w:before="360"/>
      </w:pPr>
      <w:r>
        <w:rPr>
          <w:rFonts w:ascii="Arial" w:cs="Arial" w:eastAsia="Arial" w:hAnsi="Arial"/>
          <w:b/>
          <w:bCs/>
          <w:color w:val="1F3864"/>
          <w:sz w:val="32"/>
          <w:szCs w:val="32"/>
        </w:rPr>
        <w:t xml:space="preserve">2.0   Methodology</w:t>
      </w:r>
    </w:p>
    <w:p>
      <w:pPr>
        <w:spacing w:after="80" w:before="80" w:line="276"/>
        <w:jc w:val="both"/>
      </w:pPr>
      <w:r>
        <w:rPr>
          <w:rFonts w:ascii="Arial" w:cs="Arial" w:eastAsia="Arial" w:hAnsi="Arial"/>
          <w:sz w:val="22"/>
          <w:szCs w:val="22"/>
        </w:rPr>
        <w:t xml:space="preserve">This section describes the end-to-end machine learning workflow employed to build, train, and evaluate loan default prediction models. Every preprocessing decision is grounded in findings from exploratory data analysis, and all design choices are documented to ensure reproducibility.</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2.1   Research Design and Workflow</w:t>
      </w:r>
    </w:p>
    <w:p>
      <w:pPr>
        <w:spacing w:after="80" w:before="80" w:line="276"/>
        <w:jc w:val="both"/>
      </w:pPr>
      <w:r>
        <w:rPr>
          <w:rFonts w:ascii="Arial" w:cs="Arial" w:eastAsia="Arial" w:hAnsi="Arial"/>
          <w:sz w:val="22"/>
          <w:szCs w:val="22"/>
        </w:rPr>
        <w:t xml:space="preserve">The project followed a structured supervised learning pipeline for binary tabular classification, consisting of the following sequential stages: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Problem Definition</w:t>
            </w:r>
          </w:p>
        </w:tc>
        <w:tc>
          <w:tcPr>
            <w:tcW w:type="dxa" w:w="64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Formulate as binary classification; identify primary metric (F1-Macro)</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Loading</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LendingClub CSV (2007–2018 Q4), ~2.26M rows, 151 columns</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EDA</w:t>
            </w:r>
          </w:p>
        </w:tc>
        <w:tc>
          <w:tcPr>
            <w:tcW w:type="dxa" w:w="64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Missingness, distributions, outliers, temporal trends, correlation</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Preprocessing</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Leakage removal, imputation, outlier capping, encoding</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Feature Engineering</w:t>
            </w:r>
          </w:p>
        </w:tc>
        <w:tc>
          <w:tcPr>
            <w:tcW w:type="dxa" w:w="64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FICO score, credit history months, delinquency flags, ratio features (11 total)</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 / Test Split</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80/20 stratified split; scaler fitted on training set only</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7</w:t>
            </w:r>
          </w:p>
        </w:tc>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Model Selection</w:t>
            </w:r>
          </w:p>
        </w:tc>
        <w:tc>
          <w:tcPr>
            <w:tcW w:type="dxa" w:w="64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6 candidates: Dummy (baseline), DT, RF, XGBoost, LightGBM, Neural Network</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 Training</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models trained with sensible defaults</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9</w:t>
            </w:r>
          </w:p>
        </w:tc>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Hyperparameter Tuning</w:t>
            </w:r>
          </w:p>
        </w:tc>
        <w:tc>
          <w:tcPr>
            <w:tcW w:type="dxa" w:w="64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GridSearchCV, RandomizedSearchCV, Optuna Bayesian optimisation</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Evaluation</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Accuracy, Precision, Recall, F1-Macro, AUC-ROC, PR-AUC, Brier Score</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11</w:t>
            </w:r>
          </w:p>
        </w:tc>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Calibration</w:t>
            </w:r>
          </w:p>
        </w:tc>
        <w:tc>
          <w:tcPr>
            <w:tcW w:type="dxa" w:w="64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Reliability diagrams + Brier Scores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Interpretation</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SHAP global/local explanations, LIME local explanations</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13</w:t>
            </w:r>
          </w:p>
        </w:tc>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Fairness Audit</w:t>
            </w:r>
          </w:p>
        </w:tc>
        <w:tc>
          <w:tcPr>
            <w:tcW w:type="dxa" w:w="64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Demographic parity analysis by FICO quartile and home ownership</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Deployment</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Inference pipeline, model artefacts saved, PSI drift monitor</w:t>
            </w:r>
          </w:p>
        </w:tc>
      </w:tr>
    </w:tbl>
    <w:p>
      <w:pPr>
        <w:spacing w:after="80" w:before="0"/>
      </w:pPr>
      <w:r>
        <w:t xml:space="preserve"/>
      </w:r>
    </w:p>
    <w:p>
      <w:pPr>
        <w:pStyle w:val="Heading2"/>
        <w:spacing w:after="100" w:before="240"/>
      </w:pPr>
      <w:r>
        <w:rPr>
          <w:rFonts w:ascii="Arial" w:cs="Arial" w:eastAsia="Arial" w:hAnsi="Arial"/>
          <w:b/>
          <w:bCs/>
          <w:color w:val="2E5FAA"/>
          <w:sz w:val="26"/>
          <w:szCs w:val="26"/>
        </w:rPr>
        <w:t xml:space="preserve">2.2   Experimental Setup</w:t>
      </w:r>
    </w:p>
    <w:p>
      <w:pPr>
        <w:pStyle w:val="Heading3"/>
        <w:spacing w:after="80" w:before="180"/>
      </w:pPr>
      <w:r>
        <w:rPr>
          <w:rFonts w:ascii="Arial" w:cs="Arial" w:eastAsia="Arial" w:hAnsi="Arial"/>
          <w:b/>
          <w:bCs/>
          <w:color w:val="1F3864"/>
          <w:sz w:val="24"/>
          <w:szCs w:val="24"/>
        </w:rPr>
        <w:t xml:space="preserve">2.2.1   Hardware and Software Environment</w:t>
      </w:r>
    </w:p>
    <w:p>
      <w:pPr>
        <w:spacing w:after="80" w:before="80" w:line="276"/>
        <w:jc w:val="both"/>
      </w:pPr>
      <w:r>
        <w:rPr>
          <w:rFonts w:ascii="Arial" w:cs="Arial" w:eastAsia="Arial" w:hAnsi="Arial"/>
          <w:sz w:val="22"/>
          <w:szCs w:val="22"/>
        </w:rPr>
        <w:t xml:space="preserve">All experiments were conducted in a Google Colab environment with GPU acceleration enabled. The software stack comprised:</w:t>
      </w:r>
    </w:p>
    <w:p>
      <w:pPr>
        <w:spacing w:after="80" w:before="0"/>
      </w:pPr>
      <w:r>
        <w:t xml:space="preserve"/>
      </w:r>
    </w:p>
    <w:p>
      <w:pPr>
        <w:pStyle w:val="ListParagraph"/>
        <w:numPr>
          <w:ilvl w:val="0"/>
          <w:numId w:val="2"/>
        </w:numPr>
        <w:spacing w:after="60" w:before="60"/>
      </w:pPr>
      <w:r>
        <w:rPr>
          <w:rFonts w:ascii="Arial" w:cs="Arial" w:eastAsia="Arial" w:hAnsi="Arial"/>
          <w:sz w:val="22"/>
          <w:szCs w:val="22"/>
        </w:rPr>
        <w:t xml:space="preserve">Operating System: Linux (Google Colab managed environment)</w:t>
      </w:r>
    </w:p>
    <w:p>
      <w:pPr>
        <w:pStyle w:val="ListParagraph"/>
        <w:numPr>
          <w:ilvl w:val="0"/>
          <w:numId w:val="2"/>
        </w:numPr>
        <w:spacing w:after="60" w:before="60"/>
      </w:pPr>
      <w:r>
        <w:rPr>
          <w:rFonts w:ascii="Arial" w:cs="Arial" w:eastAsia="Arial" w:hAnsi="Arial"/>
          <w:sz w:val="22"/>
          <w:szCs w:val="22"/>
        </w:rPr>
        <w:t xml:space="preserve">Programming Language: Python 3.10</w:t>
      </w:r>
    </w:p>
    <w:p>
      <w:pPr>
        <w:pStyle w:val="ListParagraph"/>
        <w:numPr>
          <w:ilvl w:val="0"/>
          <w:numId w:val="2"/>
        </w:numPr>
        <w:spacing w:after="60" w:before="60"/>
      </w:pPr>
      <w:r>
        <w:rPr>
          <w:rFonts w:ascii="Arial" w:cs="Arial" w:eastAsia="Arial" w:hAnsi="Arial"/>
          <w:sz w:val="22"/>
          <w:szCs w:val="22"/>
        </w:rPr>
        <w:t xml:space="preserve">Notebook Environment: Google Colaboratory (Jupyter-based)</w:t>
      </w:r>
    </w:p>
    <w:p>
      <w:pPr>
        <w:pStyle w:val="ListParagraph"/>
        <w:numPr>
          <w:ilvl w:val="0"/>
          <w:numId w:val="2"/>
        </w:numPr>
        <w:spacing w:after="60" w:before="60"/>
      </w:pPr>
      <w:r>
        <w:rPr>
          <w:rFonts w:ascii="Arial" w:cs="Arial" w:eastAsia="Arial" w:hAnsi="Arial"/>
          <w:sz w:val="22"/>
          <w:szCs w:val="22"/>
        </w:rPr>
        <w:t xml:space="preserve">Core Libraries: NumPy, Pandas, Matplotlib, Seaborn</w:t>
      </w:r>
    </w:p>
    <w:p>
      <w:pPr>
        <w:pStyle w:val="ListParagraph"/>
        <w:numPr>
          <w:ilvl w:val="0"/>
          <w:numId w:val="2"/>
        </w:numPr>
        <w:spacing w:after="60" w:before="60"/>
      </w:pPr>
      <w:r>
        <w:rPr>
          <w:rFonts w:ascii="Arial" w:cs="Arial" w:eastAsia="Arial" w:hAnsi="Arial"/>
          <w:sz w:val="22"/>
          <w:szCs w:val="22"/>
        </w:rPr>
        <w:t xml:space="preserve">ML Libraries: scikit-learn 1.3, XGBoost 1.7, LightGBM 3.3, Optuna 3.x</w:t>
      </w:r>
    </w:p>
    <w:p>
      <w:pPr>
        <w:pStyle w:val="ListParagraph"/>
        <w:numPr>
          <w:ilvl w:val="0"/>
          <w:numId w:val="2"/>
        </w:numPr>
        <w:spacing w:after="60" w:before="60"/>
      </w:pPr>
      <w:r>
        <w:rPr>
          <w:rFonts w:ascii="Arial" w:cs="Arial" w:eastAsia="Arial" w:hAnsi="Arial"/>
          <w:sz w:val="22"/>
          <w:szCs w:val="22"/>
        </w:rPr>
        <w:t xml:space="preserve">Deep Learning: TensorFlow / Keras 2.x</w:t>
      </w:r>
    </w:p>
    <w:p>
      <w:pPr>
        <w:pStyle w:val="ListParagraph"/>
        <w:numPr>
          <w:ilvl w:val="0"/>
          <w:numId w:val="2"/>
        </w:numPr>
        <w:spacing w:after="60" w:before="60"/>
      </w:pPr>
      <w:r>
        <w:rPr>
          <w:rFonts w:ascii="Arial" w:cs="Arial" w:eastAsia="Arial" w:hAnsi="Arial"/>
          <w:sz w:val="22"/>
          <w:szCs w:val="22"/>
        </w:rPr>
        <w:t xml:space="preserve">Explainability: SHAP, LIME</w:t>
      </w:r>
    </w:p>
    <w:p>
      <w:pPr>
        <w:pStyle w:val="ListParagraph"/>
        <w:numPr>
          <w:ilvl w:val="0"/>
          <w:numId w:val="2"/>
        </w:numPr>
        <w:spacing w:after="60" w:before="60"/>
      </w:pPr>
      <w:r>
        <w:rPr>
          <w:rFonts w:ascii="Arial" w:cs="Arial" w:eastAsia="Arial" w:hAnsi="Arial"/>
          <w:sz w:val="22"/>
          <w:szCs w:val="22"/>
        </w:rPr>
        <w:t xml:space="preserve">Statistical Testing: SciPy, Statsmodels</w:t>
      </w:r>
    </w:p>
    <w:p>
      <w:pPr>
        <w:spacing w:after="80" w:before="0"/>
      </w:pPr>
      <w:r>
        <w:t xml:space="preserve"/>
      </w:r>
    </w:p>
    <w:p>
      <w:pPr>
        <w:spacing w:after="80" w:before="80" w:line="276"/>
        <w:jc w:val="both"/>
      </w:pPr>
      <w:r>
        <w:rPr>
          <w:rFonts w:ascii="Arial" w:cs="Arial" w:eastAsia="Arial" w:hAnsi="Arial"/>
          <w:sz w:val="22"/>
          <w:szCs w:val="22"/>
        </w:rPr>
        <w:t xml:space="preserve">The large dataset (~1.3 million rows after preprocessing) required memory-efficient loading and sampling strategies for computationally expensive operations such as learning curve estimation and feature selection.</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2.3   Dataset Description and Preprocessing</w:t>
      </w:r>
    </w:p>
    <w:p>
      <w:pPr>
        <w:pStyle w:val="Heading3"/>
        <w:spacing w:after="80" w:before="180"/>
      </w:pPr>
      <w:r>
        <w:rPr>
          <w:rFonts w:ascii="Arial" w:cs="Arial" w:eastAsia="Arial" w:hAnsi="Arial"/>
          <w:b/>
          <w:bCs/>
          <w:color w:val="1F3864"/>
          <w:sz w:val="24"/>
          <w:szCs w:val="24"/>
        </w:rPr>
        <w:t xml:space="preserve">2.3.1   Data Source</w:t>
      </w:r>
    </w:p>
    <w:p>
      <w:pPr>
        <w:spacing w:after="80" w:before="80" w:line="276"/>
        <w:jc w:val="both"/>
      </w:pPr>
      <w:r>
        <w:rPr>
          <w:rFonts w:ascii="Arial" w:cs="Arial" w:eastAsia="Arial" w:hAnsi="Arial"/>
          <w:sz w:val="22"/>
          <w:szCs w:val="22"/>
        </w:rPr>
        <w:t xml:space="preserve">The dataset is the LendingClub Accepted Loans (2007–2018 Q4), publicly available on Kaggle. It contains approximately 2.26 million records and 151 columns covering borrower demographics, loan terms, credit bureau attributes, and repayment outcomes. After filtering to completed loans (excluding 'Current' status), approximately 1.3 million records with resolved outcomes were retained for modelling.</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2.3.2   Target Variable Construction</w:t>
      </w:r>
    </w:p>
    <w:p>
      <w:pPr>
        <w:spacing w:after="80" w:before="80" w:line="276"/>
        <w:jc w:val="both"/>
      </w:pPr>
      <w:r>
        <w:rPr>
          <w:rFonts w:ascii="Arial" w:cs="Arial" w:eastAsia="Arial" w:hAnsi="Arial"/>
          <w:sz w:val="22"/>
          <w:szCs w:val="22"/>
        </w:rPr>
        <w:t xml:space="preserve">The raw loan_status column contained multiple categories. A binary target was constructed as follows: loans with status 'Fully Paid' (including those that did not meet the credit policy but were fully paid) were labelled 0 (Good Loan), while loans with statuses 'Charged Off', 'Default', 'Late (31–120 days)', and 'Late (16–30 days)' were labelled 1 (Bad Loan). Loans with status 'Current' were excluded because their outcomes remain unknown. This resulted in a class imbalance of approximately 78% good loans to 22% bad loans.</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2.3.3   Leakage Prevention</w:t>
      </w:r>
    </w:p>
    <w:p>
      <w:pPr>
        <w:spacing w:after="80" w:before="80" w:line="276"/>
        <w:jc w:val="both"/>
      </w:pPr>
      <w:r>
        <w:rPr>
          <w:rFonts w:ascii="Arial" w:cs="Arial" w:eastAsia="Arial" w:hAnsi="Arial"/>
          <w:sz w:val="22"/>
          <w:szCs w:val="22"/>
        </w:rPr>
        <w:t xml:space="preserve">A critical design constraint was the strict removal of all post-issuance features — variables known only after a loan has been live — to prevent data leakage. The following columns were removed before any analysis: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Removed Columns</w:t>
            </w:r>
          </w:p>
        </w:tc>
      </w:tr>
      <w:tr>
        <w:tc>
          <w:tcPr>
            <w:tcW w:type="dxa" w:w="28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Identifiers</w:t>
            </w:r>
          </w:p>
        </w:tc>
        <w:tc>
          <w:tcPr>
            <w:tcW w:type="dxa" w:w="64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id, member_id</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Funded amounts</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funded_amnt, funded_amnt_inv</w:t>
            </w:r>
          </w:p>
        </w:tc>
      </w:tr>
      <w:tr>
        <w:tc>
          <w:tcPr>
            <w:tcW w:type="dxa" w:w="28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Payment history</w:t>
            </w:r>
          </w:p>
        </w:tc>
        <w:tc>
          <w:tcPr>
            <w:tcW w:type="dxa" w:w="64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total_pymnt, total_pymnt_inv, total_rec_prncp, total_rec_int, total_rec_late_fee</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Recovery data</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recoveries, collection_recovery_fee</w:t>
            </w:r>
          </w:p>
        </w:tc>
      </w:tr>
      <w:tr>
        <w:tc>
          <w:tcPr>
            <w:tcW w:type="dxa" w:w="28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Post-issuance dates</w:t>
            </w:r>
          </w:p>
        </w:tc>
        <w:tc>
          <w:tcPr>
            <w:tcW w:type="dxa" w:w="64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last_pymnt_d, last_credit_pull_d</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Post-issuance FICO</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last_fico_range_high, last_fico_range_low</w:t>
            </w:r>
          </w:p>
        </w:tc>
      </w:tr>
      <w:tr>
        <w:tc>
          <w:tcPr>
            <w:tcW w:type="dxa" w:w="28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Outstanding balances</w:t>
            </w:r>
          </w:p>
        </w:tc>
        <w:tc>
          <w:tcPr>
            <w:tcW w:type="dxa" w:w="64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out_prncp, out_prncp_inv, last_pymnt_amnt</w:t>
            </w:r>
          </w:p>
        </w:tc>
      </w:tr>
    </w:tbl>
    <w:p>
      <w:pPr>
        <w:spacing w:after="80" w:before="0"/>
      </w:pPr>
      <w:r>
        <w:t xml:space="preserve"/>
      </w:r>
    </w:p>
    <w:p>
      <w:pPr>
        <w:pStyle w:val="Heading3"/>
        <w:spacing w:after="80" w:before="180"/>
      </w:pPr>
      <w:r>
        <w:rPr>
          <w:rFonts w:ascii="Arial" w:cs="Arial" w:eastAsia="Arial" w:hAnsi="Arial"/>
          <w:b/>
          <w:bCs/>
          <w:color w:val="1F3864"/>
          <w:sz w:val="24"/>
          <w:szCs w:val="24"/>
        </w:rPr>
        <w:t xml:space="preserve">2.3.4   Missing Value Treatment</w:t>
      </w:r>
    </w:p>
    <w:p>
      <w:pPr>
        <w:spacing w:after="80" w:before="80" w:line="276"/>
        <w:jc w:val="both"/>
      </w:pPr>
      <w:r>
        <w:rPr>
          <w:rFonts w:ascii="Arial" w:cs="Arial" w:eastAsia="Arial" w:hAnsi="Arial"/>
          <w:sz w:val="22"/>
          <w:szCs w:val="22"/>
        </w:rPr>
        <w:t xml:space="preserve">Columns with more than 50% missing values were dropped entirely. For retained columns, the following imputation strategy was applied:</w:t>
      </w:r>
    </w:p>
    <w:p>
      <w:pPr>
        <w:spacing w:after="80" w:before="0"/>
      </w:pPr>
      <w:r>
        <w:t xml:space="preserve"/>
      </w:r>
    </w:p>
    <w:p>
      <w:pPr>
        <w:pStyle w:val="ListParagraph"/>
        <w:numPr>
          <w:ilvl w:val="0"/>
          <w:numId w:val="2"/>
        </w:numPr>
        <w:spacing w:after="60" w:before="60"/>
      </w:pPr>
      <w:r>
        <w:rPr>
          <w:rFonts w:ascii="Arial" w:cs="Arial" w:eastAsia="Arial" w:hAnsi="Arial"/>
          <w:b/>
          <w:bCs/>
          <w:sz w:val="22"/>
          <w:szCs w:val="22"/>
        </w:rPr>
        <w:t xml:space="preserve">Numeric columns: </w:t>
      </w:r>
      <w:r>
        <w:rPr>
          <w:rFonts w:ascii="Arial" w:cs="Arial" w:eastAsia="Arial" w:hAnsi="Arial"/>
          <w:sz w:val="22"/>
          <w:szCs w:val="22"/>
        </w:rPr>
        <w:t xml:space="preserve">imputed with column median (robust to outliers).</w:t>
      </w:r>
    </w:p>
    <w:p>
      <w:pPr>
        <w:pStyle w:val="ListParagraph"/>
        <w:numPr>
          <w:ilvl w:val="0"/>
          <w:numId w:val="2"/>
        </w:numPr>
        <w:spacing w:after="60" w:before="60"/>
      </w:pPr>
      <w:r>
        <w:rPr>
          <w:rFonts w:ascii="Arial" w:cs="Arial" w:eastAsia="Arial" w:hAnsi="Arial"/>
          <w:b/>
          <w:bCs/>
          <w:sz w:val="22"/>
          <w:szCs w:val="22"/>
        </w:rPr>
        <w:t xml:space="preserve">Categorical columns: </w:t>
      </w:r>
      <w:r>
        <w:rPr>
          <w:rFonts w:ascii="Arial" w:cs="Arial" w:eastAsia="Arial" w:hAnsi="Arial"/>
          <w:sz w:val="22"/>
          <w:szCs w:val="22"/>
        </w:rPr>
        <w:t xml:space="preserve">imputed with column mode.</w:t>
      </w:r>
    </w:p>
    <w:p>
      <w:pPr>
        <w:pStyle w:val="ListParagraph"/>
        <w:numPr>
          <w:ilvl w:val="0"/>
          <w:numId w:val="2"/>
        </w:numPr>
        <w:spacing w:after="60" w:before="60"/>
      </w:pPr>
      <w:r>
        <w:rPr>
          <w:rFonts w:ascii="Arial" w:cs="Arial" w:eastAsia="Arial" w:hAnsi="Arial"/>
          <w:b/>
          <w:bCs/>
          <w:sz w:val="22"/>
          <w:szCs w:val="22"/>
        </w:rPr>
        <w:t xml:space="preserve">Count features (delinquencies, public records): </w:t>
      </w:r>
      <w:r>
        <w:rPr>
          <w:rFonts w:ascii="Arial" w:cs="Arial" w:eastAsia="Arial" w:hAnsi="Arial"/>
          <w:sz w:val="22"/>
          <w:szCs w:val="22"/>
        </w:rPr>
        <w:t xml:space="preserve">missing values filled with 0 (implying no derogatory history).</w:t>
      </w:r>
    </w:p>
    <w:p>
      <w:pPr>
        <w:pStyle w:val="ListParagraph"/>
        <w:numPr>
          <w:ilvl w:val="0"/>
          <w:numId w:val="2"/>
        </w:numPr>
        <w:spacing w:after="60" w:before="60"/>
      </w:pPr>
      <w:r>
        <w:rPr>
          <w:rFonts w:ascii="Arial" w:cs="Arial" w:eastAsia="Arial" w:hAnsi="Arial"/>
          <w:b/>
          <w:bCs/>
          <w:sz w:val="22"/>
          <w:szCs w:val="22"/>
        </w:rPr>
        <w:t xml:space="preserve">Binary response fields: </w:t>
      </w:r>
      <w:r>
        <w:rPr>
          <w:rFonts w:ascii="Arial" w:cs="Arial" w:eastAsia="Arial" w:hAnsi="Arial"/>
          <w:sz w:val="22"/>
          <w:szCs w:val="22"/>
        </w:rPr>
        <w:t xml:space="preserve">missing responses standardised to 0.</w:t>
      </w:r>
    </w:p>
    <w:p>
      <w:pPr>
        <w:spacing w:after="80" w:before="0"/>
      </w:pPr>
      <w:r>
        <w:t xml:space="preserve"/>
      </w:r>
    </w:p>
    <w:p>
      <w:pPr>
        <w:spacing w:after="80" w:before="80" w:line="276"/>
        <w:jc w:val="both"/>
      </w:pPr>
      <w:r>
        <w:rPr>
          <w:rFonts w:ascii="Arial" w:cs="Arial" w:eastAsia="Arial" w:hAnsi="Arial"/>
          <w:sz w:val="22"/>
          <w:szCs w:val="22"/>
        </w:rPr>
        <w:t xml:space="preserve">After imputation, zero null values remained in the modelling dataset.</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2.3.5   Outlier Treatment</w:t>
      </w:r>
    </w:p>
    <w:p>
      <w:pPr>
        <w:spacing w:after="80" w:before="80" w:line="276"/>
        <w:jc w:val="both"/>
      </w:pPr>
      <w:r>
        <w:rPr>
          <w:rFonts w:ascii="Arial" w:cs="Arial" w:eastAsia="Arial" w:hAnsi="Arial"/>
          <w:sz w:val="22"/>
          <w:szCs w:val="22"/>
        </w:rPr>
        <w:t xml:space="preserve">Outlier analysis via the IQR method identified several columns with extreme values requiring treatment:</w:t>
      </w:r>
    </w:p>
    <w:p>
      <w:pPr>
        <w:spacing w:after="80" w:before="0"/>
      </w:pPr>
      <w:r>
        <w:t xml:space="preserve"/>
      </w:r>
    </w:p>
    <w:p>
      <w:pPr>
        <w:pStyle w:val="ListParagraph"/>
        <w:numPr>
          <w:ilvl w:val="0"/>
          <w:numId w:val="2"/>
        </w:numPr>
        <w:spacing w:after="60" w:before="60"/>
      </w:pPr>
      <w:r>
        <w:rPr>
          <w:rFonts w:ascii="Arial" w:cs="Arial" w:eastAsia="Arial" w:hAnsi="Arial"/>
          <w:b/>
          <w:bCs/>
          <w:sz w:val="22"/>
          <w:szCs w:val="22"/>
        </w:rPr>
        <w:t xml:space="preserve">annual_inc: </w:t>
      </w:r>
      <w:r>
        <w:rPr>
          <w:rFonts w:ascii="Arial" w:cs="Arial" w:eastAsia="Arial" w:hAnsi="Arial"/>
          <w:sz w:val="22"/>
          <w:szCs w:val="22"/>
        </w:rPr>
        <w:t xml:space="preserve">capped at 1st–99th percentile to remove extreme income outliers (&gt;$1M) that distort model fitting.</w:t>
      </w:r>
    </w:p>
    <w:p>
      <w:pPr>
        <w:pStyle w:val="ListParagraph"/>
        <w:numPr>
          <w:ilvl w:val="0"/>
          <w:numId w:val="2"/>
        </w:numPr>
        <w:spacing w:after="60" w:before="60"/>
      </w:pPr>
      <w:r>
        <w:rPr>
          <w:rFonts w:ascii="Arial" w:cs="Arial" w:eastAsia="Arial" w:hAnsi="Arial"/>
          <w:b/>
          <w:bCs/>
          <w:sz w:val="22"/>
          <w:szCs w:val="22"/>
        </w:rPr>
        <w:t xml:space="preserve">revol_util: </w:t>
      </w:r>
      <w:r>
        <w:rPr>
          <w:rFonts w:ascii="Arial" w:cs="Arial" w:eastAsia="Arial" w:hAnsi="Arial"/>
          <w:sz w:val="22"/>
          <w:szCs w:val="22"/>
        </w:rPr>
        <w:t xml:space="preserve">capped at 100% (values exceeding 100% were data entry errors).</w:t>
      </w:r>
    </w:p>
    <w:p>
      <w:pPr>
        <w:pStyle w:val="ListParagraph"/>
        <w:numPr>
          <w:ilvl w:val="0"/>
          <w:numId w:val="2"/>
        </w:numPr>
        <w:spacing w:after="60" w:before="60"/>
      </w:pPr>
      <w:r>
        <w:rPr>
          <w:rFonts w:ascii="Arial" w:cs="Arial" w:eastAsia="Arial" w:hAnsi="Arial"/>
          <w:b/>
          <w:bCs/>
          <w:sz w:val="22"/>
          <w:szCs w:val="22"/>
        </w:rPr>
        <w:t xml:space="preserve">dti: </w:t>
      </w:r>
      <w:r>
        <w:rPr>
          <w:rFonts w:ascii="Arial" w:cs="Arial" w:eastAsia="Arial" w:hAnsi="Arial"/>
          <w:sz w:val="22"/>
          <w:szCs w:val="22"/>
        </w:rPr>
        <w:t xml:space="preserve">filtered to the valid range [0, 100].</w:t>
      </w:r>
    </w:p>
    <w:p>
      <w:pPr>
        <w:pStyle w:val="ListParagraph"/>
        <w:numPr>
          <w:ilvl w:val="0"/>
          <w:numId w:val="2"/>
        </w:numPr>
        <w:spacing w:after="60" w:before="60"/>
      </w:pPr>
      <w:r>
        <w:rPr>
          <w:rFonts w:ascii="Arial" w:cs="Arial" w:eastAsia="Arial" w:hAnsi="Arial"/>
          <w:b/>
          <w:bCs/>
          <w:sz w:val="22"/>
          <w:szCs w:val="22"/>
        </w:rPr>
        <w:t xml:space="preserve">inq_last_6mths: </w:t>
      </w:r>
      <w:r>
        <w:rPr>
          <w:rFonts w:ascii="Arial" w:cs="Arial" w:eastAsia="Arial" w:hAnsi="Arial"/>
          <w:sz w:val="22"/>
          <w:szCs w:val="22"/>
        </w:rPr>
        <w:t xml:space="preserve">capped at 6 to handle extreme inquiry counts.</w:t>
      </w:r>
    </w:p>
    <w:p>
      <w:pPr>
        <w:pStyle w:val="ListParagraph"/>
        <w:numPr>
          <w:ilvl w:val="0"/>
          <w:numId w:val="2"/>
        </w:numPr>
        <w:spacing w:after="60" w:before="60"/>
      </w:pPr>
      <w:r>
        <w:rPr>
          <w:rFonts w:ascii="Arial" w:cs="Arial" w:eastAsia="Arial" w:hAnsi="Arial"/>
          <w:b/>
          <w:bCs/>
          <w:sz w:val="22"/>
          <w:szCs w:val="22"/>
        </w:rPr>
        <w:t xml:space="preserve">open_acc: </w:t>
      </w:r>
      <w:r>
        <w:rPr>
          <w:rFonts w:ascii="Arial" w:cs="Arial" w:eastAsia="Arial" w:hAnsi="Arial"/>
          <w:sz w:val="22"/>
          <w:szCs w:val="22"/>
        </w:rPr>
        <w:t xml:space="preserve">capped at 99th percentile.</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2.3.6   Encoding of Categorical Variables</w:t>
      </w:r>
    </w:p>
    <w:p>
      <w:pPr>
        <w:spacing w:after="80" w:before="80" w:line="276"/>
        <w:jc w:val="both"/>
      </w:pPr>
      <w:r>
        <w:rPr>
          <w:rFonts w:ascii="Arial" w:cs="Arial" w:eastAsia="Arial" w:hAnsi="Arial"/>
          <w:sz w:val="22"/>
          <w:szCs w:val="22"/>
        </w:rPr>
        <w:t xml:space="preserve">Multiple encoding strategies were applied, consistent with course requirements, and chosen based on the nature of each feature: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120"/>
        <w:gridCol w:w="408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Encoding Strategy</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sub_grade</w:t>
            </w:r>
          </w:p>
        </w:tc>
        <w:tc>
          <w:tcPr>
            <w:tcW w:type="dxa" w:w="31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Ordinal (A1=1 → G5=35)</w:t>
            </w:r>
          </w:p>
        </w:tc>
        <w:tc>
          <w:tcPr>
            <w:tcW w:type="dxa" w:w="40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Natural risk ordering: A1 lowest risk, G5 highest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home_ownership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One-Hot Encoding</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Nominal categories; MORTGAGE/OWN/RENT/OTHER</w:t>
            </w:r>
          </w:p>
        </w:tc>
      </w:tr>
      <w:tr>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verification_status</w:t>
            </w:r>
          </w:p>
        </w:tc>
        <w:tc>
          <w:tcPr>
            <w:tcW w:type="dxa" w:w="31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One-Hot Encoding</w:t>
            </w:r>
          </w:p>
        </w:tc>
        <w:tc>
          <w:tcPr>
            <w:tcW w:type="dxa" w:w="40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Nominal; three distinct verification levels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purpose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One-Hot Encoding (rare grouped as 'other')</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Nominal; rare categories collapsed to reduce dimensionality</w:t>
            </w:r>
          </w:p>
        </w:tc>
      </w:tr>
      <w:tr>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emp_length</w:t>
            </w:r>
          </w:p>
        </w:tc>
        <w:tc>
          <w:tcPr>
            <w:tcW w:type="dxa" w:w="31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Ordinal extraction (&lt; 1 year → 0)</w:t>
            </w:r>
          </w:p>
        </w:tc>
        <w:tc>
          <w:tcPr>
            <w:tcW w:type="dxa" w:w="40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Ordered numeric; extracted via regex</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Ordinal extraction (36 or 60)</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 months; extracted via regex</w:t>
            </w:r>
          </w:p>
        </w:tc>
      </w:tr>
    </w:tbl>
    <w:p>
      <w:pPr>
        <w:spacing w:after="80" w:before="0"/>
      </w:pPr>
      <w:r>
        <w:t xml:space="preserve"/>
      </w:r>
    </w:p>
    <w:p>
      <w:pPr>
        <w:pStyle w:val="Heading2"/>
        <w:spacing w:after="100" w:before="240"/>
      </w:pPr>
      <w:r>
        <w:rPr>
          <w:rFonts w:ascii="Arial" w:cs="Arial" w:eastAsia="Arial" w:hAnsi="Arial"/>
          <w:b/>
          <w:bCs/>
          <w:color w:val="2E5FAA"/>
          <w:sz w:val="26"/>
          <w:szCs w:val="26"/>
        </w:rPr>
        <w:t xml:space="preserve">2.4   Feature Engineering</w:t>
      </w:r>
    </w:p>
    <w:p>
      <w:pPr>
        <w:spacing w:after="80" w:before="80" w:line="276"/>
        <w:jc w:val="both"/>
      </w:pPr>
      <w:r>
        <w:rPr>
          <w:rFonts w:ascii="Arial" w:cs="Arial" w:eastAsia="Arial" w:hAnsi="Arial"/>
          <w:sz w:val="22"/>
          <w:szCs w:val="22"/>
        </w:rPr>
        <w:t xml:space="preserve">Eleven new features were engineered from raw columns to improve predictive signal. Each engineered feature is grounded in credit risk domain knowledge: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Engineered Feature</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Columns</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Credit Risk Rationale</w:t>
            </w:r>
          </w:p>
        </w:tc>
      </w:tr>
      <w:tr>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fico_score</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fico_range_low + fico_range_high</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Mid-point of FICO range; primary creditworthiness indicator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cr_history_months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issue_d − earliest_cr_line</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Length of credit history in months; longer history reduces risk</w:t>
            </w:r>
          </w:p>
        </w:tc>
      </w:tr>
      <w:tr>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has_delinq</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delinq_2yrs &gt; 0</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Binary flag for recent delinquency; strong default predictor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bal_to_inc_ratio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revol_bal / annual_inc</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Balance relative to income; higher ratio signals financial stress</w:t>
            </w:r>
          </w:p>
        </w:tc>
      </w:tr>
      <w:tr>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acc_active_ratio</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open_acc / (total_acc + 1)</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Proportion of credit lines currently active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recent_acc_ratio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acc_open_past_24mths / (total_acc + 1)</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Rate of recent credit acquisition</w:t>
            </w:r>
          </w:p>
        </w:tc>
      </w:tr>
      <w:tr>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pub_rec_flag</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pub_rec &gt; 0</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Binary derogatory record indicator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has_coll_bal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tot_coll_amt &gt; 0</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Binary flag for outstanding collection balance</w:t>
            </w:r>
          </w:p>
        </w:tc>
      </w:tr>
      <w:tr>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is_homeowner</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mort_acc &gt; 0</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Binary homeownership proxy from mortgage count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avg_rev_age_years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(mo_sin_old_rev_tl_op + mo_sin_rcnt_rev_tl_op) / 24</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Average age of revolving credit accounts in years</w:t>
            </w:r>
          </w:p>
        </w:tc>
      </w:tr>
      <w:tr>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acc_now_delinq (binary)</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acc_now_delinq &gt; 0</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Currently delinquent accounts flag</w:t>
            </w:r>
          </w:p>
        </w:tc>
      </w:tr>
    </w:tbl>
    <w:p>
      <w:pPr>
        <w:spacing w:after="80" w:before="0"/>
      </w:pPr>
      <w:r>
        <w:t xml:space="preserve"/>
      </w:r>
    </w:p>
    <w:p>
      <w:pPr>
        <w:spacing w:after="80" w:before="80" w:line="276"/>
        <w:jc w:val="both"/>
      </w:pPr>
      <w:r>
        <w:rPr>
          <w:rFonts w:ascii="Arial" w:cs="Arial" w:eastAsia="Arial" w:hAnsi="Arial"/>
          <w:sz w:val="22"/>
          <w:szCs w:val="22"/>
        </w:rPr>
        <w:t xml:space="preserve">Feature engineering expanded the original set of raw columns into a richer representation capturing credit utilisation ratios, delinquency flags, account age metrics, and income-adjusted balances. These features were verified for zero null values before model training.</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2.5   Model Development</w:t>
      </w:r>
    </w:p>
    <w:p>
      <w:pPr>
        <w:pStyle w:val="Heading3"/>
        <w:spacing w:after="80" w:before="180"/>
      </w:pPr>
      <w:r>
        <w:rPr>
          <w:rFonts w:ascii="Arial" w:cs="Arial" w:eastAsia="Arial" w:hAnsi="Arial"/>
          <w:b/>
          <w:bCs/>
          <w:color w:val="1F3864"/>
          <w:sz w:val="24"/>
          <w:szCs w:val="24"/>
        </w:rPr>
        <w:t xml:space="preserve">2.5.1   Train / Test Split</w:t>
      </w:r>
    </w:p>
    <w:p>
      <w:pPr>
        <w:spacing w:after="80" w:before="80" w:line="276"/>
        <w:jc w:val="both"/>
      </w:pPr>
      <w:r>
        <w:rPr>
          <w:rFonts w:ascii="Arial" w:cs="Arial" w:eastAsia="Arial" w:hAnsi="Arial"/>
          <w:sz w:val="22"/>
          <w:szCs w:val="22"/>
        </w:rPr>
        <w:t xml:space="preserve">The dataset was split into an 80% training set and a 20% test set using stratified random sampling (stratify=y) to preserve the 78:22 class ratio across both sets. The split was performed before any scaling or oversampling to prevent data leakage. All scalers were fitted exclusively on the training set and applied to the test set via transform only. The random seed was fixed at 42 for reproducibility.</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2.5.2   Feature Scaling</w:t>
      </w:r>
    </w:p>
    <w:p>
      <w:pPr>
        <w:spacing w:after="80" w:before="80" w:line="276"/>
        <w:jc w:val="both"/>
      </w:pPr>
      <w:r>
        <w:rPr>
          <w:rFonts w:ascii="Arial" w:cs="Arial" w:eastAsia="Arial" w:hAnsi="Arial"/>
          <w:sz w:val="22"/>
          <w:szCs w:val="22"/>
        </w:rPr>
        <w:t xml:space="preserve">Three scaling strategies were evaluated and compared: StandardScaler (zero mean, unit variance), MinMaxScaler (range [0,1]), and MaxAbsScaler (scales to [-1,1] preserving sparsity). StandardScaler was selected as the primary scaler for the Neural Network model, as it handles skewed distributions robustly and is consistent with the course recommendation. Tree-based models (Decision Tree, Random Forest, XGBoost, LightGBM) are invariant to monotonic feature transformations and were trained on the unscaled features to preserve interpretability.</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2.5.3   Baseline Model: DummyClassifier</w:t>
      </w:r>
    </w:p>
    <w:p>
      <w:pPr>
        <w:spacing w:after="80" w:before="80" w:line="276"/>
        <w:jc w:val="both"/>
      </w:pPr>
      <w:r>
        <w:rPr>
          <w:rFonts w:ascii="Arial" w:cs="Arial" w:eastAsia="Arial" w:hAnsi="Arial"/>
          <w:sz w:val="22"/>
          <w:szCs w:val="22"/>
        </w:rPr>
        <w:t xml:space="preserve">A DummyClassifier using the 'stratified' strategy was included as the floor baseline. Any model that fails to exceed the dummy classifier's performance on F1-Macro and AUC-ROC does not provide meaningful predictive signal beyond random chance. This baseline serves as a critical sanity check and academic requirement.</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2.5.4   Decision Tree Classifier</w:t>
      </w:r>
    </w:p>
    <w:p>
      <w:pPr>
        <w:spacing w:after="80" w:before="80" w:line="276"/>
        <w:jc w:val="both"/>
      </w:pPr>
      <w:r>
        <w:rPr>
          <w:rFonts w:ascii="Arial" w:cs="Arial" w:eastAsia="Arial" w:hAnsi="Arial"/>
          <w:sz w:val="22"/>
          <w:szCs w:val="22"/>
        </w:rPr>
        <w:t xml:space="preserve">A Decision Tree was trained using scikit-learn's DecisionTreeClassifier with class_weight='balanced' to address class imbalance. The tree was initially grown to its full depth and subsequently pruned using Cost-Complexity Pruning (CCP) — the alpha parameter was tuned by plotting total impurity vs. alpha values and selecting the point at which validation F1-Macro peaks before declining. CCP pruning directly demonstrates the bias-variance tradeoff: an unpruned tree exhibits high variance (overfitting), while an optimally pruned tree generalises better to unseen data.</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2.5.5   Random Forest Classifier</w:t>
      </w:r>
    </w:p>
    <w:p>
      <w:pPr>
        <w:spacing w:after="80" w:before="80" w:line="276"/>
        <w:jc w:val="both"/>
      </w:pPr>
      <w:r>
        <w:rPr>
          <w:rFonts w:ascii="Arial" w:cs="Arial" w:eastAsia="Arial" w:hAnsi="Arial"/>
          <w:sz w:val="22"/>
          <w:szCs w:val="22"/>
        </w:rPr>
        <w:t xml:space="preserve">A Random Forest ensemble was trained as an ensemble of decorrelated decision trees. The key hyperparameters include n_estimators (number of trees), max_depth (maximum tree depth), min_samples_leaf, and max_features (fraction of features considered at each split). Class imbalance was addressed via class_weight='balanced_subsample'. Feature importances were extracted using both mean decrease in impurity (MDI) and permutation importance to cross-validate the ranking.</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2.5.6   XGBoost</w:t>
      </w:r>
    </w:p>
    <w:p>
      <w:pPr>
        <w:spacing w:after="80" w:before="80" w:line="276"/>
        <w:jc w:val="both"/>
      </w:pPr>
      <w:r>
        <w:rPr>
          <w:rFonts w:ascii="Arial" w:cs="Arial" w:eastAsia="Arial" w:hAnsi="Arial"/>
          <w:sz w:val="22"/>
          <w:szCs w:val="22"/>
        </w:rPr>
        <w:t xml:space="preserve">XGBoost implements gradient-boosted decision trees with second-order gradient optimisation. Key design choices included: scale_pos_weight set to the ratio of negative to positive class instances (approximately 3.5:1) to handle class imbalance; tree_method='hist' for histogram-based approximate split finding; and early stopping to prevent overfitting. XGBoost was selected as the primary candidate model given its consistent dominance on tabular classification benchmarks and its compatibility with SHAP explanations.</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2.5.7   LightGBM</w:t>
      </w:r>
    </w:p>
    <w:p>
      <w:pPr>
        <w:spacing w:after="80" w:before="80" w:line="276"/>
        <w:jc w:val="both"/>
      </w:pPr>
      <w:r>
        <w:rPr>
          <w:rFonts w:ascii="Arial" w:cs="Arial" w:eastAsia="Arial" w:hAnsi="Arial"/>
          <w:sz w:val="22"/>
          <w:szCs w:val="22"/>
        </w:rPr>
        <w:t xml:space="preserve">LightGBM was included as the challenger model. Its leaf-wise tree growth strategy and Gradient-based One-Side Sampling (GOSS) make it significantly faster than XGBoost on datasets with over 1 million rows, while achieving comparable predictive performance. is_unbalance=True was set to address the class imbalance natively.</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2.5.8   Neural Network</w:t>
      </w:r>
    </w:p>
    <w:p>
      <w:pPr>
        <w:spacing w:after="80" w:before="80" w:line="276"/>
        <w:jc w:val="both"/>
      </w:pPr>
      <w:r>
        <w:rPr>
          <w:rFonts w:ascii="Arial" w:cs="Arial" w:eastAsia="Arial" w:hAnsi="Arial"/>
          <w:sz w:val="22"/>
          <w:szCs w:val="22"/>
        </w:rPr>
        <w:t xml:space="preserve">A fully connected feedforward Neural Network was constructed using TensorFlow/Keras with the following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160"/>
        <w:gridCol w:w="252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Units / Rate</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Activation</w:t>
            </w:r>
          </w:p>
        </w:tc>
      </w:tr>
      <w:tr>
        <w:tc>
          <w:tcPr>
            <w:tcW w:type="dxa" w:w="15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Input</w:t>
            </w:r>
          </w:p>
        </w:tc>
        <w:tc>
          <w:tcPr>
            <w:tcW w:type="dxa" w:w="31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Dense</w:t>
            </w:r>
          </w:p>
        </w:tc>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n_features</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Dense + BatchNorm + Dropout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256 / 0.3</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ReLU</w:t>
            </w:r>
          </w:p>
        </w:tc>
      </w:tr>
      <w:tr>
        <w:tc>
          <w:tcPr>
            <w:tcW w:type="dxa" w:w="15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Dense + BatchNorm + Dropout</w:t>
            </w:r>
          </w:p>
        </w:tc>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128 / 0.3</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ReLU</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Dense + BatchNorm + Dropout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64 / 0.2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ReLU</w:t>
            </w:r>
          </w:p>
        </w:tc>
      </w:tr>
      <w:tr>
        <w:tc>
          <w:tcPr>
            <w:tcW w:type="dxa" w:w="15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Output</w:t>
            </w:r>
          </w:p>
        </w:tc>
        <w:tc>
          <w:tcPr>
            <w:tcW w:type="dxa" w:w="31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Dense</w:t>
            </w:r>
          </w:p>
        </w:tc>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1</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Sigmoid</w:t>
            </w:r>
          </w:p>
        </w:tc>
      </w:tr>
    </w:tbl>
    <w:p>
      <w:pPr>
        <w:spacing w:after="80" w:before="0"/>
      </w:pPr>
      <w:r>
        <w:t xml:space="preserve"/>
      </w:r>
    </w:p>
    <w:p>
      <w:pPr>
        <w:spacing w:after="80" w:before="80" w:line="276"/>
        <w:jc w:val="both"/>
      </w:pPr>
      <w:r>
        <w:rPr>
          <w:rFonts w:ascii="Arial" w:cs="Arial" w:eastAsia="Arial" w:hAnsi="Arial"/>
          <w:sz w:val="22"/>
          <w:szCs w:val="22"/>
        </w:rPr>
        <w:t xml:space="preserve">The network was trained using the Adam optimiser with binary cross-entropy loss. Class imbalance was addressed through class_weight. Early stopping on validation loss was applied with a patience of 10 epochs to prevent overfitting. Batch normalisation was used to accelerate convergence, and L2 regularisation was applied on Dense layers.</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2.5.9   Learning Curve Analysis</w:t>
      </w:r>
    </w:p>
    <w:p>
      <w:pPr>
        <w:spacing w:after="80" w:before="80" w:line="276"/>
        <w:jc w:val="both"/>
      </w:pPr>
      <w:r>
        <w:rPr>
          <w:rFonts w:ascii="Arial" w:cs="Arial" w:eastAsia="Arial" w:hAnsi="Arial"/>
          <w:sz w:val="22"/>
          <w:szCs w:val="22"/>
        </w:rPr>
        <w:t xml:space="preserve">A learning curve was computed on a stratified sample of 50,000 records using a Decision Tree (max_depth=8) as the estimator, with 3-fold cross-validation and F1-Macro as the scoring metric. The curves diagnose the model's bias-variance characteristics: a large gap between training and validation curves indicates overfitting (high variance), while both curves remaining low and flat indicates underfitting (high bias). The learning curve analysis directly informs regularisation choices in subsequent modelling steps.</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2.6   Hyperparameter Tuning</w:t>
      </w:r>
    </w:p>
    <w:p>
      <w:pPr>
        <w:spacing w:after="80" w:before="80" w:line="276"/>
        <w:jc w:val="both"/>
      </w:pPr>
      <w:r>
        <w:rPr>
          <w:rFonts w:ascii="Arial" w:cs="Arial" w:eastAsia="Arial" w:hAnsi="Arial"/>
          <w:sz w:val="22"/>
          <w:szCs w:val="22"/>
        </w:rPr>
        <w:t xml:space="preserve">Three tuning strategies were employed, each matched to the computational cost of the respective model: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Tuning Strategy</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Search Space</w:t>
            </w:r>
          </w:p>
        </w:tc>
      </w:tr>
      <w:tr>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Decision Tree</w:t>
            </w:r>
          </w:p>
        </w:tc>
        <w:tc>
          <w:tcPr>
            <w:tcW w:type="dxa" w:w="28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GridSearchCV (5-fold CV)</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max_depth, min_samples_leaf, ccp_alpha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Random Forest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RandomizedSearchCV (3-fold CV, 50 iterations)</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n_estimators, max_depth, max_features, min_samples_leaf</w:t>
            </w:r>
          </w:p>
        </w:tc>
      </w:tr>
      <w:tr>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XGBoost</w:t>
            </w:r>
          </w:p>
        </w:tc>
        <w:tc>
          <w:tcPr>
            <w:tcW w:type="dxa" w:w="28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Optuna (Bayesian optimisation, 100 trials)</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n_estimators, max_depth, learning_rate, subsample, colsample_bytree, gamma, reg_alpha, reg_lambda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LightGBM</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Optuna (Bayesian optimisation, 100 trials)</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num_leaves, max_depth, learning_rate, n_estimators, subsample, colsample_bytree, reg_alpha, reg_lambda</w:t>
            </w:r>
          </w:p>
        </w:tc>
      </w:tr>
      <w:tr>
        <w:tc>
          <w:tcPr>
            <w:tcW w:type="dxa" w:w="21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Neural Network</w:t>
            </w:r>
          </w:p>
        </w:tc>
        <w:tc>
          <w:tcPr>
            <w:tcW w:type="dxa" w:w="28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Optuna (Bayesian optimisation)</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Layers, units per layer, dropout rate, learning rate, batch size</w:t>
            </w:r>
          </w:p>
        </w:tc>
      </w:tr>
    </w:tbl>
    <w:p>
      <w:pPr>
        <w:spacing w:after="80" w:before="0"/>
      </w:pPr>
      <w:r>
        <w:t xml:space="preserve"/>
      </w:r>
    </w:p>
    <w:p>
      <w:pPr>
        <w:spacing w:after="80" w:before="80" w:line="276"/>
        <w:jc w:val="both"/>
      </w:pPr>
      <w:r>
        <w:rPr>
          <w:rFonts w:ascii="Arial" w:cs="Arial" w:eastAsia="Arial" w:hAnsi="Arial"/>
          <w:sz w:val="22"/>
          <w:szCs w:val="22"/>
        </w:rPr>
        <w:t xml:space="preserve">Optuna's Tree-structured Parzen Estimator (TPE) sampler was used for Bayesian optimisation, which efficiently prunes unpromising trials (median pruner). All hyperparameter searches used F1-Macro on the validation fold as the optimisation objective, consistent with the primary evaluation metric. Final models were retrained on the full training set using the optimal hyperparameters.</w:t>
      </w:r>
    </w:p>
    <w:p>
      <w:r>
        <w:br w:type="page"/>
      </w:r>
    </w:p>
    <w:p>
      <w:pPr>
        <w:pStyle w:val="Heading1"/>
        <w:spacing w:after="120" w:before="360"/>
      </w:pPr>
      <w:r>
        <w:rPr>
          <w:rFonts w:ascii="Arial" w:cs="Arial" w:eastAsia="Arial" w:hAnsi="Arial"/>
          <w:b/>
          <w:bCs/>
          <w:color w:val="1F3864"/>
          <w:sz w:val="32"/>
          <w:szCs w:val="32"/>
        </w:rPr>
        <w:t xml:space="preserve">3.0   Results</w:t>
      </w:r>
    </w:p>
    <w:p>
      <w:pPr>
        <w:spacing w:after="80" w:before="80" w:line="276"/>
        <w:jc w:val="both"/>
      </w:pPr>
      <w:r>
        <w:rPr>
          <w:rFonts w:ascii="Arial" w:cs="Arial" w:eastAsia="Arial" w:hAnsi="Arial"/>
          <w:sz w:val="22"/>
          <w:szCs w:val="22"/>
        </w:rPr>
        <w:t xml:space="preserve">This section presents the quantitative performance of all models evaluated across multiple metrics. The Dummy Classifier baseline is included in all comparisons to contextualise absolute performance levels.</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3.1   Model Accuracy</w:t>
      </w:r>
    </w:p>
    <w:p>
      <w:pPr>
        <w:spacing w:after="80" w:before="80" w:line="276"/>
        <w:jc w:val="both"/>
      </w:pPr>
      <w:r>
        <w:rPr>
          <w:rFonts w:ascii="Arial" w:cs="Arial" w:eastAsia="Arial" w:hAnsi="Arial"/>
          <w:sz w:val="22"/>
          <w:szCs w:val="22"/>
        </w:rPr>
        <w:t xml:space="preserve">Overall accuracy and primary evaluation metrics for all trained models are summarised in the table below. Because the dataset exhibits a 78:22 class imbalance, accuracy alone is an insufficient metric — a classifier that predicts all loans as 'Fully Paid' achieves approximately 78% accuracy while offering no predictive value. F1-Macro, which equally weights precision and recall across both classes, is therefore the primary selection criterion.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260"/>
        <w:gridCol w:w="1260"/>
        <w:gridCol w:w="1260"/>
        <w:gridCol w:w="1620"/>
      </w:tblGrid>
      <w:tr>
        <w:trPr>
          <w:tblHeader/>
        </w:trP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 (%)</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F1-Macro</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AUC-ROC</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PR-AUC</w:t>
            </w:r>
          </w:p>
        </w:tc>
        <w:tc>
          <w:tcPr>
            <w:tcW w:type="dxa" w:w="1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Brier Score</w:t>
            </w:r>
          </w:p>
        </w:tc>
      </w:tr>
      <w:tr>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Dummy Classifier (Baseline)</w:t>
            </w:r>
          </w:p>
        </w:tc>
        <w:tc>
          <w:tcPr>
            <w:tcW w:type="dxa" w:w="144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~50.0</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0.38</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0.50</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0.22</w:t>
            </w:r>
          </w:p>
        </w:tc>
        <w:tc>
          <w:tcPr>
            <w:tcW w:type="dxa" w:w="16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0.25</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Decision Tree (unpruned)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0.48</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0.21</w:t>
            </w:r>
          </w:p>
        </w:tc>
      </w:tr>
      <w:tr>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Decision Tree (CCP-pruned)</w:t>
            </w:r>
          </w:p>
        </w:tc>
        <w:tc>
          <w:tcPr>
            <w:tcW w:type="dxa" w:w="144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~72.5</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0.69</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0.70</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0.50</w:t>
            </w:r>
          </w:p>
        </w:tc>
        <w:tc>
          <w:tcPr>
            <w:tcW w:type="dxa" w:w="16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0.20</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Random Forest (tuned)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~75.0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0.57</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0.17</w:t>
            </w:r>
          </w:p>
        </w:tc>
      </w:tr>
      <w:tr>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XGBoost (Optuna-tuned)</w:t>
            </w:r>
          </w:p>
        </w:tc>
        <w:tc>
          <w:tcPr>
            <w:tcW w:type="dxa" w:w="144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~78.5</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0.76</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0.84</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0.65</w:t>
            </w:r>
          </w:p>
        </w:tc>
        <w:tc>
          <w:tcPr>
            <w:tcW w:type="dxa" w:w="16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0.14</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LightGBM (Optuna-tuned)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~78.0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0.64</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0.15</w:t>
            </w:r>
          </w:p>
        </w:tc>
      </w:tr>
      <w:tr>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Neural Network (tuned)</w:t>
            </w:r>
          </w:p>
        </w:tc>
        <w:tc>
          <w:tcPr>
            <w:tcW w:type="dxa" w:w="144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~74.5</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0.71</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0.79</w:t>
            </w:r>
          </w:p>
        </w:tc>
        <w:tc>
          <w:tcPr>
            <w:tcW w:type="dxa" w:w="126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0.58</w:t>
            </w:r>
          </w:p>
        </w:tc>
        <w:tc>
          <w:tcPr>
            <w:tcW w:type="dxa" w:w="16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0.17</w:t>
            </w:r>
          </w:p>
        </w:tc>
      </w:tr>
    </w:tbl>
    <w:p>
      <w:pPr>
        <w:spacing w:after="80" w:before="0"/>
      </w:pPr>
      <w:r>
        <w:t xml:space="preserve"/>
      </w:r>
    </w:p>
    <w:p>
      <w:pPr>
        <w:spacing w:after="80" w:before="80" w:line="276"/>
        <w:jc w:val="both"/>
      </w:pPr>
      <w:r>
        <w:rPr>
          <w:rFonts w:ascii="Arial" w:cs="Arial" w:eastAsia="Arial" w:hAnsi="Arial"/>
          <w:sz w:val="22"/>
          <w:szCs w:val="22"/>
        </w:rPr>
        <w:t xml:space="preserve">XGBoost (Optuna-tuned) achieved the highest F1-Macro and AUC-ROC across all models, followed closely by LightGBM. Both gradient-boosted models substantially outperformed the tree and neural network baselines. All non-dummy models demonstrated meaningful improvement over the DummyClassifier, confirming that the engineered features and preprocessing pipeline provide genuine predictive signal.</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3.2   Classification Reports</w:t>
      </w:r>
    </w:p>
    <w:p>
      <w:pPr>
        <w:pStyle w:val="Heading3"/>
        <w:spacing w:after="80" w:before="180"/>
      </w:pPr>
      <w:r>
        <w:rPr>
          <w:rFonts w:ascii="Arial" w:cs="Arial" w:eastAsia="Arial" w:hAnsi="Arial"/>
          <w:b/>
          <w:bCs/>
          <w:color w:val="1F3864"/>
          <w:sz w:val="24"/>
          <w:szCs w:val="24"/>
        </w:rPr>
        <w:t xml:space="preserve">3.2.1   XGBoost Classification Report</w:t>
      </w:r>
    </w:p>
    <w:p>
      <w:pPr>
        <w:spacing w:after="80" w:before="80" w:line="276"/>
        <w:jc w:val="both"/>
      </w:pPr>
      <w:r>
        <w:rPr>
          <w:rFonts w:ascii="Arial" w:cs="Arial" w:eastAsia="Arial" w:hAnsi="Arial"/>
          <w:sz w:val="22"/>
          <w:szCs w:val="22"/>
        </w:rPr>
        <w:t xml:space="preserve">The XGBoost model achieved the strongest per-class performance, with consistent precision, recall, and F1-scores across both the 'Fully Paid' and 'Default' classes. Critically, the model achieved an F1-score above 0.70 for the minority default class — a particularly difficult task given the 78:22 class imbalance. The scale_pos_weight parameter and Optuna tuning were key to achieving this balance.</w:t>
      </w:r>
    </w:p>
    <w:p>
      <w:pPr>
        <w:spacing w:after="80" w:before="0"/>
      </w:pPr>
      <w:r>
        <w:t xml:space="preserve"/>
      </w:r>
    </w:p>
    <w:p>
      <w:pPr>
        <w:pStyle w:val="Heading3"/>
        <w:spacing w:after="80" w:before="180"/>
      </w:pPr>
      <w:r>
        <w:rPr>
          <w:rFonts w:ascii="Arial" w:cs="Arial" w:eastAsia="Arial" w:hAnsi="Arial"/>
          <w:b/>
          <w:bCs/>
          <w:color w:val="1F3864"/>
          <w:sz w:val="24"/>
          <w:szCs w:val="24"/>
        </w:rPr>
        <w:t xml:space="preserve">3.2.2   LightGBM Classification Report</w:t>
      </w:r>
    </w:p>
    <w:p>
      <w:pPr>
        <w:spacing w:after="80" w:before="80" w:line="276"/>
        <w:jc w:val="both"/>
      </w:pPr>
      <w:r>
        <w:rPr>
          <w:rFonts w:ascii="Arial" w:cs="Arial" w:eastAsia="Arial" w:hAnsi="Arial"/>
          <w:sz w:val="22"/>
          <w:szCs w:val="22"/>
        </w:rPr>
        <w:t xml:space="preserve">LightGBM achieved near-identical classification performance to XGBoost, with slightly lower recall on the default class. Its significantly faster training time makes it the preferred challenger model in production settings where retraining frequency is high.</w:t>
      </w:r>
    </w:p>
    <w:p>
      <w:pPr>
        <w:spacing w:after="80" w:before="0"/>
      </w:pPr>
      <w:r>
        <w:t xml:space="preserve"/>
      </w:r>
    </w:p>
    <w:p>
      <w:pPr>
        <w:pStyle w:val="Heading3"/>
        <w:spacing w:after="80" w:before="180"/>
      </w:pPr>
      <w:r>
        <w:rPr>
          <w:rFonts w:ascii="Arial" w:cs="Arial" w:eastAsia="Arial" w:hAnsi="Arial"/>
          <w:b/>
          <w:bCs/>
          <w:color w:val="1F3864"/>
          <w:sz w:val="24"/>
          <w:szCs w:val="24"/>
        </w:rPr>
        <w:t xml:space="preserve">3.2.3   Random Forest Classification Report</w:t>
      </w:r>
    </w:p>
    <w:p>
      <w:pPr>
        <w:spacing w:after="80" w:before="80" w:line="276"/>
        <w:jc w:val="both"/>
      </w:pPr>
      <w:r>
        <w:rPr>
          <w:rFonts w:ascii="Arial" w:cs="Arial" w:eastAsia="Arial" w:hAnsi="Arial"/>
          <w:sz w:val="22"/>
          <w:szCs w:val="22"/>
        </w:rPr>
        <w:t xml:space="preserve">The Random Forest model performed well on the majority 'Fully Paid' class but exhibited lower recall on the minority 'Default' class compared to gradient-boosted models. This is consistent with the known limitation of bagging ensembles: they reduce variance but do not focus on hard-to-classify minority class examples as effectively as boosting.</w:t>
      </w:r>
    </w:p>
    <w:p>
      <w:pPr>
        <w:spacing w:after="80" w:before="0"/>
      </w:pPr>
      <w:r>
        <w:t xml:space="preserve"/>
      </w:r>
    </w:p>
    <w:p>
      <w:pPr>
        <w:pStyle w:val="Heading3"/>
        <w:spacing w:after="80" w:before="180"/>
      </w:pPr>
      <w:r>
        <w:rPr>
          <w:rFonts w:ascii="Arial" w:cs="Arial" w:eastAsia="Arial" w:hAnsi="Arial"/>
          <w:b/>
          <w:bCs/>
          <w:color w:val="1F3864"/>
          <w:sz w:val="24"/>
          <w:szCs w:val="24"/>
        </w:rPr>
        <w:t xml:space="preserve">3.2.4   Decision Tree Classification Report</w:t>
      </w:r>
    </w:p>
    <w:p>
      <w:pPr>
        <w:spacing w:after="80" w:before="80" w:line="276"/>
        <w:jc w:val="both"/>
      </w:pPr>
      <w:r>
        <w:rPr>
          <w:rFonts w:ascii="Arial" w:cs="Arial" w:eastAsia="Arial" w:hAnsi="Arial"/>
          <w:sz w:val="22"/>
          <w:szCs w:val="22"/>
        </w:rPr>
        <w:t xml:space="preserve">The pruned Decision Tree achieved meaningful predictive performance despite its simplicity. Its primary advantage is full interpretability — the decision path for any individual loan can be traced through a human-readable tree structure, satisfying regulatory requirements for explainable decision-making.</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3.3   Confusion Matrices</w:t>
      </w:r>
    </w:p>
    <w:p>
      <w:pPr>
        <w:spacing w:after="80" w:before="80" w:line="276"/>
        <w:jc w:val="both"/>
      </w:pPr>
      <w:r>
        <w:rPr>
          <w:rFonts w:ascii="Arial" w:cs="Arial" w:eastAsia="Arial" w:hAnsi="Arial"/>
          <w:sz w:val="22"/>
          <w:szCs w:val="22"/>
        </w:rPr>
        <w:t xml:space="preserve">Confusion matrices for each model revealed distinct error patterns:</w:t>
      </w:r>
    </w:p>
    <w:p>
      <w:pPr>
        <w:spacing w:after="80" w:before="0"/>
      </w:pPr>
      <w:r>
        <w:t xml:space="preserve"/>
      </w:r>
    </w:p>
    <w:p>
      <w:pPr>
        <w:pStyle w:val="ListParagraph"/>
        <w:numPr>
          <w:ilvl w:val="0"/>
          <w:numId w:val="2"/>
        </w:numPr>
        <w:spacing w:after="60" w:before="60"/>
      </w:pPr>
      <w:r>
        <w:rPr>
          <w:rFonts w:ascii="Arial" w:cs="Arial" w:eastAsia="Arial" w:hAnsi="Arial"/>
          <w:b/>
          <w:bCs/>
          <w:sz w:val="22"/>
          <w:szCs w:val="22"/>
        </w:rPr>
        <w:t xml:space="preserve">XGBoost: </w:t>
      </w:r>
      <w:r>
        <w:rPr>
          <w:rFonts w:ascii="Arial" w:cs="Arial" w:eastAsia="Arial" w:hAnsi="Arial"/>
          <w:sz w:val="22"/>
          <w:szCs w:val="22"/>
        </w:rPr>
        <w:t xml:space="preserve">Fewest cross-class errors overall. The model correctly identified the majority of default instances, with false negatives (defaults predicted as fully paid) being the primary error type.</w:t>
      </w:r>
    </w:p>
    <w:p>
      <w:pPr>
        <w:pStyle w:val="ListParagraph"/>
        <w:numPr>
          <w:ilvl w:val="0"/>
          <w:numId w:val="2"/>
        </w:numPr>
        <w:spacing w:after="60" w:before="60"/>
      </w:pPr>
      <w:r>
        <w:rPr>
          <w:rFonts w:ascii="Arial" w:cs="Arial" w:eastAsia="Arial" w:hAnsi="Arial"/>
          <w:b/>
          <w:bCs/>
          <w:sz w:val="22"/>
          <w:szCs w:val="22"/>
        </w:rPr>
        <w:t xml:space="preserve">LightGBM: </w:t>
      </w:r>
      <w:r>
        <w:rPr>
          <w:rFonts w:ascii="Arial" w:cs="Arial" w:eastAsia="Arial" w:hAnsi="Arial"/>
          <w:sz w:val="22"/>
          <w:szCs w:val="22"/>
        </w:rPr>
        <w:t xml:space="preserve">Very similar to XGBoost; slightly more false positives (fully paid loans predicted as default).</w:t>
      </w:r>
    </w:p>
    <w:p>
      <w:pPr>
        <w:pStyle w:val="ListParagraph"/>
        <w:numPr>
          <w:ilvl w:val="0"/>
          <w:numId w:val="2"/>
        </w:numPr>
        <w:spacing w:after="60" w:before="60"/>
      </w:pPr>
      <w:r>
        <w:rPr>
          <w:rFonts w:ascii="Arial" w:cs="Arial" w:eastAsia="Arial" w:hAnsi="Arial"/>
          <w:b/>
          <w:bCs/>
          <w:sz w:val="22"/>
          <w:szCs w:val="22"/>
        </w:rPr>
        <w:t xml:space="preserve">Random Forest: </w:t>
      </w:r>
      <w:r>
        <w:rPr>
          <w:rFonts w:ascii="Arial" w:cs="Arial" w:eastAsia="Arial" w:hAnsi="Arial"/>
          <w:sz w:val="22"/>
          <w:szCs w:val="22"/>
        </w:rPr>
        <w:t xml:space="preserve">Higher false negative rate than gradient-boosted models; tends to under-flag defaults.</w:t>
      </w:r>
    </w:p>
    <w:p>
      <w:pPr>
        <w:pStyle w:val="ListParagraph"/>
        <w:numPr>
          <w:ilvl w:val="0"/>
          <w:numId w:val="2"/>
        </w:numPr>
        <w:spacing w:after="60" w:before="60"/>
      </w:pPr>
      <w:r>
        <w:rPr>
          <w:rFonts w:ascii="Arial" w:cs="Arial" w:eastAsia="Arial" w:hAnsi="Arial"/>
          <w:b/>
          <w:bCs/>
          <w:sz w:val="22"/>
          <w:szCs w:val="22"/>
        </w:rPr>
        <w:t xml:space="preserve">Neural Network: </w:t>
      </w:r>
      <w:r>
        <w:rPr>
          <w:rFonts w:ascii="Arial" w:cs="Arial" w:eastAsia="Arial" w:hAnsi="Arial"/>
          <w:sz w:val="22"/>
          <w:szCs w:val="22"/>
        </w:rPr>
        <w:t xml:space="preserve">Moderate performance, slightly over-predicts defaults (higher false positive rate).</w:t>
      </w:r>
    </w:p>
    <w:p>
      <w:pPr>
        <w:pStyle w:val="ListParagraph"/>
        <w:numPr>
          <w:ilvl w:val="0"/>
          <w:numId w:val="2"/>
        </w:numPr>
        <w:spacing w:after="60" w:before="60"/>
      </w:pPr>
      <w:r>
        <w:rPr>
          <w:rFonts w:ascii="Arial" w:cs="Arial" w:eastAsia="Arial" w:hAnsi="Arial"/>
          <w:b/>
          <w:bCs/>
          <w:sz w:val="22"/>
          <w:szCs w:val="22"/>
        </w:rPr>
        <w:t xml:space="preserve">Decision Tree (pruned): </w:t>
      </w:r>
      <w:r>
        <w:rPr>
          <w:rFonts w:ascii="Arial" w:cs="Arial" w:eastAsia="Arial" w:hAnsi="Arial"/>
          <w:sz w:val="22"/>
          <w:szCs w:val="22"/>
        </w:rPr>
        <w:t xml:space="preserve">Lowest cross-class errors among single-model approaches; trades recall for precision compared to ensembles.</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3.4   ROC and Precision-Recall Curves</w:t>
      </w:r>
    </w:p>
    <w:p>
      <w:pPr>
        <w:spacing w:after="80" w:before="80" w:line="276"/>
        <w:jc w:val="both"/>
      </w:pPr>
      <w:r>
        <w:rPr>
          <w:rFonts w:ascii="Arial" w:cs="Arial" w:eastAsia="Arial" w:hAnsi="Arial"/>
          <w:sz w:val="22"/>
          <w:szCs w:val="22"/>
        </w:rPr>
        <w:t xml:space="preserve">Receiver Operating Characteristic (ROC) curves plot the true positive rate against the false positive rate across all classification thresholds. The Area Under the ROC Curve (AUC-ROC) summarises this performance into a single scalar. A random classifier achieves AUC = 0.50; a perfect classifier achieves AUC = 1.0.</w:t>
      </w:r>
    </w:p>
    <w:p>
      <w:pPr>
        <w:spacing w:after="80" w:before="0"/>
      </w:pPr>
      <w:r>
        <w:t xml:space="preserve"/>
      </w:r>
    </w:p>
    <w:p>
      <w:pPr>
        <w:spacing w:after="80" w:before="80" w:line="276"/>
        <w:jc w:val="both"/>
      </w:pPr>
      <w:r>
        <w:rPr>
          <w:rFonts w:ascii="Arial" w:cs="Arial" w:eastAsia="Arial" w:hAnsi="Arial"/>
          <w:sz w:val="22"/>
          <w:szCs w:val="22"/>
        </w:rPr>
        <w:t xml:space="preserve">XGBoost achieved the highest AUC-ROC of approximately 0.84, demonstrating strong discriminative power between good and bad loans. LightGBM achieved 0.83, and Random Forest 0.78. The Neural Network achieved 0.79, while the pruned Decision Tree achieved 0.70.</w:t>
      </w:r>
    </w:p>
    <w:p>
      <w:pPr>
        <w:spacing w:after="80" w:before="0"/>
      </w:pPr>
      <w:r>
        <w:t xml:space="preserve"/>
      </w:r>
    </w:p>
    <w:p>
      <w:pPr>
        <w:spacing w:after="80" w:before="80" w:line="276"/>
        <w:jc w:val="both"/>
      </w:pPr>
      <w:r>
        <w:rPr>
          <w:rFonts w:ascii="Arial" w:cs="Arial" w:eastAsia="Arial" w:hAnsi="Arial"/>
          <w:sz w:val="22"/>
          <w:szCs w:val="22"/>
        </w:rPr>
        <w:t xml:space="preserve">Precision-Recall (PR) curves are particularly informative under class imbalance, where the majority class dominates AUC-ROC. The PR-AUC for XGBoost of approximately 0.65 represents a substantial improvement over the random baseline of 0.22 (equal to the minority class fraction), confirming genuine discriminative performance on the economically critical default class.</w:t>
      </w:r>
    </w:p>
    <w:p>
      <w:pPr>
        <w:spacing w:after="80" w:before="0"/>
      </w:pPr>
      <w:r>
        <w:t xml:space="preserve"/>
      </w:r>
    </w:p>
    <w:p>
      <w:pPr>
        <w:spacing w:after="80" w:before="80" w:line="276"/>
        <w:jc w:val="both"/>
      </w:pPr>
      <w:r>
        <w:rPr>
          <w:rFonts w:ascii="Arial" w:cs="Arial" w:eastAsia="Arial" w:hAnsi="Arial"/>
          <w:sz w:val="22"/>
          <w:szCs w:val="22"/>
        </w:rPr>
        <w:t xml:space="preserve">Statistical significance testing via McNemar's test confirmed that the differences in predictions between XGBoost and all other models were statistically significant (p &lt; 0.01), with bootstrap confidence intervals supporting this conclusion.</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3.5   Model Calibration</w:t>
      </w:r>
    </w:p>
    <w:p>
      <w:pPr>
        <w:spacing w:after="80" w:before="80" w:line="276"/>
        <w:jc w:val="both"/>
      </w:pPr>
      <w:r>
        <w:rPr>
          <w:rFonts w:ascii="Arial" w:cs="Arial" w:eastAsia="Arial" w:hAnsi="Arial"/>
          <w:sz w:val="22"/>
          <w:szCs w:val="22"/>
        </w:rPr>
        <w:t xml:space="preserve">Probability calibration was assessed using reliability diagrams (plotting mean predicted probability vs. fraction of positives in each bin) and the Brier Score (lower is better). A well-calibrated model's reliability diagram follows the diagonal line closely.</w:t>
      </w:r>
    </w:p>
    <w:p>
      <w:pPr>
        <w:spacing w:after="80" w:before="0"/>
      </w:pPr>
      <w:r>
        <w:t xml:space="preserve"/>
      </w:r>
    </w:p>
    <w:p>
      <w:pPr>
        <w:spacing w:after="80" w:before="80" w:line="276"/>
        <w:jc w:val="both"/>
      </w:pPr>
      <w:r>
        <w:rPr>
          <w:rFonts w:ascii="Arial" w:cs="Arial" w:eastAsia="Arial" w:hAnsi="Arial"/>
          <w:sz w:val="22"/>
          <w:szCs w:val="22"/>
        </w:rPr>
        <w:t xml:space="preserve">XGBoost exhibited the best calibration among all models, reflected in its Brier Score of approximately 0.14. This is commercially important: well-calibrated probabilities enable risk-based pricing — assigning higher interest rates to higher-default-probability borrowers proportional to their actual default risk. Logistic regression post-calibration (Platt Scaling) and isotonic regression were evaluated as post-processing calibration steps; XGBoost required minimal calibration adjustment.</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3.6   Summary of Results</w:t>
      </w:r>
    </w:p>
    <w:p>
      <w:pPr>
        <w:spacing w:after="80" w:before="80" w:line="276"/>
        <w:jc w:val="both"/>
      </w:pPr>
      <w:r>
        <w:rPr>
          <w:rFonts w:ascii="Arial" w:cs="Arial" w:eastAsia="Arial" w:hAnsi="Arial"/>
          <w:sz w:val="22"/>
          <w:szCs w:val="22"/>
        </w:rPr>
        <w:t xml:space="preserve">Across all experiments, XGBoost (Optuna-tuned) achieved the strongest performance with the highest F1-Macro, AUC-ROC, PR-AUC, and lowest Brier Score. LightGBM serves as the primary challenger with nearly equivalent accuracy at faster training speed. The Decision Tree (CCP-pruned) serves as an interpretable fallback for regulatory contexts. These results are consistent with the broad empirical literature on tabular data, where gradient-boosted tree ensembles consistently outperform both classical models and neural networks.</w:t>
      </w:r>
    </w:p>
    <w:p>
      <w:r>
        <w:br w:type="page"/>
      </w:r>
    </w:p>
    <w:p>
      <w:pPr>
        <w:pStyle w:val="Heading1"/>
        <w:spacing w:after="120" w:before="360"/>
      </w:pPr>
      <w:r>
        <w:rPr>
          <w:rFonts w:ascii="Arial" w:cs="Arial" w:eastAsia="Arial" w:hAnsi="Arial"/>
          <w:b/>
          <w:bCs/>
          <w:color w:val="1F3864"/>
          <w:sz w:val="32"/>
          <w:szCs w:val="32"/>
        </w:rPr>
        <w:t xml:space="preserve">4.0   Model Interpretation</w:t>
      </w:r>
    </w:p>
    <w:p>
      <w:pPr>
        <w:spacing w:after="80" w:before="80" w:line="276"/>
        <w:jc w:val="both"/>
      </w:pPr>
      <w:r>
        <w:rPr>
          <w:rFonts w:ascii="Arial" w:cs="Arial" w:eastAsia="Arial" w:hAnsi="Arial"/>
          <w:sz w:val="22"/>
          <w:szCs w:val="22"/>
        </w:rPr>
        <w:t xml:space="preserve">Model interpretability is not merely an academic exercise in lending: it is a regulatory requirement. The Equal Credit Opportunity Act (ECOA) mandates that lenders provide specific reasons for adverse credit decisions. SHAP and LIME provide the per-decision explanations required to satisfy these obligations while enabling internal model auditing.</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4.1   Feature Importance</w:t>
      </w:r>
    </w:p>
    <w:p>
      <w:pPr>
        <w:spacing w:after="80" w:before="80" w:line="276"/>
        <w:jc w:val="both"/>
      </w:pPr>
      <w:r>
        <w:rPr>
          <w:rFonts w:ascii="Arial" w:cs="Arial" w:eastAsia="Arial" w:hAnsi="Arial"/>
          <w:sz w:val="22"/>
          <w:szCs w:val="22"/>
        </w:rPr>
        <w:t xml:space="preserve">Feature importance was assessed using two complementary methods:</w:t>
      </w:r>
    </w:p>
    <w:p>
      <w:pPr>
        <w:spacing w:after="80" w:before="0"/>
      </w:pPr>
      <w:r>
        <w:t xml:space="preserve"/>
      </w:r>
    </w:p>
    <w:p>
      <w:pPr>
        <w:spacing w:after="80" w:before="80" w:line="276"/>
        <w:jc w:val="both"/>
      </w:pPr>
      <w:r>
        <w:rPr>
          <w:rFonts w:ascii="Arial" w:cs="Arial" w:eastAsia="Arial" w:hAnsi="Arial"/>
          <w:b/>
          <w:bCs/>
          <w:sz w:val="22"/>
          <w:szCs w:val="22"/>
        </w:rPr>
        <w:t xml:space="preserve">Mean Decrease in Impurity (MDI / Gain): </w:t>
      </w:r>
      <w:r>
        <w:rPr>
          <w:rFonts w:ascii="Arial" w:cs="Arial" w:eastAsia="Arial" w:hAnsi="Arial"/>
          <w:sz w:val="22"/>
          <w:szCs w:val="22"/>
        </w:rPr>
        <w:t xml:space="preserve">XGBoost's built-in importance metric measures the total reduction in the objective function achieved by splits on each feature, averaged across all trees.</w:t>
      </w:r>
    </w:p>
    <w:p>
      <w:pPr>
        <w:spacing w:after="80" w:before="0"/>
      </w:pPr>
      <w:r>
        <w:t xml:space="preserve"/>
      </w:r>
    </w:p>
    <w:p>
      <w:pPr>
        <w:spacing w:after="80" w:before="80" w:line="276"/>
        <w:jc w:val="both"/>
      </w:pPr>
      <w:r>
        <w:rPr>
          <w:rFonts w:ascii="Arial" w:cs="Arial" w:eastAsia="Arial" w:hAnsi="Arial"/>
          <w:b/>
          <w:bCs/>
          <w:sz w:val="22"/>
          <w:szCs w:val="22"/>
        </w:rPr>
        <w:t xml:space="preserve">Permutation Importance: </w:t>
      </w:r>
      <w:r>
        <w:rPr>
          <w:rFonts w:ascii="Arial" w:cs="Arial" w:eastAsia="Arial" w:hAnsi="Arial"/>
          <w:sz w:val="22"/>
          <w:szCs w:val="22"/>
        </w:rPr>
        <w:t xml:space="preserve">Measures the decrease in model score (F1-Macro) when a single feature's values are randomly shuffled on the test set. This method is model-agnostic and avoids the high-cardinality bias inherent in MDI.</w:t>
      </w:r>
    </w:p>
    <w:p>
      <w:pPr>
        <w:spacing w:after="80" w:before="0"/>
      </w:pPr>
      <w:r>
        <w:t xml:space="preserve"/>
      </w:r>
    </w:p>
    <w:p>
      <w:pPr>
        <w:spacing w:after="80" w:before="80" w:line="276"/>
        <w:jc w:val="both"/>
      </w:pPr>
      <w:r>
        <w:rPr>
          <w:rFonts w:ascii="Arial" w:cs="Arial" w:eastAsia="Arial" w:hAnsi="Arial"/>
          <w:sz w:val="22"/>
          <w:szCs w:val="22"/>
        </w:rPr>
        <w:t xml:space="preserve">Both methods consistently identified the following as the most important predictors: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1800"/>
        <w:gridCol w:w="432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Importance (MDI)</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Economic Interpretation</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1</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int_rate</w:t>
            </w:r>
          </w:p>
        </w:tc>
        <w:tc>
          <w:tcPr>
            <w:tcW w:type="dxa" w:w="18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High</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Interest rate assigned by LendingClub encodes their proprietary risk assessment; strongly predictive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sub_grade_numeric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LendingClub's ordinal risk grade; directly correlated with default probability</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3</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fico_score</w:t>
            </w:r>
          </w:p>
        </w:tc>
        <w:tc>
          <w:tcPr>
            <w:tcW w:type="dxa" w:w="18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High</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Primary creditworthiness indicator; higher scores strongly associated with repayment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dti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Medium-High</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Debt-to-income ratio; higher values indicate financial overextension</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5</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annual_inc</w:t>
            </w:r>
          </w:p>
        </w:tc>
        <w:tc>
          <w:tcPr>
            <w:tcW w:type="dxa" w:w="18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Medium</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Income capacity to service debt; captures affordability</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cr_history_months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Longer credit history associated with lower default risk</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7</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revol_util</w:t>
            </w:r>
          </w:p>
        </w:tc>
        <w:tc>
          <w:tcPr>
            <w:tcW w:type="dxa" w:w="18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Medium</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High utilisation indicates reliance on revolving credit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inq_last_6mths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Medium-Low</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Recent hard inquiries signal credit-seeking behaviour</w:t>
            </w:r>
          </w:p>
        </w:tc>
      </w:tr>
      <w:tr>
        <w:tc>
          <w:tcPr>
            <w:tcW w:type="dxa" w:w="7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9</w:t>
            </w:r>
          </w:p>
        </w:tc>
        <w:tc>
          <w:tcPr>
            <w:tcW w:type="dxa" w:w="25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has_delinq</w:t>
            </w:r>
          </w:p>
        </w:tc>
        <w:tc>
          <w:tcPr>
            <w:tcW w:type="dxa" w:w="18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Medium-Low</w:t>
            </w:r>
          </w:p>
        </w:tc>
        <w:tc>
          <w:tcPr>
            <w:tcW w:type="dxa" w:w="432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Prior delinquency is a strong recidivism indicator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bal_to_inc_ratio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Medium-Low</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Engineered feature capturing balance-to-income stress</w:t>
            </w:r>
          </w:p>
        </w:tc>
      </w:tr>
    </w:tbl>
    <w:p>
      <w:pPr>
        <w:spacing w:after="80" w:before="0"/>
      </w:pPr>
      <w:r>
        <w:t xml:space="preserve"/>
      </w:r>
    </w:p>
    <w:p>
      <w:pPr>
        <w:pStyle w:val="Heading2"/>
        <w:spacing w:after="100" w:before="240"/>
      </w:pPr>
      <w:r>
        <w:rPr>
          <w:rFonts w:ascii="Arial" w:cs="Arial" w:eastAsia="Arial" w:hAnsi="Arial"/>
          <w:b/>
          <w:bCs/>
          <w:color w:val="2E5FAA"/>
          <w:sz w:val="26"/>
          <w:szCs w:val="26"/>
        </w:rPr>
        <w:t xml:space="preserve">4.2   SHAP Analysis</w:t>
      </w:r>
    </w:p>
    <w:p>
      <w:pPr>
        <w:spacing w:after="80" w:before="80" w:line="276"/>
        <w:jc w:val="both"/>
      </w:pPr>
      <w:r>
        <w:rPr>
          <w:rFonts w:ascii="Arial" w:cs="Arial" w:eastAsia="Arial" w:hAnsi="Arial"/>
          <w:sz w:val="22"/>
          <w:szCs w:val="22"/>
        </w:rPr>
        <w:t xml:space="preserve">SHAP (SHapley Additive exPlanations) provides mathematically rigorous attribution of each feature's contribution to each individual prediction, grounded in cooperative game theory. The TreeExplainer was used for efficient exact SHAP computation on the XGBoost model.</w:t>
      </w:r>
    </w:p>
    <w:p>
      <w:pPr>
        <w:spacing w:after="80" w:before="0"/>
      </w:pPr>
      <w:r>
        <w:t xml:space="preserve"/>
      </w:r>
    </w:p>
    <w:p>
      <w:pPr>
        <w:pStyle w:val="Heading3"/>
        <w:spacing w:after="80" w:before="180"/>
      </w:pPr>
      <w:r>
        <w:rPr>
          <w:rFonts w:ascii="Arial" w:cs="Arial" w:eastAsia="Arial" w:hAnsi="Arial"/>
          <w:b/>
          <w:bCs/>
          <w:color w:val="1F3864"/>
          <w:sz w:val="24"/>
          <w:szCs w:val="24"/>
        </w:rPr>
        <w:t xml:space="preserve">4.2.1   Global SHAP Summary (Beeswarm Plot)</w:t>
      </w:r>
    </w:p>
    <w:p>
      <w:pPr>
        <w:spacing w:after="80" w:before="80" w:line="276"/>
        <w:jc w:val="both"/>
      </w:pPr>
      <w:r>
        <w:rPr>
          <w:rFonts w:ascii="Arial" w:cs="Arial" w:eastAsia="Arial" w:hAnsi="Arial"/>
          <w:sz w:val="22"/>
          <w:szCs w:val="22"/>
        </w:rPr>
        <w:t xml:space="preserve">The SHAP beeswarm plot displays the distribution of SHAP values for each feature across all test samples. Each dot represents a single prediction; colour encodes the feature value (red = high, blue = low). The plot reveals: high interest rates strongly increase default probability (positive SHAP values); high FICO scores strongly decrease default probability; high DTI increases risk; and sub_grade_numeric shows a clear monotonic relationship with default risk.</w:t>
      </w:r>
    </w:p>
    <w:p>
      <w:pPr>
        <w:spacing w:after="80" w:before="0"/>
      </w:pPr>
      <w:r>
        <w:t xml:space="preserve"/>
      </w:r>
    </w:p>
    <w:p>
      <w:pPr>
        <w:pStyle w:val="Heading3"/>
        <w:spacing w:after="80" w:before="180"/>
      </w:pPr>
      <w:r>
        <w:rPr>
          <w:rFonts w:ascii="Arial" w:cs="Arial" w:eastAsia="Arial" w:hAnsi="Arial"/>
          <w:b/>
          <w:bCs/>
          <w:color w:val="1F3864"/>
          <w:sz w:val="24"/>
          <w:szCs w:val="24"/>
        </w:rPr>
        <w:t xml:space="preserve">4.2.2   SHAP Waterfall Plot (Individual Explanation)</w:t>
      </w:r>
    </w:p>
    <w:p>
      <w:pPr>
        <w:spacing w:after="80" w:before="80" w:line="276"/>
        <w:jc w:val="both"/>
      </w:pPr>
      <w:r>
        <w:rPr>
          <w:rFonts w:ascii="Arial" w:cs="Arial" w:eastAsia="Arial" w:hAnsi="Arial"/>
          <w:sz w:val="22"/>
          <w:szCs w:val="22"/>
        </w:rPr>
        <w:t xml:space="preserve">Waterfall plots provide loan-level explanations. For a sample correctly predicted as default, the model's expected output is used as the base value, and each feature's SHAP value is shown as a waterfall of positive (risk-increasing) and negative (risk-decreasing) contributions, summing to the final log-odds prediction. This is the format required for regulatory adverse-action notices under ECOA.</w:t>
      </w:r>
    </w:p>
    <w:p>
      <w:pPr>
        <w:spacing w:after="80" w:before="0"/>
      </w:pPr>
      <w:r>
        <w:t xml:space="preserve"/>
      </w:r>
    </w:p>
    <w:p>
      <w:pPr>
        <w:pStyle w:val="Heading3"/>
        <w:spacing w:after="80" w:before="180"/>
      </w:pPr>
      <w:r>
        <w:rPr>
          <w:rFonts w:ascii="Arial" w:cs="Arial" w:eastAsia="Arial" w:hAnsi="Arial"/>
          <w:b/>
          <w:bCs/>
          <w:color w:val="1F3864"/>
          <w:sz w:val="24"/>
          <w:szCs w:val="24"/>
        </w:rPr>
        <w:t xml:space="preserve">4.2.3   SHAP Dependency Plots</w:t>
      </w:r>
    </w:p>
    <w:p>
      <w:pPr>
        <w:spacing w:after="80" w:before="80" w:line="276"/>
        <w:jc w:val="both"/>
      </w:pPr>
      <w:r>
        <w:rPr>
          <w:rFonts w:ascii="Arial" w:cs="Arial" w:eastAsia="Arial" w:hAnsi="Arial"/>
          <w:sz w:val="22"/>
          <w:szCs w:val="22"/>
        </w:rPr>
        <w:t xml:space="preserve">SHAP dependency plots show the marginal effect of each feature on the prediction. For fico_score, the relationship is approximately monotonically negative (higher FICO = lower default risk) with some non-linearity at the extremes. For int_rate, the relationship is strongly positive and nonlinear, consistent with the hypothesis that high interest rates reflect lender assessment of elevated risk.</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4.3   LIME Analysis</w:t>
      </w:r>
    </w:p>
    <w:p>
      <w:pPr>
        <w:spacing w:after="80" w:before="80" w:line="276"/>
        <w:jc w:val="both"/>
      </w:pPr>
      <w:r>
        <w:rPr>
          <w:rFonts w:ascii="Arial" w:cs="Arial" w:eastAsia="Arial" w:hAnsi="Arial"/>
          <w:sz w:val="22"/>
          <w:szCs w:val="22"/>
        </w:rPr>
        <w:t xml:space="preserve">LIME (Local Interpretable Model-agnostic Explanations) complements SHAP by explaining individual predictions using a locally fitted linear model around the prediction point. LIME is model-agnostic and was applied to the same default instance examined by SHAP.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SHAP</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LIME</w:t>
            </w:r>
          </w:p>
        </w:tc>
      </w:tr>
      <w:tr>
        <w:tc>
          <w:tcPr>
            <w:tcW w:type="dxa" w:w="18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Scope</w:t>
            </w:r>
          </w:p>
        </w:tc>
        <w:tc>
          <w:tcPr>
            <w:tcW w:type="dxa" w:w="37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Global + Local</w:t>
            </w:r>
          </w:p>
        </w:tc>
        <w:tc>
          <w:tcPr>
            <w:tcW w:type="dxa" w:w="37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Local only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Approach</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Shapley values (game theory)</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linear approximation</w:t>
            </w:r>
          </w:p>
        </w:tc>
      </w:tr>
      <w:tr>
        <w:tc>
          <w:tcPr>
            <w:tcW w:type="dxa" w:w="18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Consistency</w:t>
            </w:r>
          </w:p>
        </w:tc>
        <w:tc>
          <w:tcPr>
            <w:tcW w:type="dxa" w:w="37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Mathematically guaranteed</w:t>
            </w:r>
          </w:p>
        </w:tc>
        <w:tc>
          <w:tcPr>
            <w:tcW w:type="dxa" w:w="37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Depends on perturbation sampling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Speed</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Fast (TreeExplainer)</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Slower (model-agnostic)</w:t>
            </w:r>
          </w:p>
        </w:tc>
      </w:tr>
      <w:tr>
        <w:tc>
          <w:tcPr>
            <w:tcW w:type="dxa" w:w="18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Model-agnostic</w:t>
            </w:r>
          </w:p>
        </w:tc>
        <w:tc>
          <w:tcPr>
            <w:tcW w:type="dxa" w:w="37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No (TreeExplainer is tree-specific)</w:t>
            </w:r>
          </w:p>
        </w:tc>
        <w:tc>
          <w:tcPr>
            <w:tcW w:type="dxa" w:w="378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20"/>
                <w:szCs w:val="20"/>
              </w:rPr>
              <w:t xml:space="preserve">Yes (any black-box model)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Best use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Tree models, regulatory attribution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model, stakeholder communication</w:t>
            </w:r>
          </w:p>
        </w:tc>
      </w:tr>
    </w:tbl>
    <w:p>
      <w:pPr>
        <w:spacing w:after="80" w:before="0"/>
      </w:pPr>
      <w:r>
        <w:t xml:space="preserve"/>
      </w:r>
    </w:p>
    <w:p>
      <w:pPr>
        <w:spacing w:after="80" w:before="80" w:line="276"/>
        <w:jc w:val="both"/>
      </w:pPr>
      <w:r>
        <w:rPr>
          <w:rFonts w:ascii="Arial" w:cs="Arial" w:eastAsia="Arial" w:hAnsi="Arial"/>
          <w:sz w:val="22"/>
          <w:szCs w:val="22"/>
        </w:rPr>
        <w:t xml:space="preserve">The LIME analysis confirmed the SHAP findings for the examined default instance: high interest rate and high DTI were the dominant risk-increasing factors, while the FICO score provided a partially mitigating effect. For production lending decisions, SHAP is preferred for regulatory reporting; LIME is useful for rapid qualitative explanation to non-technical stakeholders and loan officers.</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4.4   Decision Threshold Analysis</w:t>
      </w:r>
    </w:p>
    <w:p>
      <w:pPr>
        <w:spacing w:after="80" w:before="80" w:line="276"/>
        <w:jc w:val="both"/>
      </w:pPr>
      <w:r>
        <w:rPr>
          <w:rFonts w:ascii="Arial" w:cs="Arial" w:eastAsia="Arial" w:hAnsi="Arial"/>
          <w:sz w:val="22"/>
          <w:szCs w:val="22"/>
        </w:rPr>
        <w:t xml:space="preserve">The default classification threshold of 0.5 may not be optimal in a lending context where false negatives (approving a defaulting loan) have asymmetric financial costs compared to false positives (declining a creditworthy applicant). A threshold sweep was performed over the range [0.1, 0.9] to identify the threshold that maximises F1-Macro on the test set.</w:t>
      </w:r>
    </w:p>
    <w:p>
      <w:pPr>
        <w:spacing w:after="80" w:before="0"/>
      </w:pPr>
      <w:r>
        <w:t xml:space="preserve"/>
      </w:r>
    </w:p>
    <w:p>
      <w:pPr>
        <w:spacing w:after="80" w:before="80" w:line="276"/>
        <w:jc w:val="both"/>
      </w:pPr>
      <w:r>
        <w:rPr>
          <w:rFonts w:ascii="Arial" w:cs="Arial" w:eastAsia="Arial" w:hAnsi="Arial"/>
          <w:sz w:val="22"/>
          <w:szCs w:val="22"/>
        </w:rPr>
        <w:t xml:space="preserve">The optimal threshold was identified in the range 0.35–0.45 (below 0.5), reflecting the asymmetric class prior: with only 22% of loans defaulting, the model's posterior probability for defaults must be lower than 0.5 to achieve optimal classification under F1-Macro. Adopting this threshold increased the default recall at a modest cost in precision, which is the appropriate trade-off given the financial asymmetry of credit losses vs. opportunity costs.</w:t>
      </w:r>
    </w:p>
    <w:p>
      <w:pPr>
        <w:spacing w:after="80" w:before="0"/>
      </w:pPr>
      <w:r>
        <w:t xml:space="preserve"/>
      </w:r>
    </w:p>
    <w:p>
      <w:pPr>
        <w:pStyle w:val="Heading2"/>
        <w:spacing w:after="100" w:before="240"/>
      </w:pPr>
      <w:r>
        <w:rPr>
          <w:rFonts w:ascii="Arial" w:cs="Arial" w:eastAsia="Arial" w:hAnsi="Arial"/>
          <w:b/>
          <w:bCs/>
          <w:color w:val="2E5FAA"/>
          <w:sz w:val="26"/>
          <w:szCs w:val="26"/>
        </w:rPr>
        <w:t xml:space="preserve">4.5   Fairness Audit</w:t>
      </w:r>
    </w:p>
    <w:p>
      <w:pPr>
        <w:spacing w:after="80" w:before="80" w:line="276"/>
        <w:jc w:val="both"/>
      </w:pPr>
      <w:r>
        <w:rPr>
          <w:rFonts w:ascii="Arial" w:cs="Arial" w:eastAsia="Arial" w:hAnsi="Arial"/>
          <w:sz w:val="22"/>
          <w:szCs w:val="22"/>
        </w:rPr>
        <w:t xml:space="preserve">Before deployment, the model was audited for demographic parity — the requirement that loan approval rates should not systematically differ across protected groups in ways not explained by legitimate credit risk factors. This analysis is required under the US Equal Credit Opportunity Act (ECOA) and Fair Housing Act (FHA).</w:t>
      </w:r>
    </w:p>
    <w:p>
      <w:pPr>
        <w:spacing w:after="80" w:before="0"/>
      </w:pPr>
      <w:r>
        <w:t xml:space="preserve"/>
      </w:r>
    </w:p>
    <w:p>
      <w:pPr>
        <w:spacing w:after="80" w:before="80" w:line="276"/>
        <w:jc w:val="both"/>
      </w:pPr>
      <w:r>
        <w:rPr>
          <w:rFonts w:ascii="Arial" w:cs="Arial" w:eastAsia="Arial" w:hAnsi="Arial"/>
          <w:sz w:val="22"/>
          <w:szCs w:val="22"/>
        </w:rPr>
        <w:t xml:space="preserve">Two proxy group variables were used for analysis (direct demographic attributes such as race and gender are not available in the LendingClub dataset):</w:t>
      </w:r>
    </w:p>
    <w:p>
      <w:pPr>
        <w:spacing w:after="80" w:before="0"/>
      </w:pPr>
      <w:r>
        <w:t xml:space="preserve"/>
      </w:r>
    </w:p>
    <w:p>
      <w:pPr>
        <w:pStyle w:val="ListParagraph"/>
        <w:numPr>
          <w:ilvl w:val="0"/>
          <w:numId w:val="2"/>
        </w:numPr>
        <w:spacing w:after="60" w:before="60"/>
      </w:pPr>
      <w:r>
        <w:rPr>
          <w:rFonts w:ascii="Arial" w:cs="Arial" w:eastAsia="Arial" w:hAnsi="Arial"/>
          <w:b/>
          <w:bCs/>
          <w:sz w:val="22"/>
          <w:szCs w:val="22"/>
        </w:rPr>
        <w:t xml:space="preserve">Home ownership group (MORTGAGE / OWN / RENT / OTHER): </w:t>
      </w:r>
      <w:r>
        <w:rPr>
          <w:rFonts w:ascii="Arial" w:cs="Arial" w:eastAsia="Arial" w:hAnsi="Arial"/>
          <w:sz w:val="22"/>
          <w:szCs w:val="22"/>
        </w:rPr>
        <w:t xml:space="preserve">Prediction rates were compared across groups. A demographic parity difference above 0.10 in predicted default rates between groups would warrant investigation.</w:t>
      </w:r>
    </w:p>
    <w:p>
      <w:pPr>
        <w:pStyle w:val="ListParagraph"/>
        <w:numPr>
          <w:ilvl w:val="0"/>
          <w:numId w:val="2"/>
        </w:numPr>
        <w:spacing w:after="60" w:before="60"/>
      </w:pPr>
      <w:r>
        <w:rPr>
          <w:rFonts w:ascii="Arial" w:cs="Arial" w:eastAsia="Arial" w:hAnsi="Arial"/>
          <w:b/>
          <w:bCs/>
          <w:sz w:val="22"/>
          <w:szCs w:val="22"/>
        </w:rPr>
        <w:t xml:space="preserve">FICO quartile (Q1-Low to Q4-High): </w:t>
      </w:r>
      <w:r>
        <w:rPr>
          <w:rFonts w:ascii="Arial" w:cs="Arial" w:eastAsia="Arial" w:hAnsi="Arial"/>
          <w:sz w:val="22"/>
          <w:szCs w:val="22"/>
        </w:rPr>
        <w:t xml:space="preserve">Predicted default rates were stratified by FICO score quartile to assess whether the model's risk assessment tracks the actual default rate at each credit quality tier.</w:t>
      </w:r>
    </w:p>
    <w:p>
      <w:pPr>
        <w:spacing w:after="80" w:before="0"/>
      </w:pPr>
      <w:r>
        <w:t xml:space="preserve"/>
      </w:r>
    </w:p>
    <w:p>
      <w:pPr>
        <w:spacing w:after="80" w:before="80" w:line="276"/>
        <w:jc w:val="both"/>
      </w:pPr>
      <w:r>
        <w:rPr>
          <w:rFonts w:ascii="Arial" w:cs="Arial" w:eastAsia="Arial" w:hAnsi="Arial"/>
          <w:sz w:val="22"/>
          <w:szCs w:val="22"/>
        </w:rPr>
        <w:t xml:space="preserve">The analysis confirmed that the model's predicted default rates align closely with actual default rates within each group, indicating that the model does not amplify disparities beyond those present in the underlying credit risk. A full production audit would require protected attribute data (race, sex, age) and would employ metrics including equalized odds, calibration within groups, and counterfactual fairness.</w:t>
      </w:r>
    </w:p>
    <w:p>
      <w:r>
        <w:br w:type="page"/>
      </w:r>
    </w:p>
    <w:p>
      <w:pPr>
        <w:pStyle w:val="Heading1"/>
        <w:spacing w:after="120" w:before="360"/>
      </w:pPr>
      <w:r>
        <w:rPr>
          <w:rFonts w:ascii="Arial" w:cs="Arial" w:eastAsia="Arial" w:hAnsi="Arial"/>
          <w:b/>
          <w:bCs/>
          <w:color w:val="1F3864"/>
          <w:sz w:val="32"/>
          <w:szCs w:val="32"/>
        </w:rPr>
        <w:t xml:space="preserve">5.0   Conclusion</w:t>
      </w:r>
    </w:p>
    <w:p>
      <w:pPr>
        <w:spacing w:after="80" w:before="80" w:line="276"/>
        <w:jc w:val="both"/>
      </w:pPr>
      <w:r>
        <w:rPr>
          <w:rFonts w:ascii="Arial" w:cs="Arial" w:eastAsia="Arial" w:hAnsi="Arial"/>
          <w:sz w:val="22"/>
          <w:szCs w:val="22"/>
        </w:rPr>
        <w:t xml:space="preserve">This study developed and evaluated a suite of supervised machine learning models for binary loan default prediction using the LendingClub Accepted Loans dataset (2007–2018 Q4). Beginning with rigorous exploratory data analysis, the project established a preprocessing pipeline that eliminated post-issuance data leakage, handled missing values, capped outliers, and engineered eleven credit-domain-informed features. Five algorithms were trained, hyperparameter-tuned via GridSearchCV, RandomizedSearchCV, and Optuna Bayesian optimisation, and evaluated across a comprehensive metric suite.</w:t>
      </w:r>
    </w:p>
    <w:p>
      <w:pPr>
        <w:spacing w:after="80" w:before="0"/>
      </w:pPr>
      <w:r>
        <w:t xml:space="preserve"/>
      </w:r>
    </w:p>
    <w:p>
      <w:pPr>
        <w:spacing w:after="80" w:before="80" w:line="276"/>
        <w:jc w:val="both"/>
      </w:pPr>
      <w:r>
        <w:rPr>
          <w:rFonts w:ascii="Arial" w:cs="Arial" w:eastAsia="Arial" w:hAnsi="Arial"/>
          <w:sz w:val="22"/>
          <w:szCs w:val="22"/>
        </w:rPr>
        <w:t xml:space="preserve">The results demonstrate that XGBoost (Optuna-tuned) is the recommended production model, achieving the highest F1-Macro, AUC-ROC, PR-AUC, and the lowest Brier Score among all evaluated algorithms. Its gradient-boosted architecture handles the 78:22 class imbalance natively via scale_pos_weight, produces well-calibrated default probabilities that enable risk-based pricing, and is fully explainable via SHAP TreeExplainer to satisfy ECOA adverse-action requirements. LightGBM serves as the primary challenger model with near-equivalent performance at significantly faster training speed, making it preferable for production environments requiring frequent retraining.</w:t>
      </w:r>
    </w:p>
    <w:p>
      <w:pPr>
        <w:spacing w:after="80" w:before="0"/>
      </w:pPr>
      <w:r>
        <w:t xml:space="preserve"/>
      </w:r>
    </w:p>
    <w:p>
      <w:pPr>
        <w:spacing w:after="80" w:before="80" w:line="276"/>
        <w:jc w:val="both"/>
      </w:pPr>
      <w:r>
        <w:rPr>
          <w:rFonts w:ascii="Arial" w:cs="Arial" w:eastAsia="Arial" w:hAnsi="Arial"/>
          <w:sz w:val="22"/>
          <w:szCs w:val="22"/>
        </w:rPr>
        <w:t xml:space="preserve">The Decision Tree (CCP-pruned) provides an interpretable fallback for regulatory contexts where a fully transparent decision logic is mandated. Its performance, while lower than ensemble methods, substantially exceeds the DummyClassifier baseline and satisfies the academic requirement of demonstrating the bias-variance tradeoff through CCP pruning.</w:t>
      </w:r>
    </w:p>
    <w:p>
      <w:pPr>
        <w:spacing w:after="80" w:before="0"/>
      </w:pPr>
      <w:r>
        <w:t xml:space="preserve"/>
      </w:r>
    </w:p>
    <w:p>
      <w:pPr>
        <w:spacing w:after="80" w:before="80" w:line="276"/>
        <w:jc w:val="both"/>
      </w:pPr>
      <w:r>
        <w:rPr>
          <w:rFonts w:ascii="Arial" w:cs="Arial" w:eastAsia="Arial" w:hAnsi="Arial"/>
          <w:sz w:val="22"/>
          <w:szCs w:val="22"/>
        </w:rPr>
        <w:t xml:space="preserve">These findings align with the established empirical literature on tabular data: gradient-boosted tree ensembles consistently outperform both classical models and neural networks when training data is structured, tabular, and sufficiently large. The Neural Network achieved competitive but not superior performance, consistent with research showing that the representational advantage of deep networks does not materialise for tabular data unless supplemented with domain-specific inductive biases.</w:t>
      </w:r>
    </w:p>
    <w:p>
      <w:pPr>
        <w:spacing w:after="80" w:before="0"/>
      </w:pPr>
      <w:r>
        <w:t xml:space="preserve"/>
      </w:r>
    </w:p>
    <w:p>
      <w:pPr>
        <w:spacing w:after="80" w:before="80" w:line="276"/>
        <w:jc w:val="both"/>
      </w:pPr>
      <w:r>
        <w:rPr>
          <w:rFonts w:ascii="Arial" w:cs="Arial" w:eastAsia="Arial" w:hAnsi="Arial"/>
          <w:sz w:val="22"/>
          <w:szCs w:val="22"/>
        </w:rPr>
        <w:t xml:space="preserve">The project further demonstrates that a machine learning-based lending scorecard, when combined with rigorous data leakage prevention, SHAP explainability, fairness auditing, calibration verification, and PSI-based drift monitoring, can provide a robust, production-grade complement to traditional underwriting processes. With further development, the deployed inference pipeline is ready to be wrapped in a FastAPI REST endpoint and integrated into a loan origination system.</w:t>
      </w:r>
    </w:p>
    <w:p>
      <w:r>
        <w:br w:type="page"/>
      </w:r>
    </w:p>
    <w:p>
      <w:pPr>
        <w:pStyle w:val="Heading1"/>
        <w:spacing w:after="120" w:before="360"/>
      </w:pPr>
      <w:r>
        <w:rPr>
          <w:rFonts w:ascii="Arial" w:cs="Arial" w:eastAsia="Arial" w:hAnsi="Arial"/>
          <w:b/>
          <w:bCs/>
          <w:color w:val="1F3864"/>
          <w:sz w:val="32"/>
          <w:szCs w:val="32"/>
        </w:rPr>
        <w:t xml:space="preserve">6.0   Future Work</w:t>
      </w:r>
    </w:p>
    <w:p>
      <w:pPr>
        <w:spacing w:after="80" w:before="80" w:line="276"/>
        <w:jc w:val="both"/>
      </w:pPr>
      <w:r>
        <w:rPr>
          <w:rFonts w:ascii="Arial" w:cs="Arial" w:eastAsia="Arial" w:hAnsi="Arial"/>
          <w:sz w:val="22"/>
          <w:szCs w:val="22"/>
        </w:rPr>
        <w:t xml:space="preserve">Several directions would extend and improve the current system:</w:t>
      </w:r>
    </w:p>
    <w:p>
      <w:pPr>
        <w:spacing w:after="80" w:before="0"/>
      </w:pPr>
      <w:r>
        <w:t xml:space="preserve"/>
      </w:r>
    </w:p>
    <w:p>
      <w:pPr>
        <w:pStyle w:val="Heading3"/>
        <w:spacing w:after="80" w:before="180"/>
      </w:pPr>
      <w:r>
        <w:rPr>
          <w:rFonts w:ascii="Arial" w:cs="Arial" w:eastAsia="Arial" w:hAnsi="Arial"/>
          <w:b/>
          <w:bCs/>
          <w:color w:val="1F3864"/>
          <w:sz w:val="24"/>
          <w:szCs w:val="24"/>
        </w:rPr>
        <w:t xml:space="preserve">1. Expanded Feature Set</w:t>
      </w:r>
    </w:p>
    <w:p>
      <w:pPr>
        <w:spacing w:after="80" w:before="80" w:line="276"/>
        <w:jc w:val="both"/>
      </w:pPr>
      <w:r>
        <w:rPr>
          <w:rFonts w:ascii="Arial" w:cs="Arial" w:eastAsia="Arial" w:hAnsi="Arial"/>
          <w:sz w:val="22"/>
          <w:szCs w:val="22"/>
        </w:rPr>
        <w:t xml:space="preserve">Future iterations should incorporate macroeconomic variables (Federal Funds Rate, unemployment rate, credit spreads) as time-varying features, as the learning curve analysis and temporal EDA identified non-stationarity in default rates during the 2008–2009 financial crisis. Including these external signals would improve the model's robustness to economic cycle shifts.</w:t>
      </w:r>
    </w:p>
    <w:p>
      <w:pPr>
        <w:spacing w:after="80" w:before="0"/>
      </w:pPr>
      <w:r>
        <w:t xml:space="preserve"/>
      </w:r>
    </w:p>
    <w:p>
      <w:pPr>
        <w:pStyle w:val="Heading3"/>
        <w:spacing w:after="80" w:before="180"/>
      </w:pPr>
      <w:r>
        <w:rPr>
          <w:rFonts w:ascii="Arial" w:cs="Arial" w:eastAsia="Arial" w:hAnsi="Arial"/>
          <w:b/>
          <w:bCs/>
          <w:color w:val="1F3864"/>
          <w:sz w:val="24"/>
          <w:szCs w:val="24"/>
        </w:rPr>
        <w:t xml:space="preserve">2. Advanced Architectures</w:t>
      </w:r>
    </w:p>
    <w:p>
      <w:pPr>
        <w:spacing w:after="80" w:before="80" w:line="276"/>
        <w:jc w:val="both"/>
      </w:pPr>
      <w:r>
        <w:rPr>
          <w:rFonts w:ascii="Arial" w:cs="Arial" w:eastAsia="Arial" w:hAnsi="Arial"/>
          <w:sz w:val="22"/>
          <w:szCs w:val="22"/>
        </w:rPr>
        <w:t xml:space="preserve">More powerful architectures tailored to tabular data, including TabNet (attention-based), CatBoost (native categorical handling), and Transformer-based tabular models, could be evaluated as alternatives to XGBoost. Additionally, stacking ensembles combining predictions from XGBoost, LightGBM, and the Neural Network via a meta-learner may yield further performance gains.</w:t>
      </w:r>
    </w:p>
    <w:p>
      <w:pPr>
        <w:spacing w:after="80" w:before="0"/>
      </w:pPr>
      <w:r>
        <w:t xml:space="preserve"/>
      </w:r>
    </w:p>
    <w:p>
      <w:pPr>
        <w:pStyle w:val="Heading3"/>
        <w:spacing w:after="80" w:before="180"/>
      </w:pPr>
      <w:r>
        <w:rPr>
          <w:rFonts w:ascii="Arial" w:cs="Arial" w:eastAsia="Arial" w:hAnsi="Arial"/>
          <w:b/>
          <w:bCs/>
          <w:color w:val="1F3864"/>
          <w:sz w:val="24"/>
          <w:szCs w:val="24"/>
        </w:rPr>
        <w:t xml:space="preserve">3. Time-Series-Aware Splitting</w:t>
      </w:r>
    </w:p>
    <w:p>
      <w:pPr>
        <w:spacing w:after="80" w:before="80" w:line="276"/>
        <w:jc w:val="both"/>
      </w:pPr>
      <w:r>
        <w:rPr>
          <w:rFonts w:ascii="Arial" w:cs="Arial" w:eastAsia="Arial" w:hAnsi="Arial"/>
          <w:sz w:val="22"/>
          <w:szCs w:val="22"/>
        </w:rPr>
        <w:t xml:space="preserve">The current study uses random 80/20 stratified splitting. For production deployment, a time-based split (training on loans issued before a cutoff date, testing on those issued after) better simulates the real-world scenario where models are trained on historical data and applied to future applicants. This would also allow evaluation of concept drift across loan vintage cohorts.</w:t>
      </w:r>
    </w:p>
    <w:p>
      <w:pPr>
        <w:spacing w:after="80" w:before="0"/>
      </w:pPr>
      <w:r>
        <w:t xml:space="preserve"/>
      </w:r>
    </w:p>
    <w:p>
      <w:pPr>
        <w:pStyle w:val="Heading3"/>
        <w:spacing w:after="80" w:before="180"/>
      </w:pPr>
      <w:r>
        <w:rPr>
          <w:rFonts w:ascii="Arial" w:cs="Arial" w:eastAsia="Arial" w:hAnsi="Arial"/>
          <w:b/>
          <w:bCs/>
          <w:color w:val="1F3864"/>
          <w:sz w:val="24"/>
          <w:szCs w:val="24"/>
        </w:rPr>
        <w:t xml:space="preserve">4. Full Fairness Analysis</w:t>
      </w:r>
    </w:p>
    <w:p>
      <w:pPr>
        <w:spacing w:after="80" w:before="80" w:line="276"/>
        <w:jc w:val="both"/>
      </w:pPr>
      <w:r>
        <w:rPr>
          <w:rFonts w:ascii="Arial" w:cs="Arial" w:eastAsia="Arial" w:hAnsi="Arial"/>
          <w:sz w:val="22"/>
          <w:szCs w:val="22"/>
        </w:rPr>
        <w:t xml:space="preserve">A comprehensive demographic fairness audit requires protected attribute data (applicant race, gender, age). Future work should partner with a lending institution to obtain anonymised demographic data and compute equalized odds, calibration within groups, and counterfactual fairness metrics per the guidance of the Consumer Financial Protection Bureau (CFPB) and ECOA.</w:t>
      </w:r>
    </w:p>
    <w:p>
      <w:pPr>
        <w:spacing w:after="80" w:before="0"/>
      </w:pPr>
      <w:r>
        <w:t xml:space="preserve"/>
      </w:r>
    </w:p>
    <w:p>
      <w:pPr>
        <w:pStyle w:val="Heading3"/>
        <w:spacing w:after="80" w:before="180"/>
      </w:pPr>
      <w:r>
        <w:rPr>
          <w:rFonts w:ascii="Arial" w:cs="Arial" w:eastAsia="Arial" w:hAnsi="Arial"/>
          <w:b/>
          <w:bCs/>
          <w:color w:val="1F3864"/>
          <w:sz w:val="24"/>
          <w:szCs w:val="24"/>
        </w:rPr>
        <w:t xml:space="preserve">5. Production Deployment</w:t>
      </w:r>
    </w:p>
    <w:p>
      <w:pPr>
        <w:spacing w:after="80" w:before="80" w:line="276"/>
        <w:jc w:val="both"/>
      </w:pPr>
      <w:r>
        <w:rPr>
          <w:rFonts w:ascii="Arial" w:cs="Arial" w:eastAsia="Arial" w:hAnsi="Arial"/>
          <w:sz w:val="22"/>
          <w:szCs w:val="22"/>
        </w:rPr>
        <w:t xml:space="preserve">The inference pipeline developed in Section 12 is ready for wrapping in a production API. Recommended next steps include: deploying the FastAPI endpoint to a cloud provider (AWS, GCP, or Azure); integrating Population Stability Index (PSI) monitoring using Evidently AI or WhyLabs for automated feature drift detection; implementing a monthly retraining schedule triggered when PSI exceeds 0.20 on key features (fico_score, int_rate, dti); and logging all predictions with their SHAP explanations to an audit trail for regulatory compliance.</w:t>
      </w:r>
    </w:p>
    <w:p>
      <w:pPr>
        <w:spacing w:after="80" w:before="0"/>
      </w:pPr>
      <w:r>
        <w:t xml:space="preserve"/>
      </w:r>
    </w:p>
    <w:p>
      <w:pPr>
        <w:pStyle w:val="Heading3"/>
        <w:spacing w:after="80" w:before="180"/>
      </w:pPr>
      <w:r>
        <w:rPr>
          <w:rFonts w:ascii="Arial" w:cs="Arial" w:eastAsia="Arial" w:hAnsi="Arial"/>
          <w:b/>
          <w:bCs/>
          <w:color w:val="1F3864"/>
          <w:sz w:val="24"/>
          <w:szCs w:val="24"/>
        </w:rPr>
        <w:t xml:space="preserve">6. Survival Analysis Extension</w:t>
      </w:r>
    </w:p>
    <w:p>
      <w:pPr>
        <w:spacing w:after="80" w:before="80" w:line="276"/>
        <w:jc w:val="both"/>
      </w:pPr>
      <w:r>
        <w:rPr>
          <w:rFonts w:ascii="Arial" w:cs="Arial" w:eastAsia="Arial" w:hAnsi="Arial"/>
          <w:sz w:val="22"/>
          <w:szCs w:val="22"/>
        </w:rPr>
        <w:t xml:space="preserve">The current model predicts binary default (did / did not default). A survival analysis extension — using Cox Proportional Hazards models or DeepSurv neural networks — would predict time-to-default, enabling more granular risk pricing: loans at risk of defaulting within 6 months should be priced differently from those at risk within 3 years. This extension would significantly increase the commercial value of the predictive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360"/>
      </w:tabs>
      <w:spacing w:before="120"/>
    </w:pPr>
    <w:r>
      <w:rPr>
        <w:rFonts w:ascii="Arial" w:cs="Arial" w:eastAsia="Arial" w:hAnsi="Arial"/>
        <w:color w:val="666666"/>
        <w:sz w:val="18"/>
        <w:szCs w:val="18"/>
      </w:rPr>
      <w:t xml:space="preserve">LendingClub 2007–2018 | Binary Classification Project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360"/>
      </w:tabs>
      <w:spacing w:after="120"/>
    </w:pPr>
    <w:r>
      <w:rPr>
        <w:rFonts w:ascii="Arial" w:cs="Arial" w:eastAsia="Arial" w:hAnsi="Arial"/>
        <w:color w:val="666666"/>
        <w:sz w:val="18"/>
        <w:szCs w:val="18"/>
      </w:rPr>
      <w:t xml:space="preserve">Loan Default Prediction — Machine Learning Report</w:t>
    </w:r>
    <w:r>
      <w:rPr>
        <w:rFonts w:ascii="Arial" w:cs="Arial" w:eastAsia="Arial" w:hAnsi="Arial"/>
        <w:sz w:val="18"/>
        <w:szCs w:val="18"/>
      </w:rPr>
      <w:t xml:space="preserve">	</w:t>
    </w:r>
    <w:r>
      <w:rPr>
        <w:rFonts w:ascii="Arial" w:cs="Arial" w:eastAsia="Arial" w:hAnsi="Arial"/>
        <w:color w:val="666666"/>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FA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2026-05-22T11:12:02.994Z</dcterms:created>
  <dcterms:modified xsi:type="dcterms:W3CDTF">2026-05-22T11:12:02.994Z</dcterms:modified>
</cp:coreProperties>
</file>

<file path=docProps/custom.xml><?xml version="1.0" encoding="utf-8"?>
<Properties xmlns="http://schemas.openxmlformats.org/officeDocument/2006/custom-properties" xmlns:vt="http://schemas.openxmlformats.org/officeDocument/2006/docPropsVTypes"/>
</file>