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70DBD" w14:textId="77777777" w:rsidR="00252457" w:rsidRPr="009D26C2" w:rsidRDefault="009379D1" w:rsidP="001327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9D26C2">
        <w:rPr>
          <w:rFonts w:ascii="Times New Roman" w:hAnsi="Times New Roman" w:cs="Times New Roman"/>
          <w:b/>
          <w:bCs/>
          <w:sz w:val="28"/>
          <w:szCs w:val="24"/>
          <w:lang w:val="en-US"/>
        </w:rPr>
        <w:t>CHAPTER</w:t>
      </w:r>
      <w:r w:rsidR="007D4002" w:rsidRPr="009D26C2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8</w:t>
      </w:r>
    </w:p>
    <w:p w14:paraId="1106D910" w14:textId="77777777" w:rsidR="009379D1" w:rsidRPr="00ED58BD" w:rsidRDefault="009379D1" w:rsidP="001327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ED58BD">
        <w:rPr>
          <w:rFonts w:ascii="Times New Roman" w:hAnsi="Times New Roman" w:cs="Times New Roman"/>
          <w:b/>
          <w:bCs/>
          <w:sz w:val="28"/>
          <w:szCs w:val="24"/>
          <w:lang w:val="en-US"/>
        </w:rPr>
        <w:t>REFERENCES</w:t>
      </w:r>
    </w:p>
    <w:p w14:paraId="7D366032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>1.Wilkins J. How Industry 4.0 Is Improving Peoples’ Work-Life Balance. In: IMPO. 2018.</w:t>
      </w:r>
    </w:p>
    <w:p w14:paraId="2A156137" w14:textId="6708F92F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F48FC" w14:textId="5E4C5C3C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 xml:space="preserve">2.White A. 7 Ways AI is Improving Work-Life Balance. In: Technology Signals [Internet]. 2019 [cited 14 Nov 2019]. </w:t>
      </w:r>
    </w:p>
    <w:p w14:paraId="4045BA36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FA265" w14:textId="77777777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 xml:space="preserve">3.Ruževičius J,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Valiukaite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 xml:space="preserve"> J. Quality of Life and Quality of Work Life Balance: Case Study of Public and Private Sectors of Lithuania. Qual—Access to Success. 2017;18: 77–81.</w:t>
      </w:r>
    </w:p>
    <w:p w14:paraId="4490F12D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A73AA" w14:textId="078124BE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>4.Lewis S, Beauregard TA. The meanings of work-life balance: A cultural perspective. In: Johnson R, Shen W, Shockley KM, editors. The Cambridge handbook of the global work-family interface. Cambridge: Cambridge University Press.; 2018. pp. 720–732</w:t>
      </w:r>
    </w:p>
    <w:p w14:paraId="2BD8B438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41FFE" w14:textId="33869453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 xml:space="preserve">5.Tomaszewska R, Pawlicka A. Work and Life. Balance or Conflict? Theoretical Context vs. Research Results. J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Educ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 xml:space="preserve"> Soc Policy. 2019;6: 42–51. </w:t>
      </w:r>
    </w:p>
    <w:p w14:paraId="6D2E4D26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52C22" w14:textId="77777777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 xml:space="preserve">6.Kalliath T, Brough P. Work–life balance: A review of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themeaning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 xml:space="preserve"> of the balance construct. J Manag Organ. 2008;14: 323–327.</w:t>
      </w:r>
    </w:p>
    <w:p w14:paraId="11E4A3FF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E272D" w14:textId="77777777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>7.Meenaksh SP, Subrahmanyam V, Ravichandran K. The Importance of Work-Life-Balance. IOSR J Bus Manag. 2013;14: 31–35.</w:t>
      </w:r>
    </w:p>
    <w:p w14:paraId="03D6284D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8FC4F" w14:textId="49D4D183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 xml:space="preserve">8.Work-Life Balance. Checklist 193. In: Chartered Management Institute [Internet]. 2015. </w:t>
      </w:r>
    </w:p>
    <w:p w14:paraId="4DBF1390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4356C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>9.Clutterbuck D. Managing Work-life Balance: A Guide for HR in Achieving Organisational and Individual Change. CIPD Publishing; 2003.</w:t>
      </w:r>
    </w:p>
    <w:p w14:paraId="67823817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lastRenderedPageBreak/>
        <w:t>10.Campbell Clark Sue. Work/family border theory: A new theory of work/family balance. Hum Relations. 2000;53: 747–770.</w:t>
      </w:r>
    </w:p>
    <w:p w14:paraId="5D8238FE" w14:textId="77777777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A7709" w14:textId="365E5F7E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 xml:space="preserve">11.Greenhaus JH, Collins KM, Shaw JD. The relation between work-family balance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andquality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 xml:space="preserve"> of life. J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Vocat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Behav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>. 2003;63: 510–531.</w:t>
      </w:r>
    </w:p>
    <w:p w14:paraId="62D39958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684A6" w14:textId="77777777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 xml:space="preserve">12.Kirchmeyer C. Work–life initiatives: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Greedor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 xml:space="preserve"> benevolence regarding workers’ time. In: Cooper CL, Rousseau DM, editors. Trends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inOrganisational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>. Chichester: John Wiley &amp; Sons; 2000. pp. 79–93.</w:t>
      </w:r>
    </w:p>
    <w:p w14:paraId="47DB7F33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BC320" w14:textId="77777777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>13.Greenhaus GH, Allen TD. Work–family balance: A review and extension of the literature. Handbook of occupational health psychology. Washington, DC: American Psychological Association.; 2010. pp. 165–183.</w:t>
      </w:r>
    </w:p>
    <w:p w14:paraId="34E769FF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96EE6" w14:textId="77777777" w:rsid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DA">
        <w:rPr>
          <w:rFonts w:ascii="Times New Roman" w:hAnsi="Times New Roman" w:cs="Times New Roman"/>
          <w:sz w:val="24"/>
          <w:szCs w:val="24"/>
        </w:rPr>
        <w:t xml:space="preserve">14.Eby LT, Casper WJ, Lockwood A, Bordeaux C, Brinley A. Work and family research in IO/OB: Content analysis and review of the literature (1980–2002). J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Vocat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Behav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>. 2005;66.</w:t>
      </w:r>
    </w:p>
    <w:p w14:paraId="46264A53" w14:textId="77777777" w:rsidR="00F929DA" w:rsidRPr="00F929DA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53A52" w14:textId="2F4B4319" w:rsidR="00BF7192" w:rsidRPr="006345E9" w:rsidRDefault="00F929DA" w:rsidP="00F9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9DA">
        <w:rPr>
          <w:rFonts w:ascii="Times New Roman" w:hAnsi="Times New Roman" w:cs="Times New Roman"/>
          <w:sz w:val="24"/>
          <w:szCs w:val="24"/>
        </w:rPr>
        <w:t xml:space="preserve">15.Fleetwood S. Why work–life balance now? Int J Hum </w:t>
      </w:r>
      <w:proofErr w:type="spellStart"/>
      <w:r w:rsidRPr="00F929DA">
        <w:rPr>
          <w:rFonts w:ascii="Times New Roman" w:hAnsi="Times New Roman" w:cs="Times New Roman"/>
          <w:sz w:val="24"/>
          <w:szCs w:val="24"/>
        </w:rPr>
        <w:t>Resour</w:t>
      </w:r>
      <w:proofErr w:type="spellEnd"/>
      <w:r w:rsidRPr="00F929DA">
        <w:rPr>
          <w:rFonts w:ascii="Times New Roman" w:hAnsi="Times New Roman" w:cs="Times New Roman"/>
          <w:sz w:val="24"/>
          <w:szCs w:val="24"/>
        </w:rPr>
        <w:t xml:space="preserve"> Manag. 2007;18: 387–400.</w:t>
      </w:r>
    </w:p>
    <w:sectPr w:rsidR="00BF7192" w:rsidRPr="006345E9" w:rsidSect="00ED490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7469F"/>
    <w:multiLevelType w:val="hybridMultilevel"/>
    <w:tmpl w:val="23ACE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9D1"/>
    <w:rsid w:val="000128EC"/>
    <w:rsid w:val="0013275D"/>
    <w:rsid w:val="00236742"/>
    <w:rsid w:val="00252457"/>
    <w:rsid w:val="00257F44"/>
    <w:rsid w:val="002C1F48"/>
    <w:rsid w:val="0033227E"/>
    <w:rsid w:val="003B35DD"/>
    <w:rsid w:val="003B4339"/>
    <w:rsid w:val="00443AEC"/>
    <w:rsid w:val="00500205"/>
    <w:rsid w:val="006345E9"/>
    <w:rsid w:val="00656B17"/>
    <w:rsid w:val="00673DBE"/>
    <w:rsid w:val="00773040"/>
    <w:rsid w:val="007A59AA"/>
    <w:rsid w:val="007D4002"/>
    <w:rsid w:val="007E2E0D"/>
    <w:rsid w:val="007E5154"/>
    <w:rsid w:val="00842921"/>
    <w:rsid w:val="009379D1"/>
    <w:rsid w:val="00953888"/>
    <w:rsid w:val="009D26C2"/>
    <w:rsid w:val="00A04198"/>
    <w:rsid w:val="00B71FBC"/>
    <w:rsid w:val="00BF7192"/>
    <w:rsid w:val="00C1447B"/>
    <w:rsid w:val="00CD665D"/>
    <w:rsid w:val="00D20099"/>
    <w:rsid w:val="00D45789"/>
    <w:rsid w:val="00E44656"/>
    <w:rsid w:val="00EA0FA2"/>
    <w:rsid w:val="00ED4901"/>
    <w:rsid w:val="00ED58BD"/>
    <w:rsid w:val="00EF320C"/>
    <w:rsid w:val="00F92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5430"/>
  <w15:docId w15:val="{EADBAFC7-4695-42D1-BE54-9F98928F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F4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57F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HomePC</cp:lastModifiedBy>
  <cp:revision>18</cp:revision>
  <dcterms:created xsi:type="dcterms:W3CDTF">2021-02-18T10:55:00Z</dcterms:created>
  <dcterms:modified xsi:type="dcterms:W3CDTF">2024-03-30T07:09:00Z</dcterms:modified>
</cp:coreProperties>
</file>