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480"/>
              <w:left w:type="dxa" w:w="560"/>
              <w:bottom w:type="dxa" w:w="480"/>
              <w:right w:type="dxa" w:w="560"/>
            </w:tcMar>
          </w:tcPr>
          <w:p>
            <w:pPr>
              <w:spacing w:after="80" w:before="0"/>
              <w:jc w:val="center"/>
            </w:pPr>
            <w:r>
              <w:rPr>
                <w:rFonts w:ascii="Arial" w:cs="Arial" w:eastAsia="Arial" w:hAnsi="Arial"/>
                <w:b/>
                <w:bCs/>
                <w:color w:val="FFFFFF"/>
                <w:sz w:val="48"/>
                <w:szCs w:val="48"/>
              </w:rPr>
              <w:t xml:space="preserve">VERVE RETAIL CO.</w:t>
            </w:r>
          </w:p>
          <w:p>
            <w:pPr>
              <w:spacing w:after="80" w:before="0"/>
              <w:jc w:val="center"/>
            </w:pPr>
            <w:r>
              <w:rPr>
                <w:rFonts w:ascii="Arial" w:cs="Arial" w:eastAsia="Arial" w:hAnsi="Arial"/>
                <w:i/>
                <w:iCs/>
                <w:color w:val="BDD7EE"/>
                <w:sz w:val="28"/>
                <w:szCs w:val="28"/>
              </w:rPr>
              <w:t xml:space="preserve">Business Analytics Project — Executive Summary</w:t>
            </w:r>
          </w:p>
          <w:p>
            <w:pPr>
              <w:spacing w:after="0" w:before="60"/>
              <w:jc w:val="center"/>
            </w:pPr>
            <w:r>
              <w:rPr>
                <w:rFonts w:ascii="Arial" w:cs="Arial" w:eastAsia="Arial" w:hAnsi="Arial"/>
                <w:color w:val="D6E4F0"/>
                <w:sz w:val="22"/>
                <w:szCs w:val="22"/>
              </w:rPr>
              <w:t xml:space="preserve">Consolidated Findings &amp; Strategic Recommendations | January 2022 – December 2024</w:t>
            </w:r>
          </w:p>
        </w:tc>
      </w:tr>
    </w:tbl>
    <w:p>
      <w:pPr>
        <w:spacing w:after="0" w:before="280"/>
      </w:pPr>
      <w:r>
        <w:t xml:space="preserve"/>
      </w:r>
    </w:p>
    <w:p>
      <w:pPr>
        <w:pStyle w:val="Heading1"/>
        <w:pBdr>
          <w:bottom w:val="single" w:color="2E75B6" w:sz="8" w:space="4"/>
        </w:pBdr>
        <w:spacing w:after="120" w:before="400"/>
      </w:pPr>
      <w:r>
        <w:rPr>
          <w:rFonts w:ascii="Arial" w:cs="Arial" w:eastAsia="Arial" w:hAnsi="Arial"/>
          <w:b/>
          <w:bCs/>
          <w:color w:val="1F4E79"/>
          <w:sz w:val="32"/>
          <w:szCs w:val="32"/>
        </w:rPr>
        <w:t xml:space="preserve">About This Report</w:t>
      </w:r>
    </w:p>
    <w:p>
      <w:pPr>
        <w:spacing w:after="80" w:before="80"/>
      </w:pPr>
      <w:r>
        <w:rPr>
          <w:rFonts w:ascii="Arial" w:cs="Arial" w:eastAsia="Arial" w:hAnsi="Arial"/>
          <w:color w:val="1A1A2E"/>
          <w:sz w:val="21"/>
          <w:szCs w:val="21"/>
        </w:rPr>
        <w:t xml:space="preserve">This Executive Summary consolidates the findings and recommendations from Verve Retail Co.'s three-problem business analytics review, covering transaction data from January 2022 to December 2024. The analysis was conducted across three analytical workstreams — Product Return &amp; Refund Pattern Analysis, Store Performance &amp; Inventory Turnover Analysis, and Customer Segmentation via RFM Analysis — and is intended to provide leadership with a single reference document for strategic decision-making ahead of the 2025 expansion planning cycle.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9360"/>
            <w:gridSpan w:val="3"/>
            <w:tcBorders>
              <w:top w:val="single" w:color="BDC3C7" w:sz="1"/>
              <w:left w:val="single" w:color="BDC3C7" w:sz="1"/>
              <w:bottom w:val="single" w:color="BDC3C7" w:sz="1"/>
              <w:right w:val="single" w:color="BDC3C7" w:sz="1"/>
            </w:tcBorders>
            <w:shd w:fill="2E75B6" w:val="clear"/>
            <w:tcMar>
              <w:top w:type="dxa" w:w="100"/>
              <w:left w:type="dxa" w:w="160"/>
              <w:bottom w:type="dxa" w:w="100"/>
              <w:right w:type="dxa" w:w="80"/>
            </w:tcMar>
          </w:tcPr>
          <w:p>
            <w:r>
              <w:rPr>
                <w:rFonts w:ascii="Arial" w:cs="Arial" w:eastAsia="Arial" w:hAnsi="Arial"/>
                <w:b/>
                <w:bCs/>
                <w:color w:val="FFFFFF"/>
                <w:sz w:val="22"/>
                <w:szCs w:val="22"/>
              </w:rPr>
              <w:t xml:space="preserve">3-Year Network Summary: Key Performance Indicators</w:t>
            </w:r>
          </w:p>
        </w:tc>
      </w:tr>
      <w:tr>
        <w:tc>
          <w:tcPr>
            <w:tcW w:type="dxa" w:w="300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b/>
                <w:bCs/>
                <w:color w:val="1F4E79"/>
                <w:sz w:val="20"/>
                <w:szCs w:val="20"/>
              </w:rPr>
              <w:t xml:space="preserve">Total Revenue (3-year)</w:t>
            </w:r>
          </w:p>
        </w:tc>
        <w:tc>
          <w:tcPr>
            <w:tcW w:type="dxa" w:w="180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b/>
                <w:bCs/>
                <w:color w:val="2E75B6"/>
                <w:sz w:val="20"/>
                <w:szCs w:val="20"/>
              </w:rPr>
              <w:t xml:space="preserve">~$1.76M</w:t>
            </w:r>
          </w:p>
        </w:tc>
        <w:tc>
          <w:tcPr>
            <w:tcW w:type="dxa" w:w="456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color w:val="1A1A2E"/>
                <w:sz w:val="20"/>
                <w:szCs w:val="20"/>
              </w:rPr>
              <w:t xml:space="preserve">Across all 15 stores and 5 product categories (displayed as 2M in dashboard)</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b/>
                <w:bCs/>
                <w:color w:val="1F4E79"/>
                <w:sz w:val="20"/>
                <w:szCs w:val="20"/>
              </w:rPr>
              <w:t xml:space="preserve">Total Profit (3-year)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b/>
                <w:bCs/>
                <w:color w:val="2E75B6"/>
                <w:sz w:val="20"/>
                <w:szCs w:val="20"/>
              </w:rPr>
              <w:t xml:space="preserve">~$1.5M</w:t>
            </w:r>
          </w:p>
        </w:tc>
        <w:tc>
          <w:tcPr>
            <w:tcW w:type="dxa" w:w="4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color w:val="1A1A2E"/>
                <w:sz w:val="20"/>
                <w:szCs w:val="20"/>
              </w:rPr>
              <w:t xml:space="preserve">At a consistent 74–75% gross profit margin</w:t>
            </w:r>
          </w:p>
        </w:tc>
      </w:tr>
      <w:tr>
        <w:tc>
          <w:tcPr>
            <w:tcW w:type="dxa" w:w="300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b/>
                <w:bCs/>
                <w:color w:val="1F4E79"/>
                <w:sz w:val="20"/>
                <w:szCs w:val="20"/>
              </w:rPr>
              <w:t xml:space="preserve">Gross Profit Margin</w:t>
            </w:r>
          </w:p>
        </w:tc>
        <w:tc>
          <w:tcPr>
            <w:tcW w:type="dxa" w:w="180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b/>
                <w:bCs/>
                <w:color w:val="2E75B6"/>
                <w:sz w:val="20"/>
                <w:szCs w:val="20"/>
              </w:rPr>
              <w:t xml:space="preserve">74–75%</w:t>
            </w:r>
          </w:p>
        </w:tc>
        <w:tc>
          <w:tcPr>
            <w:tcW w:type="dxa" w:w="456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color w:val="1A1A2E"/>
                <w:sz w:val="20"/>
                <w:szCs w:val="20"/>
              </w:rPr>
              <w:t xml:space="preserve">Stable across all three years — a commercial strength</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b/>
                <w:bCs/>
                <w:color w:val="1F4E79"/>
                <w:sz w:val="20"/>
                <w:szCs w:val="20"/>
              </w:rPr>
              <w:t xml:space="preserve">Overall Return Rate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b/>
                <w:bCs/>
                <w:color w:val="2E75B6"/>
                <w:sz w:val="20"/>
                <w:szCs w:val="20"/>
              </w:rPr>
              <w:t xml:space="preserve">18.1%</w:t>
            </w:r>
          </w:p>
        </w:tc>
        <w:tc>
          <w:tcPr>
            <w:tcW w:type="dxa" w:w="4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color w:val="1A1A2E"/>
                <w:sz w:val="20"/>
                <w:szCs w:val="20"/>
              </w:rPr>
              <w:t xml:space="preserve">Persistent across 2022–2024 with no sustained improvement</w:t>
            </w:r>
          </w:p>
        </w:tc>
      </w:tr>
      <w:tr>
        <w:tc>
          <w:tcPr>
            <w:tcW w:type="dxa" w:w="300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b/>
                <w:bCs/>
                <w:color w:val="1F4E79"/>
                <w:sz w:val="20"/>
                <w:szCs w:val="20"/>
              </w:rPr>
              <w:t xml:space="preserve">Total Refund Value</w:t>
            </w:r>
          </w:p>
        </w:tc>
        <w:tc>
          <w:tcPr>
            <w:tcW w:type="dxa" w:w="180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b/>
                <w:bCs/>
                <w:color w:val="2E75B6"/>
                <w:sz w:val="20"/>
                <w:szCs w:val="20"/>
              </w:rPr>
              <w:t xml:space="preserve">$385K</w:t>
            </w:r>
          </w:p>
        </w:tc>
        <w:tc>
          <w:tcPr>
            <w:tcW w:type="dxa" w:w="456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color w:val="1A1A2E"/>
                <w:sz w:val="20"/>
                <w:szCs w:val="20"/>
              </w:rPr>
              <w:t xml:space="preserve">Cumulative across all categories — 19% of total revenue</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b/>
                <w:bCs/>
                <w:color w:val="1F4E79"/>
                <w:sz w:val="20"/>
                <w:szCs w:val="20"/>
              </w:rPr>
              <w:t xml:space="preserve">Total Active Customers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b/>
                <w:bCs/>
                <w:color w:val="2E75B6"/>
                <w:sz w:val="20"/>
                <w:szCs w:val="20"/>
              </w:rPr>
              <w:t xml:space="preserve">499</w:t>
            </w:r>
          </w:p>
        </w:tc>
        <w:tc>
          <w:tcPr>
            <w:tcW w:type="dxa" w:w="4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color w:val="1A1A2E"/>
                <w:sz w:val="20"/>
                <w:szCs w:val="20"/>
              </w:rPr>
              <w:t xml:space="preserve">Across all segments, 2022–2024</w:t>
            </w:r>
          </w:p>
        </w:tc>
      </w:tr>
      <w:tr>
        <w:tc>
          <w:tcPr>
            <w:tcW w:type="dxa" w:w="300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b/>
                <w:bCs/>
                <w:color w:val="1F4E79"/>
                <w:sz w:val="20"/>
                <w:szCs w:val="20"/>
              </w:rPr>
              <w:t xml:space="preserve">Network-Wide AOV</w:t>
            </w:r>
          </w:p>
        </w:tc>
        <w:tc>
          <w:tcPr>
            <w:tcW w:type="dxa" w:w="180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b/>
                <w:bCs/>
                <w:color w:val="2E75B6"/>
                <w:sz w:val="20"/>
                <w:szCs w:val="20"/>
              </w:rPr>
              <w:t xml:space="preserve">$716</w:t>
            </w:r>
          </w:p>
        </w:tc>
        <w:tc>
          <w:tcPr>
            <w:tcW w:type="dxa" w:w="456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color w:val="1A1A2E"/>
                <w:sz w:val="20"/>
                <w:szCs w:val="20"/>
              </w:rPr>
              <w:t xml:space="preserve">Average order value across all customers and segments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b/>
                <w:bCs/>
                <w:color w:val="1F4E79"/>
                <w:sz w:val="20"/>
                <w:szCs w:val="20"/>
              </w:rPr>
              <w:t xml:space="preserve">Network-Wide CLV</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b/>
                <w:bCs/>
                <w:color w:val="2E75B6"/>
                <w:sz w:val="20"/>
                <w:szCs w:val="20"/>
              </w:rPr>
              <w:t xml:space="preserve">$10,560</w:t>
            </w:r>
          </w:p>
        </w:tc>
        <w:tc>
          <w:tcPr>
            <w:tcW w:type="dxa" w:w="4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color w:val="1A1A2E"/>
                <w:sz w:val="20"/>
                <w:szCs w:val="20"/>
              </w:rPr>
              <w:t xml:space="preserve">Average 3-year customer lifetime value</w:t>
            </w:r>
          </w:p>
        </w:tc>
      </w:tr>
      <w:tr>
        <w:tc>
          <w:tcPr>
            <w:tcW w:type="dxa" w:w="300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b/>
                <w:bCs/>
                <w:color w:val="1F4E79"/>
                <w:sz w:val="20"/>
                <w:szCs w:val="20"/>
              </w:rPr>
              <w:t xml:space="preserve">No. of Stores</w:t>
            </w:r>
          </w:p>
        </w:tc>
        <w:tc>
          <w:tcPr>
            <w:tcW w:type="dxa" w:w="180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b/>
                <w:bCs/>
                <w:color w:val="2E75B6"/>
                <w:sz w:val="20"/>
                <w:szCs w:val="20"/>
              </w:rPr>
              <w:t xml:space="preserve">15</w:t>
            </w:r>
          </w:p>
        </w:tc>
        <w:tc>
          <w:tcPr>
            <w:tcW w:type="dxa" w:w="456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color w:val="1A1A2E"/>
                <w:sz w:val="20"/>
                <w:szCs w:val="20"/>
              </w:rPr>
              <w:t xml:space="preserve">14 physical stores across 10 US states + 1 online store</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b/>
                <w:bCs/>
                <w:color w:val="1F4E79"/>
                <w:sz w:val="20"/>
                <w:szCs w:val="20"/>
              </w:rPr>
              <w:t xml:space="preserve">Electronics Revenue Share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b/>
                <w:bCs/>
                <w:color w:val="2E75B6"/>
                <w:sz w:val="20"/>
                <w:szCs w:val="20"/>
              </w:rPr>
              <w:t xml:space="preserve">~45%</w:t>
            </w:r>
          </w:p>
        </w:tc>
        <w:tc>
          <w:tcPr>
            <w:tcW w:type="dxa" w:w="4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color w:val="1A1A2E"/>
                <w:sz w:val="20"/>
                <w:szCs w:val="20"/>
              </w:rPr>
              <w:t xml:space="preserve">Consistently the dominant category across all three years</w:t>
            </w:r>
          </w:p>
        </w:tc>
      </w:tr>
    </w:tbl>
    <w:p>
      <w:pPr>
        <w:pBdr>
          <w:bottom w:val="single" w:color="D6E4F0" w:sz="4" w:space="1"/>
        </w:pBdr>
        <w:spacing w:after="200" w:before="200"/>
      </w:pPr>
      <w:r>
        <w:t xml:space="preserve"/>
      </w:r>
    </w:p>
    <w:p>
      <w:pPr>
        <w:pStyle w:val="Heading1"/>
        <w:pBdr>
          <w:bottom w:val="single" w:color="2E75B6" w:sz="8" w:space="4"/>
        </w:pBdr>
        <w:spacing w:after="120" w:before="400"/>
      </w:pPr>
      <w:r>
        <w:rPr>
          <w:rFonts w:ascii="Arial" w:cs="Arial" w:eastAsia="Arial" w:hAnsi="Arial"/>
          <w:b/>
          <w:bCs/>
          <w:color w:val="1F4E79"/>
          <w:sz w:val="32"/>
          <w:szCs w:val="32"/>
        </w:rPr>
        <w:t xml:space="preserve">1. Revenue &amp; Profitability Overview</w:t>
      </w:r>
    </w:p>
    <w:p>
      <w:pPr>
        <w:pStyle w:val="Heading2"/>
        <w:spacing w:after="80" w:before="280"/>
      </w:pPr>
      <w:r>
        <w:rPr>
          <w:rFonts w:ascii="Arial" w:cs="Arial" w:eastAsia="Arial" w:hAnsi="Arial"/>
          <w:b/>
          <w:bCs/>
          <w:color w:val="2E75B6"/>
          <w:sz w:val="26"/>
          <w:szCs w:val="26"/>
        </w:rPr>
        <w:t xml:space="preserve">1.1 Year-Over-Year Revenue Performance</w:t>
      </w:r>
    </w:p>
    <w:p>
      <w:pPr>
        <w:spacing w:after="80" w:before="80"/>
      </w:pPr>
      <w:r>
        <w:rPr>
          <w:rFonts w:ascii="Arial" w:cs="Arial" w:eastAsia="Arial" w:hAnsi="Arial"/>
          <w:color w:val="1A1A2E"/>
          <w:sz w:val="21"/>
          <w:szCs w:val="21"/>
        </w:rPr>
        <w:t xml:space="preserve">The executive dashboard reveals a two-phase revenue trajectory across the analysis period. Verve grew strongly in 2023 — achieving its peak revenue of $624K, a 13.9% increase from the $548K 2022 baseline — before declining 5.6% to $589K in 2024. The 2024 decline reverses the 2023 growth and reduces total revenue back toward 2022 levels, raising the question of whether 2024 represents a temporary correction or the beginning of a sustained downward trend heading into 2025.</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400"/>
        <w:gridCol w:w="1000"/>
        <w:gridCol w:w="4560"/>
      </w:tblGrid>
      <w:tr>
        <w:tc>
          <w:tcPr>
            <w:tcW w:type="dxa" w:w="1000"/>
            <w:tcBorders>
              <w:top w:val="single" w:color="BDC3C7" w:sz="1"/>
              <w:left w:val="single" w:color="BDC3C7" w:sz="1"/>
              <w:bottom w:val="single" w:color="BDC3C7" w:sz="1"/>
              <w:right w:val="single" w:color="BDC3C7" w:sz="1"/>
            </w:tcBorders>
            <w:shd w:fill="2E75B6" w:val="clear"/>
            <w:tcMar>
              <w:top w:type="dxa" w:w="100"/>
              <w:left w:type="dxa" w:w="160"/>
              <w:bottom w:type="dxa" w:w="100"/>
              <w:right w:type="dxa" w:w="80"/>
            </w:tcMar>
          </w:tcPr>
          <w:p>
            <w:r>
              <w:rPr>
                <w:rFonts w:ascii="Arial" w:cs="Arial" w:eastAsia="Arial" w:hAnsi="Arial"/>
                <w:b/>
                <w:bCs/>
                <w:color w:val="FFFFFF"/>
                <w:sz w:val="20"/>
                <w:szCs w:val="20"/>
              </w:rPr>
              <w:t xml:space="preserve">Year</w:t>
            </w:r>
          </w:p>
        </w:tc>
        <w:tc>
          <w:tcPr>
            <w:tcW w:type="dxa" w:w="1400"/>
            <w:tcBorders>
              <w:top w:val="single" w:color="BDC3C7" w:sz="1"/>
              <w:left w:val="single" w:color="BDC3C7" w:sz="1"/>
              <w:bottom w:val="single" w:color="BDC3C7" w:sz="1"/>
              <w:right w:val="single" w:color="BDC3C7" w:sz="1"/>
            </w:tcBorders>
            <w:shd w:fill="2E75B6" w:val="clear"/>
            <w:tcMar>
              <w:top w:type="dxa" w:w="100"/>
              <w:left w:type="dxa" w:w="80"/>
              <w:bottom w:type="dxa" w:w="100"/>
              <w:right w:type="dxa" w:w="80"/>
            </w:tcMar>
          </w:tcPr>
          <w:p>
            <w:r>
              <w:rPr>
                <w:rFonts w:ascii="Arial" w:cs="Arial" w:eastAsia="Arial" w:hAnsi="Arial"/>
                <w:b/>
                <w:bCs/>
                <w:color w:val="FFFFFF"/>
                <w:sz w:val="20"/>
                <w:szCs w:val="20"/>
              </w:rPr>
              <w:t xml:space="preserve">Revenue</w:t>
            </w:r>
          </w:p>
        </w:tc>
        <w:tc>
          <w:tcPr>
            <w:tcW w:type="dxa" w:w="1400"/>
            <w:tcBorders>
              <w:top w:val="single" w:color="BDC3C7" w:sz="1"/>
              <w:left w:val="single" w:color="BDC3C7" w:sz="1"/>
              <w:bottom w:val="single" w:color="BDC3C7" w:sz="1"/>
              <w:right w:val="single" w:color="BDC3C7" w:sz="1"/>
            </w:tcBorders>
            <w:shd w:fill="2E75B6" w:val="clear"/>
            <w:tcMar>
              <w:top w:type="dxa" w:w="100"/>
              <w:left w:type="dxa" w:w="80"/>
              <w:bottom w:type="dxa" w:w="100"/>
              <w:right w:type="dxa" w:w="80"/>
            </w:tcMar>
          </w:tcPr>
          <w:p>
            <w:r>
              <w:rPr>
                <w:rFonts w:ascii="Arial" w:cs="Arial" w:eastAsia="Arial" w:hAnsi="Arial"/>
                <w:b/>
                <w:bCs/>
                <w:color w:val="FFFFFF"/>
                <w:sz w:val="20"/>
                <w:szCs w:val="20"/>
              </w:rPr>
              <w:t xml:space="preserve">Profit</w:t>
            </w:r>
          </w:p>
        </w:tc>
        <w:tc>
          <w:tcPr>
            <w:tcW w:type="dxa" w:w="1000"/>
            <w:tcBorders>
              <w:top w:val="single" w:color="BDC3C7" w:sz="1"/>
              <w:left w:val="single" w:color="BDC3C7" w:sz="1"/>
              <w:bottom w:val="single" w:color="BDC3C7" w:sz="1"/>
              <w:right w:val="single" w:color="BDC3C7" w:sz="1"/>
            </w:tcBorders>
            <w:shd w:fill="2E75B6" w:val="clear"/>
            <w:tcMar>
              <w:top w:type="dxa" w:w="100"/>
              <w:left w:type="dxa" w:w="80"/>
              <w:bottom w:type="dxa" w:w="100"/>
              <w:right w:type="dxa" w:w="80"/>
            </w:tcMar>
          </w:tcPr>
          <w:p>
            <w:r>
              <w:rPr>
                <w:rFonts w:ascii="Arial" w:cs="Arial" w:eastAsia="Arial" w:hAnsi="Arial"/>
                <w:b/>
                <w:bCs/>
                <w:color w:val="FFFFFF"/>
                <w:sz w:val="20"/>
                <w:szCs w:val="20"/>
              </w:rPr>
              <w:t xml:space="preserve">Margin</w:t>
            </w:r>
          </w:p>
        </w:tc>
        <w:tc>
          <w:tcPr>
            <w:tcW w:type="dxa" w:w="4560"/>
            <w:tcBorders>
              <w:top w:val="single" w:color="BDC3C7" w:sz="1"/>
              <w:left w:val="single" w:color="BDC3C7" w:sz="1"/>
              <w:bottom w:val="single" w:color="BDC3C7" w:sz="1"/>
              <w:right w:val="single" w:color="BDC3C7" w:sz="1"/>
            </w:tcBorders>
            <w:shd w:fill="2E75B6" w:val="clear"/>
            <w:tcMar>
              <w:top w:type="dxa" w:w="100"/>
              <w:left w:type="dxa" w:w="160"/>
              <w:bottom w:type="dxa" w:w="100"/>
              <w:right w:type="dxa" w:w="80"/>
            </w:tcMar>
          </w:tcPr>
          <w:p>
            <w:r>
              <w:rPr>
                <w:rFonts w:ascii="Arial" w:cs="Arial" w:eastAsia="Arial" w:hAnsi="Arial"/>
                <w:b/>
                <w:bCs/>
                <w:color w:val="FFFFFF"/>
                <w:sz w:val="20"/>
                <w:szCs w:val="20"/>
              </w:rPr>
              <w:t xml:space="preserve">Key Note</w:t>
            </w:r>
          </w:p>
        </w:tc>
      </w:tr>
      <w:tr>
        <w:tc>
          <w:tcPr>
            <w:tcW w:type="dxa" w:w="100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b/>
                <w:bCs/>
                <w:color w:val="1F4E79"/>
                <w:sz w:val="20"/>
                <w:szCs w:val="20"/>
              </w:rPr>
              <w:t xml:space="preserve">2022</w:t>
            </w:r>
          </w:p>
        </w:tc>
        <w:tc>
          <w:tcPr>
            <w:tcW w:type="dxa" w:w="1400"/>
            <w:tcBorders>
              <w:top w:val="single" w:color="BDC3C7" w:sz="1"/>
              <w:left w:val="single" w:color="BDC3C7" w:sz="1"/>
              <w:bottom w:val="single" w:color="BDC3C7" w:sz="1"/>
              <w:right w:val="single" w:color="BDC3C7" w:sz="1"/>
            </w:tcBorders>
            <w:shd w:fill="EBF3FB" w:val="clear"/>
            <w:tcMar>
              <w:top w:type="dxa" w:w="80"/>
              <w:left w:type="dxa" w:w="80"/>
              <w:bottom w:type="dxa" w:w="80"/>
              <w:right w:type="dxa" w:w="80"/>
            </w:tcMar>
          </w:tcPr>
          <w:p>
            <w:pPr>
              <w:jc w:val="center"/>
            </w:pPr>
            <w:r>
              <w:rPr>
                <w:rFonts w:ascii="Arial" w:cs="Arial" w:eastAsia="Arial" w:hAnsi="Arial"/>
                <w:b/>
                <w:bCs/>
                <w:color w:val="2E75B6"/>
                <w:sz w:val="20"/>
                <w:szCs w:val="20"/>
              </w:rPr>
              <w:t xml:space="preserve">$548K</w:t>
            </w:r>
          </w:p>
        </w:tc>
        <w:tc>
          <w:tcPr>
            <w:tcW w:type="dxa" w:w="1400"/>
            <w:tcBorders>
              <w:top w:val="single" w:color="BDC3C7" w:sz="1"/>
              <w:left w:val="single" w:color="BDC3C7" w:sz="1"/>
              <w:bottom w:val="single" w:color="BDC3C7" w:sz="1"/>
              <w:right w:val="single" w:color="BDC3C7" w:sz="1"/>
            </w:tcBorders>
            <w:shd w:fill="EBF3FB" w:val="clear"/>
            <w:tcMar>
              <w:top w:type="dxa" w:w="80"/>
              <w:left w:type="dxa" w:w="80"/>
              <w:bottom w:type="dxa" w:w="80"/>
              <w:right w:type="dxa" w:w="80"/>
            </w:tcMar>
          </w:tcPr>
          <w:p>
            <w:pPr>
              <w:jc w:val="center"/>
            </w:pPr>
            <w:r>
              <w:rPr>
                <w:rFonts w:ascii="Arial" w:cs="Arial" w:eastAsia="Arial" w:hAnsi="Arial"/>
                <w:color w:val="1A1A2E"/>
                <w:sz w:val="20"/>
                <w:szCs w:val="20"/>
              </w:rPr>
              <w:t xml:space="preserve">$399K</w:t>
            </w:r>
          </w:p>
        </w:tc>
        <w:tc>
          <w:tcPr>
            <w:tcW w:type="dxa" w:w="1000"/>
            <w:tcBorders>
              <w:top w:val="single" w:color="BDC3C7" w:sz="1"/>
              <w:left w:val="single" w:color="BDC3C7" w:sz="1"/>
              <w:bottom w:val="single" w:color="BDC3C7" w:sz="1"/>
              <w:right w:val="single" w:color="BDC3C7" w:sz="1"/>
            </w:tcBorders>
            <w:shd w:fill="EBF3FB" w:val="clear"/>
            <w:tcMar>
              <w:top w:type="dxa" w:w="80"/>
              <w:left w:type="dxa" w:w="80"/>
              <w:bottom w:type="dxa" w:w="80"/>
              <w:right w:type="dxa" w:w="80"/>
            </w:tcMar>
          </w:tcPr>
          <w:p>
            <w:pPr>
              <w:jc w:val="center"/>
            </w:pPr>
            <w:r>
              <w:rPr>
                <w:rFonts w:ascii="Arial" w:cs="Arial" w:eastAsia="Arial" w:hAnsi="Arial"/>
                <w:color w:val="1E8449"/>
                <w:sz w:val="20"/>
                <w:szCs w:val="20"/>
              </w:rPr>
              <w:t xml:space="preserve">73%</w:t>
            </w:r>
          </w:p>
        </w:tc>
        <w:tc>
          <w:tcPr>
            <w:tcW w:type="dxa" w:w="456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color w:val="1A1A2E"/>
                <w:sz w:val="20"/>
                <w:szCs w:val="20"/>
              </w:rPr>
              <w:t xml:space="preserve">Baseline — lowest revenue year. Profit margin slightly lower at 73%</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b/>
                <w:bCs/>
                <w:color w:val="1F4E79"/>
                <w:sz w:val="20"/>
                <w:szCs w:val="20"/>
              </w:rPr>
              <w:t xml:space="preserve">2023</w:t>
            </w:r>
          </w:p>
        </w:tc>
        <w:tc>
          <w:tcPr>
            <w:tcW w:type="dxa" w:w="14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b/>
                <w:bCs/>
                <w:color w:val="2E75B6"/>
                <w:sz w:val="20"/>
                <w:szCs w:val="20"/>
              </w:rPr>
              <w:t xml:space="preserve">$624K</w:t>
            </w:r>
          </w:p>
        </w:tc>
        <w:tc>
          <w:tcPr>
            <w:tcW w:type="dxa" w:w="14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color w:val="1A1A2E"/>
                <w:sz w:val="20"/>
                <w:szCs w:val="20"/>
              </w:rPr>
              <w:t xml:space="preserve">$469K</w:t>
            </w:r>
          </w:p>
        </w:tc>
        <w:tc>
          <w:tcPr>
            <w:tcW w:type="dxa" w:w="10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color w:val="1E8449"/>
                <w:sz w:val="20"/>
                <w:szCs w:val="20"/>
              </w:rPr>
              <w:t xml:space="preserve">75%</w:t>
            </w:r>
          </w:p>
        </w:tc>
        <w:tc>
          <w:tcPr>
            <w:tcW w:type="dxa" w:w="4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color w:val="1A1A2E"/>
                <w:sz w:val="20"/>
                <w:szCs w:val="20"/>
              </w:rPr>
              <w:t xml:space="preserve">+13.9% revenue growth vs 2022 — strongest year of the period. Margin improved to 75%</w:t>
            </w:r>
          </w:p>
        </w:tc>
      </w:tr>
      <w:tr>
        <w:tc>
          <w:tcPr>
            <w:tcW w:type="dxa" w:w="100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b/>
                <w:bCs/>
                <w:color w:val="1F4E79"/>
                <w:sz w:val="20"/>
                <w:szCs w:val="20"/>
              </w:rPr>
              <w:t xml:space="preserve">2024</w:t>
            </w:r>
          </w:p>
        </w:tc>
        <w:tc>
          <w:tcPr>
            <w:tcW w:type="dxa" w:w="1400"/>
            <w:tcBorders>
              <w:top w:val="single" w:color="BDC3C7" w:sz="1"/>
              <w:left w:val="single" w:color="BDC3C7" w:sz="1"/>
              <w:bottom w:val="single" w:color="BDC3C7" w:sz="1"/>
              <w:right w:val="single" w:color="BDC3C7" w:sz="1"/>
            </w:tcBorders>
            <w:shd w:fill="EBF3FB" w:val="clear"/>
            <w:tcMar>
              <w:top w:type="dxa" w:w="80"/>
              <w:left w:type="dxa" w:w="80"/>
              <w:bottom w:type="dxa" w:w="80"/>
              <w:right w:type="dxa" w:w="80"/>
            </w:tcMar>
          </w:tcPr>
          <w:p>
            <w:pPr>
              <w:jc w:val="center"/>
            </w:pPr>
            <w:r>
              <w:rPr>
                <w:rFonts w:ascii="Arial" w:cs="Arial" w:eastAsia="Arial" w:hAnsi="Arial"/>
                <w:b/>
                <w:bCs/>
                <w:color w:val="2E75B6"/>
                <w:sz w:val="20"/>
                <w:szCs w:val="20"/>
              </w:rPr>
              <w:t xml:space="preserve">$589K</w:t>
            </w:r>
          </w:p>
        </w:tc>
        <w:tc>
          <w:tcPr>
            <w:tcW w:type="dxa" w:w="1400"/>
            <w:tcBorders>
              <w:top w:val="single" w:color="BDC3C7" w:sz="1"/>
              <w:left w:val="single" w:color="BDC3C7" w:sz="1"/>
              <w:bottom w:val="single" w:color="BDC3C7" w:sz="1"/>
              <w:right w:val="single" w:color="BDC3C7" w:sz="1"/>
            </w:tcBorders>
            <w:shd w:fill="EBF3FB" w:val="clear"/>
            <w:tcMar>
              <w:top w:type="dxa" w:w="80"/>
              <w:left w:type="dxa" w:w="80"/>
              <w:bottom w:type="dxa" w:w="80"/>
              <w:right w:type="dxa" w:w="80"/>
            </w:tcMar>
          </w:tcPr>
          <w:p>
            <w:pPr>
              <w:jc w:val="center"/>
            </w:pPr>
            <w:r>
              <w:rPr>
                <w:rFonts w:ascii="Arial" w:cs="Arial" w:eastAsia="Arial" w:hAnsi="Arial"/>
                <w:color w:val="1A1A2E"/>
                <w:sz w:val="20"/>
                <w:szCs w:val="20"/>
              </w:rPr>
              <w:t xml:space="preserve">$433K</w:t>
            </w:r>
          </w:p>
        </w:tc>
        <w:tc>
          <w:tcPr>
            <w:tcW w:type="dxa" w:w="1000"/>
            <w:tcBorders>
              <w:top w:val="single" w:color="BDC3C7" w:sz="1"/>
              <w:left w:val="single" w:color="BDC3C7" w:sz="1"/>
              <w:bottom w:val="single" w:color="BDC3C7" w:sz="1"/>
              <w:right w:val="single" w:color="BDC3C7" w:sz="1"/>
            </w:tcBorders>
            <w:shd w:fill="EBF3FB" w:val="clear"/>
            <w:tcMar>
              <w:top w:type="dxa" w:w="80"/>
              <w:left w:type="dxa" w:w="80"/>
              <w:bottom w:type="dxa" w:w="80"/>
              <w:right w:type="dxa" w:w="80"/>
            </w:tcMar>
          </w:tcPr>
          <w:p>
            <w:pPr>
              <w:jc w:val="center"/>
            </w:pPr>
            <w:r>
              <w:rPr>
                <w:rFonts w:ascii="Arial" w:cs="Arial" w:eastAsia="Arial" w:hAnsi="Arial"/>
                <w:color w:val="1E8449"/>
                <w:sz w:val="20"/>
                <w:szCs w:val="20"/>
              </w:rPr>
              <w:t xml:space="preserve">74%</w:t>
            </w:r>
          </w:p>
        </w:tc>
        <w:tc>
          <w:tcPr>
            <w:tcW w:type="dxa" w:w="456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color w:val="1A1A2E"/>
                <w:sz w:val="20"/>
                <w:szCs w:val="20"/>
              </w:rPr>
              <w:t xml:space="preserve">-5.6% revenue decline vs 2023 — reversal after peak year. Margin holds at 74%</w:t>
            </w:r>
          </w:p>
        </w:tc>
      </w:tr>
    </w:tbl>
    <w:p>
      <w:pPr>
        <w:spacing w:after="0" w:before="160"/>
      </w:pPr>
      <w:r>
        <w:t xml:space="preserve"/>
      </w:r>
    </w:p>
    <w:p>
      <w:pPr>
        <w:spacing w:after="80" w:before="80"/>
      </w:pPr>
      <w:r>
        <w:rPr>
          <w:rFonts w:ascii="Arial" w:cs="Arial" w:eastAsia="Arial" w:hAnsi="Arial"/>
          <w:color w:val="1A1A2E"/>
          <w:sz w:val="21"/>
          <w:szCs w:val="21"/>
        </w:rPr>
        <w:t xml:space="preserve">Profit margin tells a more positive story than revenue alone. The 73% margin in 2022 improved to 75% in 2023 — Verve's peak performance year across both revenue and margin simultaneously. The 2024 decline brought margin back to 74%, still above the 2022 baseline. This stability indicates that Verve's underlying cost structure and pricing discipline have held — the 2024 revenue decline is a demand-side and retention problem, not a margin erosion problem. Verve is losing volume, not value per transaction.</w:t>
      </w:r>
    </w:p>
    <w:p>
      <w:pPr>
        <w:spacing w:after="0" w:before="80"/>
      </w:pPr>
      <w:r>
        <w:t xml:space="preserve"/>
      </w:r>
    </w:p>
    <w:p>
      <w:pPr>
        <w:pStyle w:val="Heading2"/>
        <w:spacing w:after="80" w:before="280"/>
      </w:pPr>
      <w:r>
        <w:rPr>
          <w:rFonts w:ascii="Arial" w:cs="Arial" w:eastAsia="Arial" w:hAnsi="Arial"/>
          <w:b/>
          <w:bCs/>
          <w:color w:val="2E75B6"/>
          <w:sz w:val="26"/>
          <w:szCs w:val="26"/>
        </w:rPr>
        <w:t xml:space="preserve">1.2 Monthly Revenue Patterns</w:t>
      </w:r>
    </w:p>
    <w:p>
      <w:pPr>
        <w:spacing w:after="80" w:before="80"/>
      </w:pPr>
      <w:r>
        <w:rPr>
          <w:rFonts w:ascii="Arial" w:cs="Arial" w:eastAsia="Arial" w:hAnsi="Arial"/>
          <w:color w:val="1A1A2E"/>
          <w:sz w:val="21"/>
          <w:szCs w:val="21"/>
        </w:rPr>
        <w:t xml:space="preserve">Monthly revenue patterns differ meaningfully across years, offering clues about the nature of the decline:</w:t>
      </w:r>
    </w:p>
    <w:p>
      <w:pPr>
        <w:spacing w:after="0" w:before="80"/>
      </w:pPr>
      <w:r>
        <w:t xml:space="preserve"/>
      </w:r>
    </w:p>
    <w:p>
      <w:pPr>
        <w:pStyle w:val="ListParagraph"/>
        <w:numPr>
          <w:ilvl w:val="0"/>
          <w:numId w:val="2"/>
        </w:numPr>
        <w:spacing w:after="60" w:before="60"/>
      </w:pPr>
      <w:r>
        <w:rPr>
          <w:rFonts w:ascii="Arial" w:cs="Arial" w:eastAsia="Arial" w:hAnsi="Arial"/>
          <w:color w:val="1A1A2E"/>
          <w:sz w:val="21"/>
          <w:szCs w:val="21"/>
        </w:rPr>
        <w:t xml:space="preserve">2022 — Monthly revenue averaged approximately $46K with a clear peak at March (~$63K) and a notable low at September (~$35K). The pattern is relatively smooth with no extreme swings, consistent with a stable but lower-revenue baseline year</w:t>
      </w:r>
    </w:p>
    <w:p>
      <w:pPr>
        <w:pStyle w:val="ListParagraph"/>
        <w:numPr>
          <w:ilvl w:val="0"/>
          <w:numId w:val="2"/>
        </w:numPr>
        <w:spacing w:after="60" w:before="60"/>
      </w:pPr>
      <w:r>
        <w:rPr>
          <w:rFonts w:ascii="Arial" w:cs="Arial" w:eastAsia="Arial" w:hAnsi="Arial"/>
          <w:color w:val="1A1A2E"/>
          <w:sz w:val="21"/>
          <w:szCs w:val="21"/>
        </w:rPr>
        <w:t xml:space="preserve">2023 — Monthly revenue averaged approximately $52K — the highest average of the three years, consistent with 2023 being the peak revenue year. A notable spike occurred at month 9 (~$75K) followed immediately by the sharpest single-month drop of the year at month 10 (~$37K), creating the most dramatic month-to-month swing of the analysis period</w:t>
      </w:r>
    </w:p>
    <w:p>
      <w:pPr>
        <w:pStyle w:val="ListParagraph"/>
        <w:numPr>
          <w:ilvl w:val="0"/>
          <w:numId w:val="2"/>
        </w:numPr>
        <w:spacing w:after="60" w:before="60"/>
      </w:pPr>
      <w:r>
        <w:rPr>
          <w:rFonts w:ascii="Arial" w:cs="Arial" w:eastAsia="Arial" w:hAnsi="Arial"/>
          <w:color w:val="1A1A2E"/>
          <w:sz w:val="21"/>
          <w:szCs w:val="21"/>
        </w:rPr>
        <w:t xml:space="preserve">2024 — Monthly revenue averaged approximately $49K — between 2022 and 2023 averages. A spike at month 2 (~$62K) was followed by volatility throughout the year, with a December uptick suggesting possible end-of-year recovery. However the overall average is lower than 2023 confirming the year-level decline</w:t>
      </w:r>
    </w:p>
    <w:p>
      <w:pPr>
        <w:spacing w:after="0" w:before="80"/>
      </w:pPr>
      <w:r>
        <w:t xml:space="preserve"/>
      </w:r>
    </w:p>
    <w:p>
      <w:pPr>
        <w:spacing w:after="80" w:before="80"/>
      </w:pPr>
      <w:r>
        <w:rPr>
          <w:rFonts w:ascii="Arial" w:cs="Arial" w:eastAsia="Arial" w:hAnsi="Arial"/>
          <w:color w:val="1A1A2E"/>
          <w:sz w:val="21"/>
          <w:szCs w:val="21"/>
        </w:rPr>
        <w:t xml:space="preserve">Comparing 2022 to 2024, monthly revenue volatility has increased — 2022 showed a relatively smooth trajectory while 2024 shows more frequent peaks and troughs within each half of the year. This increased volatility makes forward planning and inventory management progressively harder as the business cannot rely on a stable monthly revenue baseline, even in years where the annual total is comparable to 2022 levels.</w:t>
      </w:r>
    </w:p>
    <w:p>
      <w:pPr>
        <w:pBdr>
          <w:bottom w:val="single" w:color="D6E4F0" w:sz="4" w:space="1"/>
        </w:pBdr>
        <w:spacing w:after="200" w:before="200"/>
      </w:pPr>
      <w:r>
        <w:t xml:space="preserve"/>
      </w:r>
    </w:p>
    <w:p>
      <w:pPr>
        <w:pStyle w:val="Heading1"/>
        <w:pBdr>
          <w:bottom w:val="single" w:color="2E75B6" w:sz="8" w:space="4"/>
        </w:pBdr>
        <w:spacing w:after="120" w:before="400"/>
      </w:pPr>
      <w:r>
        <w:rPr>
          <w:rFonts w:ascii="Arial" w:cs="Arial" w:eastAsia="Arial" w:hAnsi="Arial"/>
          <w:b/>
          <w:bCs/>
          <w:color w:val="1F4E79"/>
          <w:sz w:val="32"/>
          <w:szCs w:val="32"/>
        </w:rPr>
        <w:t xml:space="preserve">2. Revenue by Product Category</w:t>
      </w:r>
    </w:p>
    <w:p>
      <w:pPr>
        <w:spacing w:after="80" w:before="80"/>
      </w:pPr>
      <w:r>
        <w:rPr>
          <w:rFonts w:ascii="Arial" w:cs="Arial" w:eastAsia="Arial" w:hAnsi="Arial"/>
          <w:color w:val="1A1A2E"/>
          <w:sz w:val="21"/>
          <w:szCs w:val="21"/>
        </w:rPr>
        <w:t xml:space="preserve">Electronics dominates Verve's revenue mix across all three years, consistently accounting for approximately 45% of total annual revenue. The category hierarchy has remained stable across 2022–2024 with no meaningful shift in relative category contribution: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800"/>
        <w:gridCol w:w="5260"/>
      </w:tblGrid>
      <w:tr>
        <w:tc>
          <w:tcPr>
            <w:tcW w:type="dxa" w:w="2000"/>
            <w:tcBorders>
              <w:top w:val="single" w:color="BDC3C7" w:sz="1"/>
              <w:left w:val="single" w:color="BDC3C7" w:sz="1"/>
              <w:bottom w:val="single" w:color="BDC3C7" w:sz="1"/>
              <w:right w:val="single" w:color="BDC3C7" w:sz="1"/>
            </w:tcBorders>
            <w:shd w:fill="2E75B6" w:val="clear"/>
            <w:tcMar>
              <w:top w:type="dxa" w:w="100"/>
              <w:left w:type="dxa" w:w="160"/>
              <w:bottom w:type="dxa" w:w="100"/>
              <w:right w:type="dxa" w:w="80"/>
            </w:tcMar>
          </w:tcPr>
          <w:p>
            <w:r>
              <w:rPr>
                <w:rFonts w:ascii="Arial" w:cs="Arial" w:eastAsia="Arial" w:hAnsi="Arial"/>
                <w:b/>
                <w:bCs/>
                <w:color w:val="FFFFFF"/>
                <w:sz w:val="19"/>
                <w:szCs w:val="19"/>
              </w:rPr>
              <w:t xml:space="preserve">Category</w:t>
            </w:r>
          </w:p>
        </w:tc>
        <w:tc>
          <w:tcPr>
            <w:tcW w:type="dxa" w:w="1300"/>
            <w:tcBorders>
              <w:top w:val="single" w:color="BDC3C7" w:sz="1"/>
              <w:left w:val="single" w:color="BDC3C7" w:sz="1"/>
              <w:bottom w:val="single" w:color="BDC3C7" w:sz="1"/>
              <w:right w:val="single" w:color="BDC3C7" w:sz="1"/>
            </w:tcBorders>
            <w:shd w:fill="2E75B6" w:val="clear"/>
            <w:tcMar>
              <w:top w:type="dxa" w:w="100"/>
              <w:left w:type="dxa" w:w="80"/>
              <w:bottom w:type="dxa" w:w="100"/>
              <w:right w:type="dxa" w:w="80"/>
            </w:tcMar>
          </w:tcPr>
          <w:p>
            <w:r>
              <w:rPr>
                <w:rFonts w:ascii="Arial" w:cs="Arial" w:eastAsia="Arial" w:hAnsi="Arial"/>
                <w:b/>
                <w:bCs/>
                <w:color w:val="FFFFFF"/>
                <w:sz w:val="19"/>
                <w:szCs w:val="19"/>
              </w:rPr>
              <w:t xml:space="preserve">3-yr Revenue</w:t>
            </w:r>
          </w:p>
        </w:tc>
        <w:tc>
          <w:tcPr>
            <w:tcW w:type="dxa" w:w="800"/>
            <w:tcBorders>
              <w:top w:val="single" w:color="BDC3C7" w:sz="1"/>
              <w:left w:val="single" w:color="BDC3C7" w:sz="1"/>
              <w:bottom w:val="single" w:color="BDC3C7" w:sz="1"/>
              <w:right w:val="single" w:color="BDC3C7" w:sz="1"/>
            </w:tcBorders>
            <w:shd w:fill="2E75B6" w:val="clear"/>
            <w:tcMar>
              <w:top w:type="dxa" w:w="100"/>
              <w:left w:type="dxa" w:w="80"/>
              <w:bottom w:type="dxa" w:w="100"/>
              <w:right w:type="dxa" w:w="80"/>
            </w:tcMar>
          </w:tcPr>
          <w:p>
            <w:r>
              <w:rPr>
                <w:rFonts w:ascii="Arial" w:cs="Arial" w:eastAsia="Arial" w:hAnsi="Arial"/>
                <w:b/>
                <w:bCs/>
                <w:color w:val="FFFFFF"/>
                <w:sz w:val="19"/>
                <w:szCs w:val="19"/>
              </w:rPr>
              <w:t xml:space="preserve">Share</w:t>
            </w:r>
          </w:p>
        </w:tc>
        <w:tc>
          <w:tcPr>
            <w:tcW w:type="dxa" w:w="5260"/>
            <w:tcBorders>
              <w:top w:val="single" w:color="BDC3C7" w:sz="1"/>
              <w:left w:val="single" w:color="BDC3C7" w:sz="1"/>
              <w:bottom w:val="single" w:color="BDC3C7" w:sz="1"/>
              <w:right w:val="single" w:color="BDC3C7" w:sz="1"/>
            </w:tcBorders>
            <w:shd w:fill="2E75B6" w:val="clear"/>
            <w:tcMar>
              <w:top w:type="dxa" w:w="100"/>
              <w:left w:type="dxa" w:w="160"/>
              <w:bottom w:type="dxa" w:w="100"/>
              <w:right w:type="dxa" w:w="80"/>
            </w:tcMar>
          </w:tcPr>
          <w:p>
            <w:r>
              <w:rPr>
                <w:rFonts w:ascii="Arial" w:cs="Arial" w:eastAsia="Arial" w:hAnsi="Arial"/>
                <w:b/>
                <w:bCs/>
                <w:color w:val="FFFFFF"/>
                <w:sz w:val="19"/>
                <w:szCs w:val="19"/>
              </w:rPr>
              <w:t xml:space="preserve">Strategic Note</w:t>
            </w:r>
          </w:p>
        </w:tc>
      </w:tr>
      <w:tr>
        <w:tc>
          <w:tcPr>
            <w:tcW w:type="dxa" w:w="200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b/>
                <w:bCs/>
                <w:color w:val="1A1A2E"/>
                <w:sz w:val="19"/>
                <w:szCs w:val="19"/>
              </w:rPr>
              <w:t xml:space="preserve">Electronics</w:t>
            </w:r>
          </w:p>
        </w:tc>
        <w:tc>
          <w:tcPr>
            <w:tcW w:type="dxa" w:w="1300"/>
            <w:tcBorders>
              <w:top w:val="single" w:color="BDC3C7" w:sz="1"/>
              <w:left w:val="single" w:color="BDC3C7" w:sz="1"/>
              <w:bottom w:val="single" w:color="BDC3C7" w:sz="1"/>
              <w:right w:val="single" w:color="BDC3C7" w:sz="1"/>
            </w:tcBorders>
            <w:shd w:fill="EBF3FB" w:val="clear"/>
            <w:tcMar>
              <w:top w:type="dxa" w:w="80"/>
              <w:left w:type="dxa" w:w="80"/>
              <w:bottom w:type="dxa" w:w="80"/>
              <w:right w:type="dxa" w:w="80"/>
            </w:tcMar>
          </w:tcPr>
          <w:p>
            <w:pPr>
              <w:jc w:val="center"/>
            </w:pPr>
            <w:r>
              <w:rPr>
                <w:rFonts w:ascii="Arial" w:cs="Arial" w:eastAsia="Arial" w:hAnsi="Arial"/>
                <w:b/>
                <w:bCs/>
                <w:color w:val="2E75B6"/>
                <w:sz w:val="19"/>
                <w:szCs w:val="19"/>
              </w:rPr>
              <w:t xml:space="preserve">~$900K</w:t>
            </w:r>
          </w:p>
        </w:tc>
        <w:tc>
          <w:tcPr>
            <w:tcW w:type="dxa" w:w="800"/>
            <w:tcBorders>
              <w:top w:val="single" w:color="BDC3C7" w:sz="1"/>
              <w:left w:val="single" w:color="BDC3C7" w:sz="1"/>
              <w:bottom w:val="single" w:color="BDC3C7" w:sz="1"/>
              <w:right w:val="single" w:color="BDC3C7" w:sz="1"/>
            </w:tcBorders>
            <w:shd w:fill="EBF3FB" w:val="clear"/>
            <w:tcMar>
              <w:top w:type="dxa" w:w="80"/>
              <w:left w:type="dxa" w:w="80"/>
              <w:bottom w:type="dxa" w:w="80"/>
              <w:right w:type="dxa" w:w="80"/>
            </w:tcMar>
          </w:tcPr>
          <w:p>
            <w:pPr>
              <w:jc w:val="center"/>
            </w:pPr>
            <w:r>
              <w:rPr>
                <w:rFonts w:ascii="Arial" w:cs="Arial" w:eastAsia="Arial" w:hAnsi="Arial"/>
                <w:color w:val="1A1A2E"/>
                <w:sz w:val="19"/>
                <w:szCs w:val="19"/>
              </w:rPr>
              <w:t xml:space="preserve">~45%</w:t>
            </w:r>
          </w:p>
        </w:tc>
        <w:tc>
          <w:tcPr>
            <w:tcW w:type="dxa" w:w="526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color w:val="1A1A2E"/>
                <w:sz w:val="19"/>
                <w:szCs w:val="19"/>
              </w:rPr>
              <w:t xml:space="preserve">Highest revenue and highest refund loss ($164K). Single most important category for both revenue and returns management.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b/>
                <w:bCs/>
                <w:color w:val="1A1A2E"/>
                <w:sz w:val="19"/>
                <w:szCs w:val="19"/>
              </w:rPr>
              <w:t xml:space="preserve">Home &amp; Kitchen</w:t>
            </w:r>
          </w:p>
        </w:tc>
        <w:tc>
          <w:tcPr>
            <w:tcW w:type="dxa" w:w="13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b/>
                <w:bCs/>
                <w:color w:val="2E75B6"/>
                <w:sz w:val="19"/>
                <w:szCs w:val="19"/>
              </w:rPr>
              <w:t xml:space="preserve">~$600K</w:t>
            </w:r>
          </w:p>
        </w:tc>
        <w:tc>
          <w:tcPr>
            <w:tcW w:type="dxa" w:w="8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color w:val="1A1A2E"/>
                <w:sz w:val="19"/>
                <w:szCs w:val="19"/>
              </w:rPr>
              <w:t xml:space="preserve">~30%</w:t>
            </w:r>
          </w:p>
        </w:tc>
        <w:tc>
          <w:tcPr>
            <w:tcW w:type="dxa" w:w="52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color w:val="1A1A2E"/>
                <w:sz w:val="19"/>
                <w:szCs w:val="19"/>
              </w:rPr>
              <w:t xml:space="preserve">Second highest revenue. Primarily impacted by delivery-related returns. Highest Reorder Risk proportion (9.17%) across inventory.</w:t>
            </w:r>
          </w:p>
        </w:tc>
      </w:tr>
      <w:tr>
        <w:tc>
          <w:tcPr>
            <w:tcW w:type="dxa" w:w="200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b/>
                <w:bCs/>
                <w:color w:val="1A1A2E"/>
                <w:sz w:val="19"/>
                <w:szCs w:val="19"/>
              </w:rPr>
              <w:t xml:space="preserve">Sports &amp; Outdoors</w:t>
            </w:r>
          </w:p>
        </w:tc>
        <w:tc>
          <w:tcPr>
            <w:tcW w:type="dxa" w:w="1300"/>
            <w:tcBorders>
              <w:top w:val="single" w:color="BDC3C7" w:sz="1"/>
              <w:left w:val="single" w:color="BDC3C7" w:sz="1"/>
              <w:bottom w:val="single" w:color="BDC3C7" w:sz="1"/>
              <w:right w:val="single" w:color="BDC3C7" w:sz="1"/>
            </w:tcBorders>
            <w:shd w:fill="EBF3FB" w:val="clear"/>
            <w:tcMar>
              <w:top w:type="dxa" w:w="80"/>
              <w:left w:type="dxa" w:w="80"/>
              <w:bottom w:type="dxa" w:w="80"/>
              <w:right w:type="dxa" w:w="80"/>
            </w:tcMar>
          </w:tcPr>
          <w:p>
            <w:pPr>
              <w:jc w:val="center"/>
            </w:pPr>
            <w:r>
              <w:rPr>
                <w:rFonts w:ascii="Arial" w:cs="Arial" w:eastAsia="Arial" w:hAnsi="Arial"/>
                <w:b/>
                <w:bCs/>
                <w:color w:val="2E75B6"/>
                <w:sz w:val="19"/>
                <w:szCs w:val="19"/>
              </w:rPr>
              <w:t xml:space="preserve">~$340K</w:t>
            </w:r>
          </w:p>
        </w:tc>
        <w:tc>
          <w:tcPr>
            <w:tcW w:type="dxa" w:w="800"/>
            <w:tcBorders>
              <w:top w:val="single" w:color="BDC3C7" w:sz="1"/>
              <w:left w:val="single" w:color="BDC3C7" w:sz="1"/>
              <w:bottom w:val="single" w:color="BDC3C7" w:sz="1"/>
              <w:right w:val="single" w:color="BDC3C7" w:sz="1"/>
            </w:tcBorders>
            <w:shd w:fill="EBF3FB" w:val="clear"/>
            <w:tcMar>
              <w:top w:type="dxa" w:w="80"/>
              <w:left w:type="dxa" w:w="80"/>
              <w:bottom w:type="dxa" w:w="80"/>
              <w:right w:type="dxa" w:w="80"/>
            </w:tcMar>
          </w:tcPr>
          <w:p>
            <w:pPr>
              <w:jc w:val="center"/>
            </w:pPr>
            <w:r>
              <w:rPr>
                <w:rFonts w:ascii="Arial" w:cs="Arial" w:eastAsia="Arial" w:hAnsi="Arial"/>
                <w:color w:val="1A1A2E"/>
                <w:sz w:val="19"/>
                <w:szCs w:val="19"/>
              </w:rPr>
              <w:t xml:space="preserve">~17%</w:t>
            </w:r>
          </w:p>
        </w:tc>
        <w:tc>
          <w:tcPr>
            <w:tcW w:type="dxa" w:w="526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color w:val="1A1A2E"/>
                <w:sz w:val="19"/>
                <w:szCs w:val="19"/>
              </w:rPr>
              <w:t xml:space="preserve">Third category — return rate driven by shipping damage, defective products, and size/fit issues.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b/>
                <w:bCs/>
                <w:color w:val="1A1A2E"/>
                <w:sz w:val="19"/>
                <w:szCs w:val="19"/>
              </w:rPr>
              <w:t xml:space="preserve">Clothing</w:t>
            </w:r>
          </w:p>
        </w:tc>
        <w:tc>
          <w:tcPr>
            <w:tcW w:type="dxa" w:w="13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b/>
                <w:bCs/>
                <w:color w:val="2E75B6"/>
                <w:sz w:val="19"/>
                <w:szCs w:val="19"/>
              </w:rPr>
              <w:t xml:space="preserve">~$100K</w:t>
            </w:r>
          </w:p>
        </w:tc>
        <w:tc>
          <w:tcPr>
            <w:tcW w:type="dxa" w:w="8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color w:val="1A1A2E"/>
                <w:sz w:val="19"/>
                <w:szCs w:val="19"/>
              </w:rPr>
              <w:t xml:space="preserve">~5%</w:t>
            </w:r>
          </w:p>
        </w:tc>
        <w:tc>
          <w:tcPr>
            <w:tcW w:type="dxa" w:w="52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80"/>
            </w:tcMar>
          </w:tcPr>
          <w:p>
            <w:r>
              <w:rPr>
                <w:rFonts w:ascii="Arial" w:cs="Arial" w:eastAsia="Arial" w:hAnsi="Arial"/>
                <w:color w:val="1A1A2E"/>
                <w:sz w:val="19"/>
                <w:szCs w:val="19"/>
              </w:rPr>
              <w:t xml:space="preserve">Fourth — returns largely driven by size/fit issues, inherent to apparel category.</w:t>
            </w:r>
          </w:p>
        </w:tc>
      </w:tr>
      <w:tr>
        <w:tc>
          <w:tcPr>
            <w:tcW w:type="dxa" w:w="200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b/>
                <w:bCs/>
                <w:color w:val="1A1A2E"/>
                <w:sz w:val="19"/>
                <w:szCs w:val="19"/>
              </w:rPr>
              <w:t xml:space="preserve">Beauty &amp; Personal Care</w:t>
            </w:r>
          </w:p>
        </w:tc>
        <w:tc>
          <w:tcPr>
            <w:tcW w:type="dxa" w:w="1300"/>
            <w:tcBorders>
              <w:top w:val="single" w:color="BDC3C7" w:sz="1"/>
              <w:left w:val="single" w:color="BDC3C7" w:sz="1"/>
              <w:bottom w:val="single" w:color="BDC3C7" w:sz="1"/>
              <w:right w:val="single" w:color="BDC3C7" w:sz="1"/>
            </w:tcBorders>
            <w:shd w:fill="EBF3FB" w:val="clear"/>
            <w:tcMar>
              <w:top w:type="dxa" w:w="80"/>
              <w:left w:type="dxa" w:w="80"/>
              <w:bottom w:type="dxa" w:w="80"/>
              <w:right w:type="dxa" w:w="80"/>
            </w:tcMar>
          </w:tcPr>
          <w:p>
            <w:pPr>
              <w:jc w:val="center"/>
            </w:pPr>
            <w:r>
              <w:rPr>
                <w:rFonts w:ascii="Arial" w:cs="Arial" w:eastAsia="Arial" w:hAnsi="Arial"/>
                <w:b/>
                <w:bCs/>
                <w:color w:val="2E75B6"/>
                <w:sz w:val="19"/>
                <w:szCs w:val="19"/>
              </w:rPr>
              <w:t xml:space="preserve">~$60K</w:t>
            </w:r>
          </w:p>
        </w:tc>
        <w:tc>
          <w:tcPr>
            <w:tcW w:type="dxa" w:w="800"/>
            <w:tcBorders>
              <w:top w:val="single" w:color="BDC3C7" w:sz="1"/>
              <w:left w:val="single" w:color="BDC3C7" w:sz="1"/>
              <w:bottom w:val="single" w:color="BDC3C7" w:sz="1"/>
              <w:right w:val="single" w:color="BDC3C7" w:sz="1"/>
            </w:tcBorders>
            <w:shd w:fill="EBF3FB" w:val="clear"/>
            <w:tcMar>
              <w:top w:type="dxa" w:w="80"/>
              <w:left w:type="dxa" w:w="80"/>
              <w:bottom w:type="dxa" w:w="80"/>
              <w:right w:type="dxa" w:w="80"/>
            </w:tcMar>
          </w:tcPr>
          <w:p>
            <w:pPr>
              <w:jc w:val="center"/>
            </w:pPr>
            <w:r>
              <w:rPr>
                <w:rFonts w:ascii="Arial" w:cs="Arial" w:eastAsia="Arial" w:hAnsi="Arial"/>
                <w:color w:val="1A1A2E"/>
                <w:sz w:val="19"/>
                <w:szCs w:val="19"/>
              </w:rPr>
              <w:t xml:space="preserve">~3%</w:t>
            </w:r>
          </w:p>
        </w:tc>
        <w:tc>
          <w:tcPr>
            <w:tcW w:type="dxa" w:w="5260"/>
            <w:tcBorders>
              <w:top w:val="single" w:color="BDC3C7" w:sz="1"/>
              <w:left w:val="single" w:color="BDC3C7" w:sz="1"/>
              <w:bottom w:val="single" w:color="BDC3C7" w:sz="1"/>
              <w:right w:val="single" w:color="BDC3C7" w:sz="1"/>
            </w:tcBorders>
            <w:shd w:fill="EBF3FB" w:val="clear"/>
            <w:tcMar>
              <w:top w:type="dxa" w:w="80"/>
              <w:left w:type="dxa" w:w="160"/>
              <w:bottom w:type="dxa" w:w="80"/>
              <w:right w:type="dxa" w:w="80"/>
            </w:tcMar>
          </w:tcPr>
          <w:p>
            <w:r>
              <w:rPr>
                <w:rFonts w:ascii="Arial" w:cs="Arial" w:eastAsia="Arial" w:hAnsi="Arial"/>
                <w:color w:val="1A1A2E"/>
                <w:sz w:val="19"/>
                <w:szCs w:val="19"/>
              </w:rPr>
              <w:t xml:space="preserve">Lowest revenue. High return volume but very low per-unit refund value — lowest financial risk from returns.</w:t>
            </w:r>
          </w:p>
        </w:tc>
      </w:tr>
    </w:tbl>
    <w:p>
      <w:pPr>
        <w:spacing w:after="0" w:before="160"/>
      </w:pPr>
      <w:r>
        <w:t xml:space="preserve"/>
      </w:r>
    </w:p>
    <w:p>
      <w:pPr>
        <w:spacing w:after="80" w:before="80"/>
      </w:pPr>
      <w:r>
        <w:rPr>
          <w:rFonts w:ascii="Arial" w:cs="Arial" w:eastAsia="Arial" w:hAnsi="Arial"/>
          <w:color w:val="1A1A2E"/>
          <w:sz w:val="21"/>
          <w:szCs w:val="21"/>
        </w:rPr>
        <w:t xml:space="preserve">The stability of category rankings across all three years indicates that Verve's revenue decline is not being driven by a shift in product mix — all categories are declining proportionally. This reinforces the conclusion that the problem is customer retention and transaction volume rather than a product relevance or category-specific issue.</w:t>
      </w:r>
    </w:p>
    <w:p>
      <w:pPr>
        <w:spacing w:after="0" w:before="80"/>
      </w:pPr>
      <w:r>
        <w:t xml:space="preserve"/>
      </w:r>
    </w:p>
    <w:p>
      <w:pPr>
        <w:spacing w:after="80" w:before="80"/>
      </w:pPr>
      <w:r>
        <w:rPr>
          <w:rFonts w:ascii="Arial" w:cs="Arial" w:eastAsia="Arial" w:hAnsi="Arial"/>
          <w:color w:val="1A1A2E"/>
          <w:sz w:val="21"/>
          <w:szCs w:val="21"/>
        </w:rPr>
        <w:t xml:space="preserve">The concentration risk in Electronics is significant — with approximately 45% of total revenue tied to a single category that also generates $164K in refund losses (18.7% of its potential revenue), Electronics represents both Verve's greatest commercial asset and its greatest operational vulnerability. Any disruption to Electronics performance — through continued returns, pricing competition, or stock availability issues — would have a disproportionate impact on overall business health.</w:t>
      </w:r>
    </w:p>
    <w:p>
      <w:pPr>
        <w:pBdr>
          <w:bottom w:val="single" w:color="D6E4F0" w:sz="4" w:space="1"/>
        </w:pBdr>
        <w:spacing w:after="200" w:before="200"/>
      </w:pPr>
      <w:r>
        <w:t xml:space="preserve"/>
      </w:r>
    </w:p>
    <w:p>
      <w:pPr>
        <w:pStyle w:val="Heading1"/>
        <w:pBdr>
          <w:bottom w:val="single" w:color="2E75B6" w:sz="8" w:space="4"/>
        </w:pBdr>
        <w:spacing w:after="120" w:before="400"/>
      </w:pPr>
      <w:r>
        <w:rPr>
          <w:rFonts w:ascii="Arial" w:cs="Arial" w:eastAsia="Arial" w:hAnsi="Arial"/>
          <w:b/>
          <w:bCs/>
          <w:color w:val="1F4E79"/>
          <w:sz w:val="32"/>
          <w:szCs w:val="32"/>
        </w:rPr>
        <w:t xml:space="preserve">3. Geographic Revenue Distribution</w:t>
      </w:r>
    </w:p>
    <w:p>
      <w:pPr>
        <w:spacing w:after="80" w:before="80"/>
      </w:pPr>
      <w:r>
        <w:rPr>
          <w:rFonts w:ascii="Arial" w:cs="Arial" w:eastAsia="Arial" w:hAnsi="Arial"/>
          <w:color w:val="1A1A2E"/>
          <w:sz w:val="21"/>
          <w:szCs w:val="21"/>
        </w:rPr>
        <w:t xml:space="preserve">Revenue is geographically concentrated in three key states — Texas, New York, and California — which together represent the largest share of total network revenue. This concentration mirrors the return patterns identified in Problem 1, where the same three states also account for the highest return volumes.</w:t>
      </w:r>
    </w:p>
    <w:p>
      <w:pPr>
        <w:spacing w:after="0" w:before="80"/>
      </w:pPr>
      <w:r>
        <w:t xml:space="preserve"/>
      </w:r>
    </w:p>
    <w:p>
      <w:pPr>
        <w:pStyle w:val="ListParagraph"/>
        <w:numPr>
          <w:ilvl w:val="0"/>
          <w:numId w:val="2"/>
        </w:numPr>
        <w:spacing w:after="60" w:before="60"/>
      </w:pPr>
      <w:r>
        <w:rPr>
          <w:rFonts w:ascii="Arial" w:cs="Arial" w:eastAsia="Arial" w:hAnsi="Arial"/>
          <w:color w:val="1A1A2E"/>
          <w:sz w:val="21"/>
          <w:szCs w:val="21"/>
        </w:rPr>
        <w:t xml:space="preserve">Texas hosts three Verve stores and generates the highest combined state-level revenue, though it also carries the highest total return count at 111 across the analysis period</w:t>
      </w:r>
    </w:p>
    <w:p>
      <w:pPr>
        <w:pStyle w:val="ListParagraph"/>
        <w:numPr>
          <w:ilvl w:val="0"/>
          <w:numId w:val="2"/>
        </w:numPr>
        <w:spacing w:after="60" w:before="60"/>
      </w:pPr>
      <w:r>
        <w:rPr>
          <w:rFonts w:ascii="Arial" w:cs="Arial" w:eastAsia="Arial" w:hAnsi="Arial"/>
          <w:color w:val="1A1A2E"/>
          <w:sz w:val="21"/>
          <w:szCs w:val="21"/>
        </w:rPr>
        <w:t xml:space="preserve">New York generates strong revenue driven primarily by the Manhattan Flagship store, which is the single highest-performing store in the network by both revenue and profit</w:t>
      </w:r>
    </w:p>
    <w:p>
      <w:pPr>
        <w:pStyle w:val="ListParagraph"/>
        <w:numPr>
          <w:ilvl w:val="0"/>
          <w:numId w:val="2"/>
        </w:numPr>
        <w:spacing w:after="60" w:before="60"/>
      </w:pPr>
      <w:r>
        <w:rPr>
          <w:rFonts w:ascii="Arial" w:cs="Arial" w:eastAsia="Arial" w:hAnsi="Arial"/>
          <w:color w:val="1A1A2E"/>
          <w:sz w:val="21"/>
          <w:szCs w:val="21"/>
        </w:rPr>
        <w:t xml:space="preserve">California's revenue is split across two stores — LA Beverly Hills and LA Sunset Store — with Beverly Hills performing significantly stronger and ranking among the top revenue generators in the network</w:t>
      </w:r>
    </w:p>
    <w:p>
      <w:pPr>
        <w:pStyle w:val="ListParagraph"/>
        <w:numPr>
          <w:ilvl w:val="0"/>
          <w:numId w:val="2"/>
        </w:numPr>
        <w:spacing w:after="60" w:before="60"/>
      </w:pPr>
      <w:r>
        <w:rPr>
          <w:rFonts w:ascii="Arial" w:cs="Arial" w:eastAsia="Arial" w:hAnsi="Arial"/>
          <w:color w:val="1A1A2E"/>
          <w:sz w:val="21"/>
          <w:szCs w:val="21"/>
        </w:rPr>
        <w:t xml:space="preserve">Colorado generates a disproportionate level of returns relative to its single-store presence (Denver Mile High), flagging an operational outlier that requires individual review</w:t>
      </w:r>
    </w:p>
    <w:p>
      <w:pPr>
        <w:spacing w:after="0" w:before="80"/>
      </w:pPr>
      <w:r>
        <w:t xml:space="preserve"/>
      </w:r>
    </w:p>
    <w:p>
      <w:pPr>
        <w:spacing w:after="80" w:before="80"/>
      </w:pPr>
      <w:r>
        <w:rPr>
          <w:rFonts w:ascii="Arial" w:cs="Arial" w:eastAsia="Arial" w:hAnsi="Arial"/>
          <w:color w:val="1A1A2E"/>
          <w:sz w:val="21"/>
          <w:szCs w:val="21"/>
        </w:rPr>
        <w:t xml:space="preserve">Florida (Miami Beach Outlet) and Washington (Seattle Downtown) also appear as notable revenue contributors. Seattle Downtown's presence is particularly notable because it leads the network in transaction count while ranking lower in revenue — a volume-without-value dynamic that indicates a product mix issue at that location.</w:t>
      </w:r>
    </w:p>
    <w:p>
      <w:pPr>
        <w:pBdr>
          <w:bottom w:val="single" w:color="D6E4F0" w:sz="4" w:space="1"/>
        </w:pBdr>
        <w:spacing w:after="200" w:before="200"/>
      </w:pPr>
      <w:r>
        <w:t xml:space="preserve"/>
      </w:r>
    </w:p>
    <w:p>
      <w:pPr>
        <w:pStyle w:val="Heading1"/>
        <w:pBdr>
          <w:bottom w:val="single" w:color="2E75B6" w:sz="8" w:space="4"/>
        </w:pBdr>
        <w:spacing w:after="120" w:before="400"/>
      </w:pPr>
      <w:r>
        <w:rPr>
          <w:rFonts w:ascii="Arial" w:cs="Arial" w:eastAsia="Arial" w:hAnsi="Arial"/>
          <w:b/>
          <w:bCs/>
          <w:color w:val="1F4E79"/>
          <w:sz w:val="32"/>
          <w:szCs w:val="32"/>
        </w:rPr>
        <w:t xml:space="preserve">4. Customer Base Overview</w:t>
      </w:r>
    </w:p>
    <w:p>
      <w:pPr>
        <w:pStyle w:val="Heading2"/>
        <w:spacing w:after="80" w:before="280"/>
      </w:pPr>
      <w:r>
        <w:rPr>
          <w:rFonts w:ascii="Arial" w:cs="Arial" w:eastAsia="Arial" w:hAnsi="Arial"/>
          <w:b/>
          <w:bCs/>
          <w:color w:val="2E75B6"/>
          <w:sz w:val="26"/>
          <w:szCs w:val="26"/>
        </w:rPr>
        <w:t xml:space="preserve">4.1 Segment Distribution</w:t>
      </w:r>
    </w:p>
    <w:p>
      <w:pPr>
        <w:spacing w:after="80" w:before="80"/>
      </w:pPr>
      <w:r>
        <w:rPr>
          <w:rFonts w:ascii="Arial" w:cs="Arial" w:eastAsia="Arial" w:hAnsi="Arial"/>
          <w:color w:val="1A1A2E"/>
          <w:sz w:val="21"/>
          <w:szCs w:val="21"/>
        </w:rPr>
        <w:t xml:space="preserve">Verve's 499 active customers are distributed across five segments, with Regular customers comprising the largest share at 41.4% of the base. The segment distribution has been stable in proportional terms across 2022–2024, though year-over-year count analysis reveals concerning shifts in every segment heading into 2024:</w:t>
      </w:r>
    </w:p>
    <w:p>
      <w:pPr>
        <w:spacing w:after="0" w:before="80"/>
      </w:pPr>
      <w:r>
        <w:t xml:space="preserve"/>
      </w:r>
    </w:p>
    <w:p>
      <w:pPr>
        <w:pStyle w:val="ListParagraph"/>
        <w:numPr>
          <w:ilvl w:val="0"/>
          <w:numId w:val="2"/>
        </w:numPr>
        <w:spacing w:after="60" w:before="60"/>
      </w:pPr>
      <w:r>
        <w:rPr>
          <w:rFonts w:ascii="Arial" w:cs="Arial" w:eastAsia="Arial" w:hAnsi="Arial"/>
          <w:color w:val="1A1A2E"/>
          <w:sz w:val="21"/>
          <w:szCs w:val="21"/>
        </w:rPr>
        <w:t xml:space="preserve">Regular — 41.4% (206 customers): Largest segment but lowest CLV and AOV. High-volume, lower-value customer behaviour</w:t>
      </w:r>
    </w:p>
    <w:p>
      <w:pPr>
        <w:pStyle w:val="ListParagraph"/>
        <w:numPr>
          <w:ilvl w:val="0"/>
          <w:numId w:val="2"/>
        </w:numPr>
        <w:spacing w:after="60" w:before="60"/>
      </w:pPr>
      <w:r>
        <w:rPr>
          <w:rFonts w:ascii="Arial" w:cs="Arial" w:eastAsia="Arial" w:hAnsi="Arial"/>
          <w:color w:val="1A1A2E"/>
          <w:sz w:val="21"/>
          <w:szCs w:val="21"/>
        </w:rPr>
        <w:t xml:space="preserve">Occasional — 25.4% (127 customers): Second largest segment with the second highest CLV — a high-potential conversion target</w:t>
      </w:r>
    </w:p>
    <w:p>
      <w:pPr>
        <w:pStyle w:val="ListParagraph"/>
        <w:numPr>
          <w:ilvl w:val="0"/>
          <w:numId w:val="2"/>
        </w:numPr>
        <w:spacing w:after="60" w:before="60"/>
      </w:pPr>
      <w:r>
        <w:rPr>
          <w:rFonts w:ascii="Arial" w:cs="Arial" w:eastAsia="Arial" w:hAnsi="Arial"/>
          <w:color w:val="1A1A2E"/>
          <w:sz w:val="21"/>
          <w:szCs w:val="21"/>
        </w:rPr>
        <w:t xml:space="preserve">New — 15.6% (78 customers): Shows strong initial AOV but 28% are already inactive within 6-12 months — highest churn risk</w:t>
      </w:r>
    </w:p>
    <w:p>
      <w:pPr>
        <w:pStyle w:val="ListParagraph"/>
        <w:numPr>
          <w:ilvl w:val="0"/>
          <w:numId w:val="2"/>
        </w:numPr>
        <w:spacing w:after="60" w:before="60"/>
      </w:pPr>
      <w:r>
        <w:rPr>
          <w:rFonts w:ascii="Arial" w:cs="Arial" w:eastAsia="Arial" w:hAnsi="Arial"/>
          <w:color w:val="1A1A2E"/>
          <w:sz w:val="21"/>
          <w:szCs w:val="21"/>
        </w:rPr>
        <w:t xml:space="preserve">Premium — 12.2% (61 customers): Highest CLV and AOV but declining segment — greatest concentration risk in the customer base</w:t>
      </w:r>
    </w:p>
    <w:p>
      <w:pPr>
        <w:pStyle w:val="ListParagraph"/>
        <w:numPr>
          <w:ilvl w:val="0"/>
          <w:numId w:val="2"/>
        </w:numPr>
        <w:spacing w:after="60" w:before="60"/>
      </w:pPr>
      <w:r>
        <w:rPr>
          <w:rFonts w:ascii="Arial" w:cs="Arial" w:eastAsia="Arial" w:hAnsi="Arial"/>
          <w:color w:val="1A1A2E"/>
          <w:sz w:val="21"/>
          <w:szCs w:val="21"/>
        </w:rPr>
        <w:t xml:space="preserve">Unknown — 5.4% (27 customers): No segment assigned — a data quality gap affecting targeting completeness</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4.2 Network-Wide Retention Concern</w:t>
      </w:r>
    </w:p>
    <w:p>
      <w:pPr>
        <w:spacing w:after="80" w:before="80"/>
      </w:pPr>
      <w:r>
        <w:rPr>
          <w:rFonts w:ascii="Arial" w:cs="Arial" w:eastAsia="Arial" w:hAnsi="Arial"/>
          <w:color w:val="1A1A2E"/>
          <w:sz w:val="21"/>
          <w:szCs w:val="21"/>
        </w:rPr>
        <w:t xml:space="preserve">The most alarming customer-level finding from the three-year analysis is that over 20% of every customer segment has been inactive for 6 to 12 months — meaning Verve faces a broad, cross-segment retention challenge rather than isolated segment-specific issues. By 2024, year-over-year customer counts are declining across all four defined segments simultaneously, converging toward a shared -3% to -5% decline rate. This convergence from the more differentiated 2023 trajectories suggests a network-wide retention erosion that is accelerating and requires structural intervention.</w:t>
      </w:r>
    </w:p>
    <w:p>
      <w:pPr>
        <w:pBdr>
          <w:bottom w:val="single" w:color="D6E4F0" w:sz="4" w:space="1"/>
        </w:pBdr>
        <w:spacing w:after="200" w:before="200"/>
      </w:pPr>
      <w:r>
        <w:t xml:space="preserve"/>
      </w:r>
    </w:p>
    <w:p>
      <w:pPr>
        <w:pStyle w:val="Heading1"/>
        <w:pBdr>
          <w:bottom w:val="single" w:color="2E75B6" w:sz="8" w:space="4"/>
        </w:pBdr>
        <w:spacing w:after="120" w:before="400"/>
      </w:pPr>
      <w:r>
        <w:rPr>
          <w:rFonts w:ascii="Arial" w:cs="Arial" w:eastAsia="Arial" w:hAnsi="Arial"/>
          <w:b/>
          <w:bCs/>
          <w:color w:val="1F4E79"/>
          <w:sz w:val="32"/>
          <w:szCs w:val="32"/>
        </w:rPr>
        <w:t xml:space="preserve">5. Three Business Problems: Findings &amp; Recommendations at a Glance</w:t>
      </w:r>
    </w:p>
    <w:p>
      <w:pPr>
        <w:spacing w:after="80" w:before="80"/>
      </w:pPr>
      <w:r>
        <w:rPr>
          <w:rFonts w:ascii="Arial" w:cs="Arial" w:eastAsia="Arial" w:hAnsi="Arial"/>
          <w:color w:val="1A1A2E"/>
          <w:sz w:val="21"/>
          <w:szCs w:val="21"/>
        </w:rPr>
        <w:t xml:space="preserve">The following table consolidates the headline findings and top recommendations from each of the three analytical workstreams. Full detail is available in the individual problem reports.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700"/>
        <w:gridCol w:w="3180"/>
      </w:tblGrid>
      <w:tr>
        <w:tc>
          <w:tcPr>
            <w:tcW w:type="dxa" w:w="2000"/>
            <w:tcBorders>
              <w:top w:val="single" w:color="BDC3C7" w:sz="1"/>
              <w:left w:val="single" w:color="BDC3C7" w:sz="1"/>
              <w:bottom w:val="single" w:color="BDC3C7" w:sz="1"/>
              <w:right w:val="single" w:color="BDC3C7" w:sz="1"/>
            </w:tcBorders>
            <w:shd w:fill="2E75B6" w:val="clear"/>
            <w:tcMar>
              <w:top w:type="dxa" w:w="100"/>
              <w:left w:type="dxa" w:w="160"/>
              <w:bottom w:type="dxa" w:w="100"/>
              <w:right w:type="dxa" w:w="80"/>
            </w:tcMar>
          </w:tcPr>
          <w:p>
            <w:r>
              <w:rPr>
                <w:rFonts w:ascii="Arial" w:cs="Arial" w:eastAsia="Arial" w:hAnsi="Arial"/>
                <w:b/>
                <w:bCs/>
                <w:color w:val="FFFFFF"/>
                <w:sz w:val="19"/>
                <w:szCs w:val="19"/>
              </w:rPr>
              <w:t xml:space="preserve">Business Problem</w:t>
            </w:r>
          </w:p>
        </w:tc>
        <w:tc>
          <w:tcPr>
            <w:tcW w:type="dxa" w:w="3480"/>
            <w:tcBorders>
              <w:top w:val="single" w:color="BDC3C7" w:sz="1"/>
              <w:left w:val="single" w:color="BDC3C7" w:sz="1"/>
              <w:bottom w:val="single" w:color="BDC3C7" w:sz="1"/>
              <w:right w:val="single" w:color="BDC3C7" w:sz="1"/>
            </w:tcBorders>
            <w:shd w:fill="2E75B6" w:val="clear"/>
            <w:tcMar>
              <w:top w:type="dxa" w:w="100"/>
              <w:left w:type="dxa" w:w="160"/>
              <w:bottom w:type="dxa" w:w="100"/>
              <w:right w:type="dxa" w:w="80"/>
            </w:tcMar>
          </w:tcPr>
          <w:p>
            <w:r>
              <w:rPr>
                <w:rFonts w:ascii="Arial" w:cs="Arial" w:eastAsia="Arial" w:hAnsi="Arial"/>
                <w:b/>
                <w:bCs/>
                <w:color w:val="FFFFFF"/>
                <w:sz w:val="19"/>
                <w:szCs w:val="19"/>
              </w:rPr>
              <w:t xml:space="preserve">Key Findings</w:t>
            </w:r>
          </w:p>
        </w:tc>
        <w:tc>
          <w:tcPr>
            <w:tcW w:type="dxa" w:w="700"/>
            <w:tcBorders>
              <w:top w:val="single" w:color="BDC3C7" w:sz="1"/>
              <w:left w:val="single" w:color="BDC3C7" w:sz="1"/>
              <w:bottom w:val="single" w:color="BDC3C7" w:sz="1"/>
              <w:right w:val="single" w:color="BDC3C7" w:sz="1"/>
            </w:tcBorders>
            <w:shd w:fill="2E75B6" w:val="clear"/>
            <w:tcMar>
              <w:top w:type="dxa" w:w="100"/>
              <w:left w:type="dxa" w:w="80"/>
              <w:bottom w:type="dxa" w:w="100"/>
              <w:right w:type="dxa" w:w="80"/>
            </w:tcMar>
          </w:tcPr>
          <w:p>
            <w:r>
              <w:rPr>
                <w:rFonts w:ascii="Arial" w:cs="Arial" w:eastAsia="Arial" w:hAnsi="Arial"/>
                <w:b/>
                <w:bCs/>
                <w:color w:val="FFFFFF"/>
                <w:sz w:val="19"/>
                <w:szCs w:val="19"/>
              </w:rPr>
              <w:t xml:space="preserve">Priority</w:t>
            </w:r>
          </w:p>
        </w:tc>
        <w:tc>
          <w:tcPr>
            <w:tcW w:type="dxa" w:w="3180"/>
            <w:tcBorders>
              <w:top w:val="single" w:color="BDC3C7" w:sz="1"/>
              <w:left w:val="single" w:color="BDC3C7" w:sz="1"/>
              <w:bottom w:val="single" w:color="BDC3C7" w:sz="1"/>
              <w:right w:val="single" w:color="BDC3C7" w:sz="1"/>
            </w:tcBorders>
            <w:shd w:fill="2E75B6" w:val="clear"/>
            <w:tcMar>
              <w:top w:type="dxa" w:w="100"/>
              <w:left w:type="dxa" w:w="160"/>
              <w:bottom w:type="dxa" w:w="100"/>
              <w:right w:type="dxa" w:w="80"/>
            </w:tcMar>
          </w:tcPr>
          <w:p>
            <w:r>
              <w:rPr>
                <w:rFonts w:ascii="Arial" w:cs="Arial" w:eastAsia="Arial" w:hAnsi="Arial"/>
                <w:b/>
                <w:bCs/>
                <w:color w:val="FFFFFF"/>
                <w:sz w:val="19"/>
                <w:szCs w:val="19"/>
              </w:rPr>
              <w:t xml:space="preserve">Top Recommendations</w:t>
            </w:r>
          </w:p>
        </w:tc>
      </w:tr>
      <w:tr>
        <w:tc>
          <w:tcPr>
            <w:tcW w:type="dxa" w:w="2000"/>
            <w:tcBorders>
              <w:top w:val="single" w:color="BDC3C7" w:sz="1"/>
              <w:left w:val="single" w:color="BDC3C7" w:sz="1"/>
              <w:bottom w:val="single" w:color="BDC3C7" w:sz="1"/>
              <w:right w:val="single" w:color="BDC3C7" w:sz="1"/>
            </w:tcBorders>
            <w:shd w:fill="EBF3FB" w:val="clear"/>
            <w:tcMar>
              <w:top w:type="dxa" w:w="100"/>
              <w:left w:type="dxa" w:w="160"/>
              <w:bottom w:type="dxa" w:w="100"/>
              <w:right w:type="dxa" w:w="80"/>
            </w:tcMar>
          </w:tcPr>
          <w:p>
            <w:r>
              <w:rPr>
                <w:rFonts w:ascii="Arial" w:cs="Arial" w:eastAsia="Arial" w:hAnsi="Arial"/>
                <w:b/>
                <w:bCs/>
                <w:color w:val="C0392B"/>
                <w:sz w:val="19"/>
                <w:szCs w:val="19"/>
              </w:rPr>
              <w:t xml:space="preserve">Rising Return &amp; Refund Rates</w:t>
            </w:r>
          </w:p>
        </w:tc>
        <w:tc>
          <w:tcPr>
            <w:tcW w:type="dxa" w:w="3480"/>
            <w:tcBorders>
              <w:top w:val="single" w:color="BDC3C7" w:sz="1"/>
              <w:left w:val="single" w:color="BDC3C7" w:sz="1"/>
              <w:bottom w:val="single" w:color="BDC3C7" w:sz="1"/>
              <w:right w:val="single" w:color="BDC3C7" w:sz="1"/>
            </w:tcBorders>
            <w:shd w:fill="EBF3FB" w:val="clear"/>
            <w:tcMar>
              <w:top w:type="dxa" w:w="100"/>
              <w:left w:type="dxa" w:w="160"/>
              <w:bottom w:type="dxa" w:w="100"/>
              <w:right w:type="dxa" w:w="80"/>
            </w:tcMar>
          </w:tcPr>
          <w:p>
            <w:r>
              <w:rPr>
                <w:rFonts w:ascii="Arial" w:cs="Arial" w:eastAsia="Arial" w:hAnsi="Arial"/>
                <w:color w:val="1A1A2E"/>
                <w:sz w:val="18"/>
                <w:szCs w:val="18"/>
              </w:rPr>
              <w:t xml:space="preserve">18.1% return rate across 3 years — no sustained improvement. $385K in cumulative refunds. Damaged during shipping is the #1 return reason at 14%. E-Commerce return rate highest at 20%. 12% of returns have no recorded reason.</w:t>
            </w:r>
          </w:p>
        </w:tc>
        <w:tc>
          <w:tcPr>
            <w:tcW w:type="dxa" w:w="700"/>
            <w:tcBorders>
              <w:top w:val="single" w:color="BDC3C7" w:sz="1"/>
              <w:left w:val="single" w:color="BDC3C7" w:sz="1"/>
              <w:bottom w:val="single" w:color="BDC3C7" w:sz="1"/>
              <w:right w:val="single" w:color="BDC3C7" w:sz="1"/>
            </w:tcBorders>
            <w:shd w:fill="EBF3FB" w:val="clear"/>
            <w:tcMar>
              <w:top w:type="dxa" w:w="100"/>
              <w:left w:type="dxa" w:w="80"/>
              <w:bottom w:type="dxa" w:w="100"/>
              <w:right w:type="dxa" w:w="80"/>
            </w:tcMar>
          </w:tcPr>
          <w:p>
            <w:pPr>
              <w:jc w:val="center"/>
            </w:pPr>
            <w:r>
              <w:rPr>
                <w:rFonts w:ascii="Arial" w:cs="Arial" w:eastAsia="Arial" w:hAnsi="Arial"/>
                <w:b/>
                <w:bCs/>
                <w:color w:val="C0392B"/>
                <w:sz w:val="18"/>
                <w:szCs w:val="18"/>
              </w:rPr>
              <w:t xml:space="preserve">High</w:t>
            </w:r>
          </w:p>
        </w:tc>
        <w:tc>
          <w:tcPr>
            <w:tcW w:type="dxa" w:w="3180"/>
            <w:tcBorders>
              <w:top w:val="single" w:color="BDC3C7" w:sz="1"/>
              <w:left w:val="single" w:color="BDC3C7" w:sz="1"/>
              <w:bottom w:val="single" w:color="BDC3C7" w:sz="1"/>
              <w:right w:val="single" w:color="BDC3C7" w:sz="1"/>
            </w:tcBorders>
            <w:shd w:fill="EBF3FB" w:val="clear"/>
            <w:tcMar>
              <w:top w:type="dxa" w:w="100"/>
              <w:left w:type="dxa" w:w="160"/>
              <w:bottom w:type="dxa" w:w="100"/>
              <w:right w:type="dxa" w:w="80"/>
            </w:tcMar>
          </w:tcPr>
          <w:p>
            <w:r>
              <w:rPr>
                <w:rFonts w:ascii="Arial" w:cs="Arial" w:eastAsia="Arial" w:hAnsi="Arial"/>
                <w:color w:val="1A1A2E"/>
                <w:sz w:val="18"/>
                <w:szCs w:val="18"/>
              </w:rPr>
              <w:t xml:space="preserve">Reinforce packaging for Electronics and Home &amp; Kitchen. Mandate return reason capture. Conduct outlet store operational review.</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80"/>
            </w:tcMar>
          </w:tcPr>
          <w:p>
            <w:r>
              <w:rPr>
                <w:rFonts w:ascii="Arial" w:cs="Arial" w:eastAsia="Arial" w:hAnsi="Arial"/>
                <w:b/>
                <w:bCs/>
                <w:color w:val="E67E22"/>
                <w:sz w:val="19"/>
                <w:szCs w:val="19"/>
              </w:rPr>
              <w:t xml:space="preserve">Uneven Store Performance &amp; Inventory Misalignment</w:t>
            </w:r>
          </w:p>
        </w:tc>
        <w:tc>
          <w:tcPr>
            <w:tcW w:type="dxa" w:w="348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80"/>
            </w:tcMar>
          </w:tcPr>
          <w:p>
            <w:r>
              <w:rPr>
                <w:rFonts w:ascii="Arial" w:cs="Arial" w:eastAsia="Arial" w:hAnsi="Arial"/>
                <w:color w:val="1A1A2E"/>
                <w:sz w:val="18"/>
                <w:szCs w:val="18"/>
              </w:rPr>
              <w:t xml:space="preserve">Revenue declining year over year across all physical store types. Bottom quartile stores generating half the profit of top performers. 5 products at stockout or critical risk. Denver Mile High has 7 reorder risk products — highest in network.</w:t>
            </w:r>
          </w:p>
        </w:tc>
        <w:tc>
          <w:tcPr>
            <w:tcW w:type="dxa" w:w="700"/>
            <w:tcBorders>
              <w:top w:val="single" w:color="BDC3C7" w:sz="1"/>
              <w:left w:val="single" w:color="BDC3C7" w:sz="1"/>
              <w:bottom w:val="single" w:color="BDC3C7" w:sz="1"/>
              <w:right w:val="single" w:color="BDC3C7" w:sz="1"/>
            </w:tcBorders>
            <w:shd w:fill="FFFFFF" w:val="clear"/>
            <w:tcMar>
              <w:top w:type="dxa" w:w="100"/>
              <w:left w:type="dxa" w:w="80"/>
              <w:bottom w:type="dxa" w:w="100"/>
              <w:right w:type="dxa" w:w="80"/>
            </w:tcMar>
          </w:tcPr>
          <w:p>
            <w:pPr>
              <w:jc w:val="center"/>
            </w:pPr>
            <w:r>
              <w:rPr>
                <w:rFonts w:ascii="Arial" w:cs="Arial" w:eastAsia="Arial" w:hAnsi="Arial"/>
                <w:b/>
                <w:bCs/>
                <w:color w:val="E67E22"/>
                <w:sz w:val="18"/>
                <w:szCs w:val="18"/>
              </w:rPr>
              <w:t xml:space="preserve">High</w:t>
            </w:r>
          </w:p>
        </w:tc>
        <w:tc>
          <w:tcPr>
            <w:tcW w:type="dxa" w:w="318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80"/>
            </w:tcMar>
          </w:tcPr>
          <w:p>
            <w:r>
              <w:rPr>
                <w:rFonts w:ascii="Arial" w:cs="Arial" w:eastAsia="Arial" w:hAnsi="Arial"/>
                <w:color w:val="1A1A2E"/>
                <w:sz w:val="18"/>
                <w:szCs w:val="18"/>
              </w:rPr>
              <w:t xml:space="preserve">Emergency restock for critical products. Operational review of bottom tier stores and Denver Mile High. Implement centralised inventory monitoring.</w:t>
            </w:r>
          </w:p>
        </w:tc>
      </w:tr>
      <w:tr>
        <w:tc>
          <w:tcPr>
            <w:tcW w:type="dxa" w:w="2000"/>
            <w:tcBorders>
              <w:top w:val="single" w:color="BDC3C7" w:sz="1"/>
              <w:left w:val="single" w:color="BDC3C7" w:sz="1"/>
              <w:bottom w:val="single" w:color="BDC3C7" w:sz="1"/>
              <w:right w:val="single" w:color="BDC3C7" w:sz="1"/>
            </w:tcBorders>
            <w:shd w:fill="EBF3FB" w:val="clear"/>
            <w:tcMar>
              <w:top w:type="dxa" w:w="100"/>
              <w:left w:type="dxa" w:w="160"/>
              <w:bottom w:type="dxa" w:w="100"/>
              <w:right w:type="dxa" w:w="80"/>
            </w:tcMar>
          </w:tcPr>
          <w:p>
            <w:r>
              <w:rPr>
                <w:rFonts w:ascii="Arial" w:cs="Arial" w:eastAsia="Arial" w:hAnsi="Arial"/>
                <w:b/>
                <w:bCs/>
                <w:color w:val="C0392B"/>
                <w:sz w:val="19"/>
                <w:szCs w:val="19"/>
              </w:rPr>
              <w:t xml:space="preserve">Shifting Customer Base &amp; Loyalty Concerns</w:t>
            </w:r>
          </w:p>
        </w:tc>
        <w:tc>
          <w:tcPr>
            <w:tcW w:type="dxa" w:w="3480"/>
            <w:tcBorders>
              <w:top w:val="single" w:color="BDC3C7" w:sz="1"/>
              <w:left w:val="single" w:color="BDC3C7" w:sz="1"/>
              <w:bottom w:val="single" w:color="BDC3C7" w:sz="1"/>
              <w:right w:val="single" w:color="BDC3C7" w:sz="1"/>
            </w:tcBorders>
            <w:shd w:fill="EBF3FB" w:val="clear"/>
            <w:tcMar>
              <w:top w:type="dxa" w:w="100"/>
              <w:left w:type="dxa" w:w="160"/>
              <w:bottom w:type="dxa" w:w="100"/>
              <w:right w:type="dxa" w:w="80"/>
            </w:tcMar>
          </w:tcPr>
          <w:p>
            <w:r>
              <w:rPr>
                <w:rFonts w:ascii="Arial" w:cs="Arial" w:eastAsia="Arial" w:hAnsi="Arial"/>
                <w:color w:val="1A1A2E"/>
                <w:sz w:val="18"/>
                <w:szCs w:val="18"/>
              </w:rPr>
              <w:t xml:space="preserve">Only 9 Loyal Customers (1.8% of base) despite 197 Potential Loyalists. 20%+ of every segment is inactive for 6-12 months. Premium segment declined 9.3% in 2023. All segments converging toward -3% to -5% decline in 2024.</w:t>
            </w:r>
          </w:p>
        </w:tc>
        <w:tc>
          <w:tcPr>
            <w:tcW w:type="dxa" w:w="700"/>
            <w:tcBorders>
              <w:top w:val="single" w:color="BDC3C7" w:sz="1"/>
              <w:left w:val="single" w:color="BDC3C7" w:sz="1"/>
              <w:bottom w:val="single" w:color="BDC3C7" w:sz="1"/>
              <w:right w:val="single" w:color="BDC3C7" w:sz="1"/>
            </w:tcBorders>
            <w:shd w:fill="EBF3FB" w:val="clear"/>
            <w:tcMar>
              <w:top w:type="dxa" w:w="100"/>
              <w:left w:type="dxa" w:w="80"/>
              <w:bottom w:type="dxa" w:w="100"/>
              <w:right w:type="dxa" w:w="80"/>
            </w:tcMar>
          </w:tcPr>
          <w:p>
            <w:pPr>
              <w:jc w:val="center"/>
            </w:pPr>
            <w:r>
              <w:rPr>
                <w:rFonts w:ascii="Arial" w:cs="Arial" w:eastAsia="Arial" w:hAnsi="Arial"/>
                <w:b/>
                <w:bCs/>
                <w:color w:val="C0392B"/>
                <w:sz w:val="18"/>
                <w:szCs w:val="18"/>
              </w:rPr>
              <w:t xml:space="preserve">High</w:t>
            </w:r>
          </w:p>
        </w:tc>
        <w:tc>
          <w:tcPr>
            <w:tcW w:type="dxa" w:w="3180"/>
            <w:tcBorders>
              <w:top w:val="single" w:color="BDC3C7" w:sz="1"/>
              <w:left w:val="single" w:color="BDC3C7" w:sz="1"/>
              <w:bottom w:val="single" w:color="BDC3C7" w:sz="1"/>
              <w:right w:val="single" w:color="BDC3C7" w:sz="1"/>
            </w:tcBorders>
            <w:shd w:fill="EBF3FB" w:val="clear"/>
            <w:tcMar>
              <w:top w:type="dxa" w:w="100"/>
              <w:left w:type="dxa" w:w="160"/>
              <w:bottom w:type="dxa" w:w="100"/>
              <w:right w:type="dxa" w:w="80"/>
            </w:tcMar>
          </w:tcPr>
          <w:p>
            <w:r>
              <w:rPr>
                <w:rFonts w:ascii="Arial" w:cs="Arial" w:eastAsia="Arial" w:hAnsi="Arial"/>
                <w:color w:val="1A1A2E"/>
                <w:sz w:val="18"/>
                <w:szCs w:val="18"/>
              </w:rPr>
              <w:t xml:space="preserve">Launch structured loyalty programme. Priority retention for Premium segment. Win-back campaign for lapsing customers across all segments.</w:t>
            </w:r>
          </w:p>
        </w:tc>
      </w:tr>
    </w:tbl>
    <w:p>
      <w:pPr>
        <w:pBdr>
          <w:bottom w:val="single" w:color="D6E4F0" w:sz="4" w:space="1"/>
        </w:pBdr>
        <w:spacing w:after="200" w:before="200"/>
      </w:pPr>
      <w:r>
        <w:t xml:space="preserve"/>
      </w:r>
    </w:p>
    <w:p>
      <w:pPr>
        <w:pStyle w:val="Heading1"/>
        <w:pBdr>
          <w:bottom w:val="single" w:color="2E75B6" w:sz="8" w:space="4"/>
        </w:pBdr>
        <w:spacing w:after="120" w:before="400"/>
      </w:pPr>
      <w:r>
        <w:rPr>
          <w:rFonts w:ascii="Arial" w:cs="Arial" w:eastAsia="Arial" w:hAnsi="Arial"/>
          <w:b/>
          <w:bCs/>
          <w:color w:val="1F4E79"/>
          <w:sz w:val="32"/>
          <w:szCs w:val="32"/>
        </w:rPr>
        <w:t xml:space="preserve">6. Consolidated Priority Action Plan</w:t>
      </w:r>
    </w:p>
    <w:p>
      <w:pPr>
        <w:spacing w:after="80" w:before="80"/>
      </w:pPr>
      <w:r>
        <w:rPr>
          <w:rFonts w:ascii="Arial" w:cs="Arial" w:eastAsia="Arial" w:hAnsi="Arial"/>
          <w:color w:val="1A1A2E"/>
          <w:sz w:val="21"/>
          <w:szCs w:val="21"/>
        </w:rPr>
        <w:t xml:space="preserve">The following nine actions represent the most impactful interventions available to Verve leadership before and during the 2025 expansion planning cycle. Actions 1–4 are classified as Immediate — they address live operational risks that are costing Verve revenue today. Actions 5–9 are Q1–Q2 2025 priorities tied to the structural issues identified across all three analytical workstreams.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200"/>
        <w:gridCol w:w="5360"/>
      </w:tblGrid>
      <w:tr>
        <w:tc>
          <w:tcPr>
            <w:tcW w:type="dxa" w:w="400"/>
            <w:tcBorders>
              <w:top w:val="single" w:color="BDC3C7" w:sz="1"/>
              <w:left w:val="single" w:color="BDC3C7" w:sz="1"/>
              <w:bottom w:val="single" w:color="BDC3C7" w:sz="1"/>
              <w:right w:val="single" w:color="BDC3C7" w:sz="1"/>
            </w:tcBorders>
            <w:shd w:fill="2E75B6" w:val="clear"/>
            <w:tcMar>
              <w:top w:type="dxa" w:w="100"/>
              <w:left w:type="dxa" w:w="100"/>
              <w:bottom w:type="dxa" w:w="100"/>
              <w:right w:type="dxa" w:w="100"/>
            </w:tcMar>
          </w:tcPr>
          <w:p>
            <w:r>
              <w:rPr>
                <w:rFonts w:ascii="Arial" w:cs="Arial" w:eastAsia="Arial" w:hAnsi="Arial"/>
                <w:b/>
                <w:bCs/>
                <w:color w:val="FFFFFF"/>
                <w:sz w:val="19"/>
                <w:szCs w:val="19"/>
              </w:rPr>
              <w:t xml:space="preserve">#</w:t>
            </w:r>
          </w:p>
        </w:tc>
        <w:tc>
          <w:tcPr>
            <w:tcW w:type="dxa" w:w="2400"/>
            <w:tcBorders>
              <w:top w:val="single" w:color="BDC3C7" w:sz="1"/>
              <w:left w:val="single" w:color="BDC3C7" w:sz="1"/>
              <w:bottom w:val="single" w:color="BDC3C7" w:sz="1"/>
              <w:right w:val="single" w:color="BDC3C7" w:sz="1"/>
            </w:tcBorders>
            <w:shd w:fill="2E75B6" w:val="clear"/>
            <w:tcMar>
              <w:top w:type="dxa" w:w="100"/>
              <w:left w:type="dxa" w:w="140"/>
              <w:bottom w:type="dxa" w:w="100"/>
              <w:right w:type="dxa" w:w="80"/>
            </w:tcMar>
          </w:tcPr>
          <w:p>
            <w:r>
              <w:rPr>
                <w:rFonts w:ascii="Arial" w:cs="Arial" w:eastAsia="Arial" w:hAnsi="Arial"/>
                <w:b/>
                <w:bCs/>
                <w:color w:val="FFFFFF"/>
                <w:sz w:val="19"/>
                <w:szCs w:val="19"/>
              </w:rPr>
              <w:t xml:space="preserve">Action</w:t>
            </w:r>
          </w:p>
        </w:tc>
        <w:tc>
          <w:tcPr>
            <w:tcW w:type="dxa" w:w="1200"/>
            <w:tcBorders>
              <w:top w:val="single" w:color="BDC3C7" w:sz="1"/>
              <w:left w:val="single" w:color="BDC3C7" w:sz="1"/>
              <w:bottom w:val="single" w:color="BDC3C7" w:sz="1"/>
              <w:right w:val="single" w:color="BDC3C7" w:sz="1"/>
            </w:tcBorders>
            <w:shd w:fill="2E75B6" w:val="clear"/>
            <w:tcMar>
              <w:top w:type="dxa" w:w="100"/>
              <w:left w:type="dxa" w:w="80"/>
              <w:bottom w:type="dxa" w:w="100"/>
              <w:right w:type="dxa" w:w="80"/>
            </w:tcMar>
          </w:tcPr>
          <w:p>
            <w:r>
              <w:rPr>
                <w:rFonts w:ascii="Arial" w:cs="Arial" w:eastAsia="Arial" w:hAnsi="Arial"/>
                <w:b/>
                <w:bCs/>
                <w:color w:val="FFFFFF"/>
                <w:sz w:val="19"/>
                <w:szCs w:val="19"/>
              </w:rPr>
              <w:t xml:space="preserve">Timeline</w:t>
            </w:r>
          </w:p>
        </w:tc>
        <w:tc>
          <w:tcPr>
            <w:tcW w:type="dxa" w:w="5360"/>
            <w:tcBorders>
              <w:top w:val="single" w:color="BDC3C7" w:sz="1"/>
              <w:left w:val="single" w:color="BDC3C7" w:sz="1"/>
              <w:bottom w:val="single" w:color="BDC3C7" w:sz="1"/>
              <w:right w:val="single" w:color="BDC3C7" w:sz="1"/>
            </w:tcBorders>
            <w:shd w:fill="2E75B6" w:val="clear"/>
            <w:tcMar>
              <w:top w:type="dxa" w:w="100"/>
              <w:left w:type="dxa" w:w="140"/>
              <w:bottom w:type="dxa" w:w="100"/>
              <w:right w:type="dxa" w:w="80"/>
            </w:tcMar>
          </w:tcPr>
          <w:p>
            <w:r>
              <w:rPr>
                <w:rFonts w:ascii="Arial" w:cs="Arial" w:eastAsia="Arial" w:hAnsi="Arial"/>
                <w:b/>
                <w:bCs/>
                <w:color w:val="FFFFFF"/>
                <w:sz w:val="19"/>
                <w:szCs w:val="19"/>
              </w:rPr>
              <w:t xml:space="preserve">Rationale</w:t>
            </w:r>
          </w:p>
        </w:tc>
      </w:tr>
      <w:tr>
        <w:tc>
          <w:tcPr>
            <w:tcW w:type="dxa" w:w="400"/>
            <w:tcBorders>
              <w:top w:val="single" w:color="BDC3C7" w:sz="1"/>
              <w:left w:val="single" w:color="BDC3C7" w:sz="1"/>
              <w:bottom w:val="single" w:color="BDC3C7" w:sz="1"/>
              <w:right w:val="single" w:color="BDC3C7" w:sz="1"/>
            </w:tcBorders>
            <w:shd w:fill="1F4E79"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1</w:t>
            </w:r>
          </w:p>
        </w:tc>
        <w:tc>
          <w:tcPr>
            <w:tcW w:type="dxa" w:w="2400"/>
            <w:tcBorders>
              <w:top w:val="single" w:color="BDC3C7" w:sz="1"/>
              <w:left w:val="single" w:color="BDC3C7" w:sz="1"/>
              <w:bottom w:val="single" w:color="BDC3C7" w:sz="1"/>
              <w:right w:val="single" w:color="BDC3C7" w:sz="1"/>
            </w:tcBorders>
            <w:shd w:fill="EBF3FB" w:val="clear"/>
            <w:tcMar>
              <w:top w:type="dxa" w:w="100"/>
              <w:left w:type="dxa" w:w="140"/>
              <w:bottom w:type="dxa" w:w="100"/>
              <w:right w:type="dxa" w:w="80"/>
            </w:tcMar>
          </w:tcPr>
          <w:p>
            <w:r>
              <w:rPr>
                <w:rFonts w:ascii="Arial" w:cs="Arial" w:eastAsia="Arial" w:hAnsi="Arial"/>
                <w:b/>
                <w:bCs/>
                <w:color w:val="1A1A2E"/>
                <w:sz w:val="19"/>
                <w:szCs w:val="19"/>
              </w:rPr>
              <w:t xml:space="preserve">Restock Critical Products Network-Wide</w:t>
            </w:r>
          </w:p>
        </w:tc>
        <w:tc>
          <w:tcPr>
            <w:tcW w:type="dxa" w:w="1200"/>
            <w:tcBorders>
              <w:top w:val="single" w:color="BDC3C7" w:sz="1"/>
              <w:left w:val="single" w:color="BDC3C7" w:sz="1"/>
              <w:bottom w:val="single" w:color="BDC3C7" w:sz="1"/>
              <w:right w:val="single" w:color="BDC3C7" w:sz="1"/>
            </w:tcBorders>
            <w:shd w:fill="EBF3FB" w:val="clear"/>
            <w:tcMar>
              <w:top w:type="dxa" w:w="100"/>
              <w:left w:type="dxa" w:w="80"/>
              <w:bottom w:type="dxa" w:w="100"/>
              <w:right w:type="dxa" w:w="80"/>
            </w:tcMar>
          </w:tcPr>
          <w:p>
            <w:pPr>
              <w:jc w:val="center"/>
            </w:pPr>
            <w:r>
              <w:rPr>
                <w:rFonts w:ascii="Arial" w:cs="Arial" w:eastAsia="Arial" w:hAnsi="Arial"/>
                <w:b/>
                <w:bCs/>
                <w:color w:val="C0392B"/>
                <w:sz w:val="19"/>
                <w:szCs w:val="19"/>
              </w:rPr>
              <w:t xml:space="preserve">Immediate</w:t>
            </w:r>
          </w:p>
        </w:tc>
        <w:tc>
          <w:tcPr>
            <w:tcW w:type="dxa" w:w="5360"/>
            <w:tcBorders>
              <w:top w:val="single" w:color="BDC3C7" w:sz="1"/>
              <w:left w:val="single" w:color="BDC3C7" w:sz="1"/>
              <w:bottom w:val="single" w:color="BDC3C7" w:sz="1"/>
              <w:right w:val="single" w:color="BDC3C7" w:sz="1"/>
            </w:tcBorders>
            <w:shd w:fill="EBF3FB" w:val="clear"/>
            <w:tcMar>
              <w:top w:type="dxa" w:w="100"/>
              <w:left w:type="dxa" w:w="140"/>
              <w:bottom w:type="dxa" w:w="100"/>
              <w:right w:type="dxa" w:w="80"/>
            </w:tcMar>
          </w:tcPr>
          <w:p>
            <w:r>
              <w:rPr>
                <w:rFonts w:ascii="Arial" w:cs="Arial" w:eastAsia="Arial" w:hAnsi="Arial"/>
                <w:color w:val="1A1A2E"/>
                <w:sz w:val="19"/>
                <w:szCs w:val="19"/>
              </w:rPr>
              <w:t xml:space="preserve">5 products at stockout or near-stockout including UltraBook 15 and Resistance Band Kit. Emergency POs required before Q1 2025 to prevent compounding lost sales.</w:t>
            </w:r>
          </w:p>
        </w:tc>
      </w:tr>
      <w:tr>
        <w:tc>
          <w:tcPr>
            <w:tcW w:type="dxa" w:w="400"/>
            <w:tcBorders>
              <w:top w:val="single" w:color="BDC3C7" w:sz="1"/>
              <w:left w:val="single" w:color="BDC3C7" w:sz="1"/>
              <w:bottom w:val="single" w:color="BDC3C7" w:sz="1"/>
              <w:right w:val="single" w:color="BDC3C7" w:sz="1"/>
            </w:tcBorders>
            <w:shd w:fill="1F4E79"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2</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80"/>
            </w:tcMar>
          </w:tcPr>
          <w:p>
            <w:r>
              <w:rPr>
                <w:rFonts w:ascii="Arial" w:cs="Arial" w:eastAsia="Arial" w:hAnsi="Arial"/>
                <w:b/>
                <w:bCs/>
                <w:color w:val="1A1A2E"/>
                <w:sz w:val="19"/>
                <w:szCs w:val="19"/>
              </w:rPr>
              <w:t xml:space="preserve">Launch Loyalty Programme Relaunch</w:t>
            </w:r>
          </w:p>
        </w:tc>
        <w:tc>
          <w:tcPr>
            <w:tcW w:type="dxa" w:w="1200"/>
            <w:tcBorders>
              <w:top w:val="single" w:color="BDC3C7" w:sz="1"/>
              <w:left w:val="single" w:color="BDC3C7" w:sz="1"/>
              <w:bottom w:val="single" w:color="BDC3C7" w:sz="1"/>
              <w:right w:val="single" w:color="BDC3C7" w:sz="1"/>
            </w:tcBorders>
            <w:shd w:fill="FFFFFF" w:val="clear"/>
            <w:tcMar>
              <w:top w:type="dxa" w:w="100"/>
              <w:left w:type="dxa" w:w="80"/>
              <w:bottom w:type="dxa" w:w="100"/>
              <w:right w:type="dxa" w:w="80"/>
            </w:tcMar>
          </w:tcPr>
          <w:p>
            <w:pPr>
              <w:jc w:val="center"/>
            </w:pPr>
            <w:r>
              <w:rPr>
                <w:rFonts w:ascii="Arial" w:cs="Arial" w:eastAsia="Arial" w:hAnsi="Arial"/>
                <w:b/>
                <w:bCs/>
                <w:color w:val="C0392B"/>
                <w:sz w:val="19"/>
                <w:szCs w:val="19"/>
              </w:rPr>
              <w:t xml:space="preserve">Q1 2025</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80"/>
            </w:tcMar>
          </w:tcPr>
          <w:p>
            <w:r>
              <w:rPr>
                <w:rFonts w:ascii="Arial" w:cs="Arial" w:eastAsia="Arial" w:hAnsi="Arial"/>
                <w:color w:val="1A1A2E"/>
                <w:sz w:val="19"/>
                <w:szCs w:val="19"/>
              </w:rPr>
              <w:t xml:space="preserve">199 Potential Loyalists and Champions combined represent Verve's strongest conversion opportunity. A structured loyalty journey with clear progression milestones is needed to convert this pool into the 9 Loyal Customers becoming hundreds.</w:t>
            </w:r>
          </w:p>
        </w:tc>
      </w:tr>
      <w:tr>
        <w:tc>
          <w:tcPr>
            <w:tcW w:type="dxa" w:w="400"/>
            <w:tcBorders>
              <w:top w:val="single" w:color="BDC3C7" w:sz="1"/>
              <w:left w:val="single" w:color="BDC3C7" w:sz="1"/>
              <w:bottom w:val="single" w:color="BDC3C7" w:sz="1"/>
              <w:right w:val="single" w:color="BDC3C7" w:sz="1"/>
            </w:tcBorders>
            <w:shd w:fill="1F4E79"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3</w:t>
            </w:r>
          </w:p>
        </w:tc>
        <w:tc>
          <w:tcPr>
            <w:tcW w:type="dxa" w:w="2400"/>
            <w:tcBorders>
              <w:top w:val="single" w:color="BDC3C7" w:sz="1"/>
              <w:left w:val="single" w:color="BDC3C7" w:sz="1"/>
              <w:bottom w:val="single" w:color="BDC3C7" w:sz="1"/>
              <w:right w:val="single" w:color="BDC3C7" w:sz="1"/>
            </w:tcBorders>
            <w:shd w:fill="EBF3FB" w:val="clear"/>
            <w:tcMar>
              <w:top w:type="dxa" w:w="100"/>
              <w:left w:type="dxa" w:w="140"/>
              <w:bottom w:type="dxa" w:w="100"/>
              <w:right w:type="dxa" w:w="80"/>
            </w:tcMar>
          </w:tcPr>
          <w:p>
            <w:r>
              <w:rPr>
                <w:rFonts w:ascii="Arial" w:cs="Arial" w:eastAsia="Arial" w:hAnsi="Arial"/>
                <w:b/>
                <w:bCs/>
                <w:color w:val="1A1A2E"/>
                <w:sz w:val="19"/>
                <w:szCs w:val="19"/>
              </w:rPr>
              <w:t xml:space="preserve">Strengthen Shipping &amp; Packaging</w:t>
            </w:r>
          </w:p>
        </w:tc>
        <w:tc>
          <w:tcPr>
            <w:tcW w:type="dxa" w:w="1200"/>
            <w:tcBorders>
              <w:top w:val="single" w:color="BDC3C7" w:sz="1"/>
              <w:left w:val="single" w:color="BDC3C7" w:sz="1"/>
              <w:bottom w:val="single" w:color="BDC3C7" w:sz="1"/>
              <w:right w:val="single" w:color="BDC3C7" w:sz="1"/>
            </w:tcBorders>
            <w:shd w:fill="EBF3FB" w:val="clear"/>
            <w:tcMar>
              <w:top w:type="dxa" w:w="100"/>
              <w:left w:type="dxa" w:w="80"/>
              <w:bottom w:type="dxa" w:w="100"/>
              <w:right w:type="dxa" w:w="80"/>
            </w:tcMar>
          </w:tcPr>
          <w:p>
            <w:pPr>
              <w:jc w:val="center"/>
            </w:pPr>
            <w:r>
              <w:rPr>
                <w:rFonts w:ascii="Arial" w:cs="Arial" w:eastAsia="Arial" w:hAnsi="Arial"/>
                <w:b/>
                <w:bCs/>
                <w:color w:val="C0392B"/>
                <w:sz w:val="19"/>
                <w:szCs w:val="19"/>
              </w:rPr>
              <w:t xml:space="preserve">Q1 2025</w:t>
            </w:r>
          </w:p>
        </w:tc>
        <w:tc>
          <w:tcPr>
            <w:tcW w:type="dxa" w:w="5360"/>
            <w:tcBorders>
              <w:top w:val="single" w:color="BDC3C7" w:sz="1"/>
              <w:left w:val="single" w:color="BDC3C7" w:sz="1"/>
              <w:bottom w:val="single" w:color="BDC3C7" w:sz="1"/>
              <w:right w:val="single" w:color="BDC3C7" w:sz="1"/>
            </w:tcBorders>
            <w:shd w:fill="EBF3FB" w:val="clear"/>
            <w:tcMar>
              <w:top w:type="dxa" w:w="100"/>
              <w:left w:type="dxa" w:w="140"/>
              <w:bottom w:type="dxa" w:w="100"/>
              <w:right w:type="dxa" w:w="80"/>
            </w:tcMar>
          </w:tcPr>
          <w:p>
            <w:r>
              <w:rPr>
                <w:rFonts w:ascii="Arial" w:cs="Arial" w:eastAsia="Arial" w:hAnsi="Arial"/>
                <w:color w:val="1A1A2E"/>
                <w:sz w:val="19"/>
                <w:szCs w:val="19"/>
              </w:rPr>
              <w:t xml:space="preserve">Damaged during shipping is the #1 return reason across all categories. Reinforced packaging for Electronics and Home &amp; Kitchen could recover $20K+ in annual refund costs.</w:t>
            </w:r>
          </w:p>
        </w:tc>
      </w:tr>
      <w:tr>
        <w:tc>
          <w:tcPr>
            <w:tcW w:type="dxa" w:w="400"/>
            <w:tcBorders>
              <w:top w:val="single" w:color="BDC3C7" w:sz="1"/>
              <w:left w:val="single" w:color="BDC3C7" w:sz="1"/>
              <w:bottom w:val="single" w:color="BDC3C7" w:sz="1"/>
              <w:right w:val="single" w:color="BDC3C7" w:sz="1"/>
            </w:tcBorders>
            <w:shd w:fill="1F4E79"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4</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80"/>
            </w:tcMar>
          </w:tcPr>
          <w:p>
            <w:r>
              <w:rPr>
                <w:rFonts w:ascii="Arial" w:cs="Arial" w:eastAsia="Arial" w:hAnsi="Arial"/>
                <w:b/>
                <w:bCs/>
                <w:color w:val="1A1A2E"/>
                <w:sz w:val="19"/>
                <w:szCs w:val="19"/>
              </w:rPr>
              <w:t xml:space="preserve">Mandate Return Reason Capture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80"/>
              <w:bottom w:type="dxa" w:w="100"/>
              <w:right w:type="dxa" w:w="80"/>
            </w:tcMar>
          </w:tcPr>
          <w:p>
            <w:pPr>
              <w:jc w:val="center"/>
            </w:pPr>
            <w:r>
              <w:rPr>
                <w:rFonts w:ascii="Arial" w:cs="Arial" w:eastAsia="Arial" w:hAnsi="Arial"/>
                <w:b/>
                <w:bCs/>
                <w:color w:val="C0392B"/>
                <w:sz w:val="19"/>
                <w:szCs w:val="19"/>
              </w:rPr>
              <w:t xml:space="preserve">Q1 2025</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80"/>
            </w:tcMar>
          </w:tcPr>
          <w:p>
            <w:r>
              <w:rPr>
                <w:rFonts w:ascii="Arial" w:cs="Arial" w:eastAsia="Arial" w:hAnsi="Arial"/>
                <w:color w:val="1A1A2E"/>
                <w:sz w:val="19"/>
                <w:szCs w:val="19"/>
              </w:rPr>
              <w:t xml:space="preserve">12% of returns are untracked. A mandatory return reason field eliminates the single largest actionability gap in the returns data and enables targeted prevention.</w:t>
            </w:r>
          </w:p>
        </w:tc>
      </w:tr>
      <w:tr>
        <w:tc>
          <w:tcPr>
            <w:tcW w:type="dxa" w:w="400"/>
            <w:tcBorders>
              <w:top w:val="single" w:color="BDC3C7" w:sz="1"/>
              <w:left w:val="single" w:color="BDC3C7" w:sz="1"/>
              <w:bottom w:val="single" w:color="BDC3C7" w:sz="1"/>
              <w:right w:val="single" w:color="BDC3C7" w:sz="1"/>
            </w:tcBorders>
            <w:shd w:fill="1F4E79"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5</w:t>
            </w:r>
          </w:p>
        </w:tc>
        <w:tc>
          <w:tcPr>
            <w:tcW w:type="dxa" w:w="2400"/>
            <w:tcBorders>
              <w:top w:val="single" w:color="BDC3C7" w:sz="1"/>
              <w:left w:val="single" w:color="BDC3C7" w:sz="1"/>
              <w:bottom w:val="single" w:color="BDC3C7" w:sz="1"/>
              <w:right w:val="single" w:color="BDC3C7" w:sz="1"/>
            </w:tcBorders>
            <w:shd w:fill="EBF3FB" w:val="clear"/>
            <w:tcMar>
              <w:top w:type="dxa" w:w="100"/>
              <w:left w:type="dxa" w:w="140"/>
              <w:bottom w:type="dxa" w:w="100"/>
              <w:right w:type="dxa" w:w="80"/>
            </w:tcMar>
          </w:tcPr>
          <w:p>
            <w:r>
              <w:rPr>
                <w:rFonts w:ascii="Arial" w:cs="Arial" w:eastAsia="Arial" w:hAnsi="Arial"/>
                <w:b/>
                <w:bCs/>
                <w:color w:val="1A1A2E"/>
                <w:sz w:val="19"/>
                <w:szCs w:val="19"/>
              </w:rPr>
              <w:t xml:space="preserve">Operational Review — Bottom Tier Stores</w:t>
            </w:r>
          </w:p>
        </w:tc>
        <w:tc>
          <w:tcPr>
            <w:tcW w:type="dxa" w:w="1200"/>
            <w:tcBorders>
              <w:top w:val="single" w:color="BDC3C7" w:sz="1"/>
              <w:left w:val="single" w:color="BDC3C7" w:sz="1"/>
              <w:bottom w:val="single" w:color="BDC3C7" w:sz="1"/>
              <w:right w:val="single" w:color="BDC3C7" w:sz="1"/>
            </w:tcBorders>
            <w:shd w:fill="EBF3FB" w:val="clear"/>
            <w:tcMar>
              <w:top w:type="dxa" w:w="100"/>
              <w:left w:type="dxa" w:w="80"/>
              <w:bottom w:type="dxa" w:w="100"/>
              <w:right w:type="dxa" w:w="80"/>
            </w:tcMar>
          </w:tcPr>
          <w:p>
            <w:pPr>
              <w:jc w:val="center"/>
            </w:pPr>
            <w:r>
              <w:rPr>
                <w:rFonts w:ascii="Arial" w:cs="Arial" w:eastAsia="Arial" w:hAnsi="Arial"/>
                <w:b/>
                <w:bCs/>
                <w:color w:val="E67E22"/>
                <w:sz w:val="19"/>
                <w:szCs w:val="19"/>
              </w:rPr>
              <w:t xml:space="preserve">Q1 2025</w:t>
            </w:r>
          </w:p>
        </w:tc>
        <w:tc>
          <w:tcPr>
            <w:tcW w:type="dxa" w:w="5360"/>
            <w:tcBorders>
              <w:top w:val="single" w:color="BDC3C7" w:sz="1"/>
              <w:left w:val="single" w:color="BDC3C7" w:sz="1"/>
              <w:bottom w:val="single" w:color="BDC3C7" w:sz="1"/>
              <w:right w:val="single" w:color="BDC3C7" w:sz="1"/>
            </w:tcBorders>
            <w:shd w:fill="EBF3FB" w:val="clear"/>
            <w:tcMar>
              <w:top w:type="dxa" w:w="100"/>
              <w:left w:type="dxa" w:w="140"/>
              <w:bottom w:type="dxa" w:w="100"/>
              <w:right w:type="dxa" w:w="80"/>
            </w:tcMar>
          </w:tcPr>
          <w:p>
            <w:r>
              <w:rPr>
                <w:rFonts w:ascii="Arial" w:cs="Arial" w:eastAsia="Arial" w:hAnsi="Arial"/>
                <w:color w:val="1A1A2E"/>
                <w:sz w:val="19"/>
                <w:szCs w:val="19"/>
              </w:rPr>
              <w:t xml:space="preserve">Chicago Loop, Dallas Premium, and Atlanta Peachtree are generating bottom-quartile profit in high-population markets. Reviews should precede any 2025 expansion decisions.</w:t>
            </w:r>
          </w:p>
        </w:tc>
      </w:tr>
      <w:tr>
        <w:tc>
          <w:tcPr>
            <w:tcW w:type="dxa" w:w="400"/>
            <w:tcBorders>
              <w:top w:val="single" w:color="BDC3C7" w:sz="1"/>
              <w:left w:val="single" w:color="BDC3C7" w:sz="1"/>
              <w:bottom w:val="single" w:color="BDC3C7" w:sz="1"/>
              <w:right w:val="single" w:color="BDC3C7" w:sz="1"/>
            </w:tcBorders>
            <w:shd w:fill="1F4E79"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6</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80"/>
            </w:tcMar>
          </w:tcPr>
          <w:p>
            <w:r>
              <w:rPr>
                <w:rFonts w:ascii="Arial" w:cs="Arial" w:eastAsia="Arial" w:hAnsi="Arial"/>
                <w:b/>
                <w:bCs/>
                <w:color w:val="1A1A2E"/>
                <w:sz w:val="19"/>
                <w:szCs w:val="19"/>
              </w:rPr>
              <w:t xml:space="preserve">Premium Customer Retention Programme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80"/>
              <w:bottom w:type="dxa" w:w="100"/>
              <w:right w:type="dxa" w:w="80"/>
            </w:tcMar>
          </w:tcPr>
          <w:p>
            <w:pPr>
              <w:jc w:val="center"/>
            </w:pPr>
            <w:r>
              <w:rPr>
                <w:rFonts w:ascii="Arial" w:cs="Arial" w:eastAsia="Arial" w:hAnsi="Arial"/>
                <w:b/>
                <w:bCs/>
                <w:color w:val="E67E22"/>
                <w:sz w:val="19"/>
                <w:szCs w:val="19"/>
              </w:rPr>
              <w:t xml:space="preserve">Q1 2025</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80"/>
            </w:tcMar>
          </w:tcPr>
          <w:p>
            <w:r>
              <w:rPr>
                <w:rFonts w:ascii="Arial" w:cs="Arial" w:eastAsia="Arial" w:hAnsi="Arial"/>
                <w:color w:val="1A1A2E"/>
                <w:sz w:val="19"/>
                <w:szCs w:val="19"/>
              </w:rPr>
              <w:t xml:space="preserve">61 Premium customers generate the highest CLV ($11,823) but the segment has been declining. An exclusive loyalty tier with personalised perks is the single highest-ROI retention investment available.</w:t>
            </w:r>
          </w:p>
        </w:tc>
      </w:tr>
      <w:tr>
        <w:tc>
          <w:tcPr>
            <w:tcW w:type="dxa" w:w="400"/>
            <w:tcBorders>
              <w:top w:val="single" w:color="BDC3C7" w:sz="1"/>
              <w:left w:val="single" w:color="BDC3C7" w:sz="1"/>
              <w:bottom w:val="single" w:color="BDC3C7" w:sz="1"/>
              <w:right w:val="single" w:color="BDC3C7" w:sz="1"/>
            </w:tcBorders>
            <w:shd w:fill="1F4E79"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7</w:t>
            </w:r>
          </w:p>
        </w:tc>
        <w:tc>
          <w:tcPr>
            <w:tcW w:type="dxa" w:w="2400"/>
            <w:tcBorders>
              <w:top w:val="single" w:color="BDC3C7" w:sz="1"/>
              <w:left w:val="single" w:color="BDC3C7" w:sz="1"/>
              <w:bottom w:val="single" w:color="BDC3C7" w:sz="1"/>
              <w:right w:val="single" w:color="BDC3C7" w:sz="1"/>
            </w:tcBorders>
            <w:shd w:fill="EBF3FB" w:val="clear"/>
            <w:tcMar>
              <w:top w:type="dxa" w:w="100"/>
              <w:left w:type="dxa" w:w="140"/>
              <w:bottom w:type="dxa" w:w="100"/>
              <w:right w:type="dxa" w:w="80"/>
            </w:tcMar>
          </w:tcPr>
          <w:p>
            <w:r>
              <w:rPr>
                <w:rFonts w:ascii="Arial" w:cs="Arial" w:eastAsia="Arial" w:hAnsi="Arial"/>
                <w:b/>
                <w:bCs/>
                <w:color w:val="1A1A2E"/>
                <w:sz w:val="19"/>
                <w:szCs w:val="19"/>
              </w:rPr>
              <w:t xml:space="preserve">Re-engage Lapsing Customers</w:t>
            </w:r>
          </w:p>
        </w:tc>
        <w:tc>
          <w:tcPr>
            <w:tcW w:type="dxa" w:w="1200"/>
            <w:tcBorders>
              <w:top w:val="single" w:color="BDC3C7" w:sz="1"/>
              <w:left w:val="single" w:color="BDC3C7" w:sz="1"/>
              <w:bottom w:val="single" w:color="BDC3C7" w:sz="1"/>
              <w:right w:val="single" w:color="BDC3C7" w:sz="1"/>
            </w:tcBorders>
            <w:shd w:fill="EBF3FB" w:val="clear"/>
            <w:tcMar>
              <w:top w:type="dxa" w:w="100"/>
              <w:left w:type="dxa" w:w="80"/>
              <w:bottom w:type="dxa" w:w="100"/>
              <w:right w:type="dxa" w:w="80"/>
            </w:tcMar>
          </w:tcPr>
          <w:p>
            <w:pPr>
              <w:jc w:val="center"/>
            </w:pPr>
            <w:r>
              <w:rPr>
                <w:rFonts w:ascii="Arial" w:cs="Arial" w:eastAsia="Arial" w:hAnsi="Arial"/>
                <w:b/>
                <w:bCs/>
                <w:color w:val="E67E22"/>
                <w:sz w:val="19"/>
                <w:szCs w:val="19"/>
              </w:rPr>
              <w:t xml:space="preserve">Q2 2025</w:t>
            </w:r>
          </w:p>
        </w:tc>
        <w:tc>
          <w:tcPr>
            <w:tcW w:type="dxa" w:w="5360"/>
            <w:tcBorders>
              <w:top w:val="single" w:color="BDC3C7" w:sz="1"/>
              <w:left w:val="single" w:color="BDC3C7" w:sz="1"/>
              <w:bottom w:val="single" w:color="BDC3C7" w:sz="1"/>
              <w:right w:val="single" w:color="BDC3C7" w:sz="1"/>
            </w:tcBorders>
            <w:shd w:fill="EBF3FB" w:val="clear"/>
            <w:tcMar>
              <w:top w:type="dxa" w:w="100"/>
              <w:left w:type="dxa" w:w="140"/>
              <w:bottom w:type="dxa" w:w="100"/>
              <w:right w:type="dxa" w:w="80"/>
            </w:tcMar>
          </w:tcPr>
          <w:p>
            <w:r>
              <w:rPr>
                <w:rFonts w:ascii="Arial" w:cs="Arial" w:eastAsia="Arial" w:hAnsi="Arial"/>
                <w:color w:val="1A1A2E"/>
                <w:sz w:val="19"/>
                <w:szCs w:val="19"/>
              </w:rPr>
              <w:t xml:space="preserve">20%+ of every customer segment is inactive for 6-12 months. A personalised win-back campaign targeting each segment's last-purchase category is recoverable revenue that should not require acquisition spend.</w:t>
            </w:r>
          </w:p>
        </w:tc>
      </w:tr>
      <w:tr>
        <w:tc>
          <w:tcPr>
            <w:tcW w:type="dxa" w:w="400"/>
            <w:tcBorders>
              <w:top w:val="single" w:color="BDC3C7" w:sz="1"/>
              <w:left w:val="single" w:color="BDC3C7" w:sz="1"/>
              <w:bottom w:val="single" w:color="BDC3C7" w:sz="1"/>
              <w:right w:val="single" w:color="BDC3C7" w:sz="1"/>
            </w:tcBorders>
            <w:shd w:fill="1F4E79"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8</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80"/>
            </w:tcMar>
          </w:tcPr>
          <w:p>
            <w:r>
              <w:rPr>
                <w:rFonts w:ascii="Arial" w:cs="Arial" w:eastAsia="Arial" w:hAnsi="Arial"/>
                <w:b/>
                <w:bCs/>
                <w:color w:val="1A1A2E"/>
                <w:sz w:val="19"/>
                <w:szCs w:val="19"/>
              </w:rPr>
              <w:t xml:space="preserve">Digital Marketing Investment — Online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80"/>
              <w:bottom w:type="dxa" w:w="100"/>
              <w:right w:type="dxa" w:w="80"/>
            </w:tcMar>
          </w:tcPr>
          <w:p>
            <w:pPr>
              <w:jc w:val="center"/>
            </w:pPr>
            <w:r>
              <w:rPr>
                <w:rFonts w:ascii="Arial" w:cs="Arial" w:eastAsia="Arial" w:hAnsi="Arial"/>
                <w:b/>
                <w:bCs/>
                <w:color w:val="E67E22"/>
                <w:sz w:val="19"/>
                <w:szCs w:val="19"/>
              </w:rPr>
              <w:t xml:space="preserve">Q2 2025</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80"/>
            </w:tcMar>
          </w:tcPr>
          <w:p>
            <w:r>
              <w:rPr>
                <w:rFonts w:ascii="Arial" w:cs="Arial" w:eastAsia="Arial" w:hAnsi="Arial"/>
                <w:color w:val="1A1A2E"/>
                <w:sz w:val="19"/>
                <w:szCs w:val="19"/>
              </w:rPr>
              <w:t xml:space="preserve">Online channel growth decelerating from 9% to 4.7%. As the only growing channel in the network, targeted investment to reignite momentum is critical given declining physical store revenues.</w:t>
            </w:r>
          </w:p>
        </w:tc>
      </w:tr>
      <w:tr>
        <w:tc>
          <w:tcPr>
            <w:tcW w:type="dxa" w:w="400"/>
            <w:tcBorders>
              <w:top w:val="single" w:color="BDC3C7" w:sz="1"/>
              <w:left w:val="single" w:color="BDC3C7" w:sz="1"/>
              <w:bottom w:val="single" w:color="BDC3C7" w:sz="1"/>
              <w:right w:val="single" w:color="BDC3C7" w:sz="1"/>
            </w:tcBorders>
            <w:shd w:fill="1F4E79"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9</w:t>
            </w:r>
          </w:p>
        </w:tc>
        <w:tc>
          <w:tcPr>
            <w:tcW w:type="dxa" w:w="2400"/>
            <w:tcBorders>
              <w:top w:val="single" w:color="BDC3C7" w:sz="1"/>
              <w:left w:val="single" w:color="BDC3C7" w:sz="1"/>
              <w:bottom w:val="single" w:color="BDC3C7" w:sz="1"/>
              <w:right w:val="single" w:color="BDC3C7" w:sz="1"/>
            </w:tcBorders>
            <w:shd w:fill="EBF3FB" w:val="clear"/>
            <w:tcMar>
              <w:top w:type="dxa" w:w="100"/>
              <w:left w:type="dxa" w:w="140"/>
              <w:bottom w:type="dxa" w:w="100"/>
              <w:right w:type="dxa" w:w="80"/>
            </w:tcMar>
          </w:tcPr>
          <w:p>
            <w:r>
              <w:rPr>
                <w:rFonts w:ascii="Arial" w:cs="Arial" w:eastAsia="Arial" w:hAnsi="Arial"/>
                <w:b/>
                <w:bCs/>
                <w:color w:val="1A1A2E"/>
                <w:sz w:val="19"/>
                <w:szCs w:val="19"/>
              </w:rPr>
              <w:t xml:space="preserve">Competitive Pricing for Electronics</w:t>
            </w:r>
          </w:p>
        </w:tc>
        <w:tc>
          <w:tcPr>
            <w:tcW w:type="dxa" w:w="1200"/>
            <w:tcBorders>
              <w:top w:val="single" w:color="BDC3C7" w:sz="1"/>
              <w:left w:val="single" w:color="BDC3C7" w:sz="1"/>
              <w:bottom w:val="single" w:color="BDC3C7" w:sz="1"/>
              <w:right w:val="single" w:color="BDC3C7" w:sz="1"/>
            </w:tcBorders>
            <w:shd w:fill="EBF3FB" w:val="clear"/>
            <w:tcMar>
              <w:top w:type="dxa" w:w="100"/>
              <w:left w:type="dxa" w:w="80"/>
              <w:bottom w:type="dxa" w:w="100"/>
              <w:right w:type="dxa" w:w="80"/>
            </w:tcMar>
          </w:tcPr>
          <w:p>
            <w:pPr>
              <w:jc w:val="center"/>
            </w:pPr>
            <w:r>
              <w:rPr>
                <w:rFonts w:ascii="Arial" w:cs="Arial" w:eastAsia="Arial" w:hAnsi="Arial"/>
                <w:b/>
                <w:bCs/>
                <w:color w:val="E67E22"/>
                <w:sz w:val="19"/>
                <w:szCs w:val="19"/>
              </w:rPr>
              <w:t xml:space="preserve">Q2 2025</w:t>
            </w:r>
          </w:p>
        </w:tc>
        <w:tc>
          <w:tcPr>
            <w:tcW w:type="dxa" w:w="5360"/>
            <w:tcBorders>
              <w:top w:val="single" w:color="BDC3C7" w:sz="1"/>
              <w:left w:val="single" w:color="BDC3C7" w:sz="1"/>
              <w:bottom w:val="single" w:color="BDC3C7" w:sz="1"/>
              <w:right w:val="single" w:color="BDC3C7" w:sz="1"/>
            </w:tcBorders>
            <w:shd w:fill="EBF3FB" w:val="clear"/>
            <w:tcMar>
              <w:top w:type="dxa" w:w="100"/>
              <w:left w:type="dxa" w:w="140"/>
              <w:bottom w:type="dxa" w:w="100"/>
              <w:right w:type="dxa" w:w="80"/>
            </w:tcMar>
          </w:tcPr>
          <w:p>
            <w:r>
              <w:rPr>
                <w:rFonts w:ascii="Arial" w:cs="Arial" w:eastAsia="Arial" w:hAnsi="Arial"/>
                <w:color w:val="1A1A2E"/>
                <w:sz w:val="19"/>
                <w:szCs w:val="19"/>
              </w:rPr>
              <w:t xml:space="preserve">11% of returns cite better price elsewhere, concentrated in Electronics. Price matching or loyalty discounts in this category address both returns reduction and customer retention simultaneously.</w:t>
            </w:r>
          </w:p>
        </w:tc>
      </w:tr>
    </w:tbl>
    <w:p>
      <w:pPr>
        <w:spacing w:after="0" w:before="160"/>
      </w:pPr>
      <w:r>
        <w:t xml:space="preserve"/>
      </w:r>
    </w:p>
    <w:p>
      <w:pPr>
        <w:pBdr>
          <w:bottom w:val="single" w:color="D6E4F0" w:sz="4" w:space="1"/>
        </w:pBdr>
        <w:spacing w:after="200" w:before="200"/>
      </w:pPr>
      <w:r>
        <w:t xml:space="preserve"/>
      </w:r>
    </w:p>
    <w:p>
      <w:pPr>
        <w:pStyle w:val="Heading1"/>
        <w:pBdr>
          <w:bottom w:val="single" w:color="2E75B6" w:sz="8" w:space="4"/>
        </w:pBdr>
        <w:spacing w:after="120" w:before="400"/>
      </w:pPr>
      <w:r>
        <w:rPr>
          <w:rFonts w:ascii="Arial" w:cs="Arial" w:eastAsia="Arial" w:hAnsi="Arial"/>
          <w:b/>
          <w:bCs/>
          <w:color w:val="1F4E79"/>
          <w:sz w:val="32"/>
          <w:szCs w:val="32"/>
        </w:rPr>
        <w:t xml:space="preserve">7. Strategic Outlook for 2025</w:t>
      </w:r>
    </w:p>
    <w:p>
      <w:pPr>
        <w:spacing w:after="80" w:before="80"/>
      </w:pPr>
      <w:r>
        <w:rPr>
          <w:rFonts w:ascii="Arial" w:cs="Arial" w:eastAsia="Arial" w:hAnsi="Arial"/>
          <w:color w:val="1A1A2E"/>
          <w:sz w:val="21"/>
          <w:szCs w:val="21"/>
        </w:rPr>
        <w:t xml:space="preserve">Verve enters 2025 with a clear and urgent agenda. Revenue has declined for two consecutive years, the customer retention rate is deteriorating across every segment simultaneously, and the returns rate has returned to its 2022 baseline after a brief improvement in 2023. Against this backdrop, the planned expansion of three new stores carries significant risk if the underlying operational and retention issues are not addressed first.</w:t>
      </w:r>
    </w:p>
    <w:p>
      <w:pPr>
        <w:spacing w:after="0" w:before="80"/>
      </w:pPr>
      <w:r>
        <w:t xml:space="preserve"/>
      </w:r>
    </w:p>
    <w:p>
      <w:pPr>
        <w:spacing w:after="80" w:before="80"/>
      </w:pPr>
      <w:r>
        <w:rPr>
          <w:rFonts w:ascii="Arial" w:cs="Arial" w:eastAsia="Arial" w:hAnsi="Arial"/>
          <w:color w:val="1A1A2E"/>
          <w:sz w:val="21"/>
          <w:szCs w:val="21"/>
        </w:rPr>
        <w:t xml:space="preserve">Three structural realities should shape Verve's 2025 strategy:</w:t>
      </w:r>
    </w:p>
    <w:p>
      <w:pPr>
        <w:spacing w:after="0" w:before="80"/>
      </w:pPr>
      <w:r>
        <w:t xml:space="preserve"/>
      </w:r>
    </w:p>
    <w:p>
      <w:pPr>
        <w:pStyle w:val="ListParagraph"/>
        <w:numPr>
          <w:ilvl w:val="0"/>
          <w:numId w:val="2"/>
        </w:numPr>
        <w:spacing w:after="60" w:before="60"/>
      </w:pPr>
      <w:r>
        <w:rPr>
          <w:rFonts w:ascii="Arial" w:cs="Arial" w:eastAsia="Arial" w:hAnsi="Arial"/>
          <w:color w:val="1A1A2E"/>
          <w:sz w:val="21"/>
          <w:szCs w:val="21"/>
        </w:rPr>
        <w:t xml:space="preserve">2023 proved Verve can grow — the 13.9% revenue increase demonstrates that when conditions align, the business is capable of strong performance. The 2025 expansion strategy should be designed to replicate and sustain the conditions that drove 2023 outperformance, rather than accepting 2024's decline as the new normal</w:t>
      </w:r>
    </w:p>
    <w:p>
      <w:pPr>
        <w:pStyle w:val="ListParagraph"/>
        <w:numPr>
          <w:ilvl w:val="0"/>
          <w:numId w:val="2"/>
        </w:numPr>
        <w:spacing w:after="60" w:before="60"/>
      </w:pPr>
      <w:r>
        <w:rPr>
          <w:rFonts w:ascii="Arial" w:cs="Arial" w:eastAsia="Arial" w:hAnsi="Arial"/>
          <w:color w:val="1A1A2E"/>
          <w:sz w:val="21"/>
          <w:szCs w:val="21"/>
        </w:rPr>
        <w:t xml:space="preserve">Electronics is simultaneously Verve's most valuable category and its most vulnerable — accounting for ~45% of revenue while losing 18.7% of that revenue to refunds. Protecting Electronics performance through shipping improvement, pricing strategy, and inventory reliability is the single most impactful operational priority</w:t>
      </w:r>
    </w:p>
    <w:p>
      <w:pPr>
        <w:pStyle w:val="ListParagraph"/>
        <w:numPr>
          <w:ilvl w:val="0"/>
          <w:numId w:val="2"/>
        </w:numPr>
        <w:spacing w:after="60" w:before="60"/>
      </w:pPr>
      <w:r>
        <w:rPr>
          <w:rFonts w:ascii="Arial" w:cs="Arial" w:eastAsia="Arial" w:hAnsi="Arial"/>
          <w:color w:val="1A1A2E"/>
          <w:sz w:val="21"/>
          <w:szCs w:val="21"/>
        </w:rPr>
        <w:t xml:space="preserve">Loyalty programme relaunch must be built around the RFM reality — 197 Potential Loyalists and only 9 Loyal Customers represents a customer journey that is not converting engagement into loyalty. The 2025 relaunch needs a structured, measurable progression model rather than a generic points programme to close this gap</w:t>
      </w:r>
    </w:p>
    <w:p>
      <w:pPr>
        <w:spacing w:after="0" w:before="80"/>
      </w:pPr>
      <w:r>
        <w:t xml:space="preserve"/>
      </w:r>
    </w:p>
    <w:p>
      <w:pPr>
        <w:spacing w:after="80" w:before="80"/>
      </w:pPr>
      <w:r>
        <w:rPr>
          <w:rFonts w:ascii="Arial" w:cs="Arial" w:eastAsia="Arial" w:hAnsi="Arial"/>
          <w:color w:val="1A1A2E"/>
          <w:sz w:val="21"/>
          <w:szCs w:val="21"/>
        </w:rPr>
        <w:t xml:space="preserve">The data across all three analyses consistently points to the same root cause: Verve is good at attracting customers and maintaining margins, but is losing them before they become loyal. The 2025 agenda is fundamentally a retention and operational excellence agenda — and the evidence base from this analysis provides the roadmap to address it.</w:t>
      </w:r>
    </w:p>
    <w:p>
      <w:pPr>
        <w:spacing w:after="0" w:before="200"/>
      </w:pPr>
      <w:r>
        <w:t xml:space="preserve"/>
      </w:r>
    </w:p>
    <w:p>
      <w:pPr>
        <w:spacing w:after="0" w:before="200"/>
        <w:jc w:val="center"/>
      </w:pPr>
      <w:r>
        <w:rPr>
          <w:rFonts w:ascii="Arial" w:cs="Arial" w:eastAsia="Arial" w:hAnsi="Arial"/>
          <w:i/>
          <w:iCs/>
          <w:color w:val="888888"/>
          <w:sz w:val="18"/>
          <w:szCs w:val="18"/>
        </w:rPr>
        <w:t xml:space="preserve">Verve Retail Co. — Business Analytics Project | Executive Summary</w:t>
      </w:r>
    </w:p>
    <w:p>
      <w:pPr>
        <w:spacing w:after="0" w:before="40"/>
        <w:jc w:val="center"/>
      </w:pPr>
      <w:r>
        <w:rPr>
          <w:rFonts w:ascii="Arial" w:cs="Arial" w:eastAsia="Arial" w:hAnsi="Arial"/>
          <w:i/>
          <w:iCs/>
          <w:color w:val="888888"/>
          <w:sz w:val="18"/>
          <w:szCs w:val="18"/>
        </w:rPr>
        <w:t xml:space="preserve">Dataset: January 2022 – December 2024  |  Tools: Excel · MySQL · Power BI  |  Prepared by: Business Analytics Team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2026-06-23T08:38:02.213Z</dcterms:created>
  <dcterms:modified xsi:type="dcterms:W3CDTF">2026-06-23T08:38:02.214Z</dcterms:modified>
</cp:coreProperties>
</file>

<file path=docProps/custom.xml><?xml version="1.0" encoding="utf-8"?>
<Properties xmlns="http://schemas.openxmlformats.org/officeDocument/2006/custom-properties" xmlns:vt="http://schemas.openxmlformats.org/officeDocument/2006/docPropsVTypes"/>
</file>