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014D" w14:textId="77777777" w:rsidR="009C67F6" w:rsidRDefault="00635BC7">
      <w:pPr>
        <w:jc w:val="center"/>
      </w:pPr>
      <w:r>
        <w:rPr>
          <w:b/>
          <w:color w:val="003366"/>
          <w:sz w:val="52"/>
        </w:rPr>
        <w:t>Project Coversheet</w:t>
      </w:r>
    </w:p>
    <w:tbl>
      <w:tblPr>
        <w:tblStyle w:val="TableGrid"/>
        <w:tblW w:w="9658" w:type="dxa"/>
        <w:tblLook w:val="04A0" w:firstRow="1" w:lastRow="0" w:firstColumn="1" w:lastColumn="0" w:noHBand="0" w:noVBand="1"/>
      </w:tblPr>
      <w:tblGrid>
        <w:gridCol w:w="2093"/>
        <w:gridCol w:w="7565"/>
      </w:tblGrid>
      <w:tr w:rsidR="003239B8" w14:paraId="41627B0C" w14:textId="77777777" w:rsidTr="006F39B0">
        <w:trPr>
          <w:trHeight w:val="798"/>
        </w:trPr>
        <w:tc>
          <w:tcPr>
            <w:tcW w:w="2093" w:type="dxa"/>
            <w:shd w:val="clear" w:color="auto" w:fill="C6D9F1" w:themeFill="text2" w:themeFillTint="33"/>
          </w:tcPr>
          <w:p w14:paraId="529EF5CD" w14:textId="1AAD1BA6" w:rsidR="003239B8" w:rsidRPr="003239B8" w:rsidRDefault="003239B8">
            <w:r w:rsidRPr="003239B8">
              <w:t>Full Name</w:t>
            </w:r>
          </w:p>
        </w:tc>
        <w:tc>
          <w:tcPr>
            <w:tcW w:w="7565" w:type="dxa"/>
          </w:tcPr>
          <w:p w14:paraId="37489470" w14:textId="488B029F" w:rsidR="003239B8" w:rsidRDefault="006453E7">
            <w:r>
              <w:t>Alvin Siphosenkosi Moyo</w:t>
            </w:r>
          </w:p>
        </w:tc>
      </w:tr>
      <w:tr w:rsidR="003239B8" w14:paraId="364F8243" w14:textId="77777777" w:rsidTr="006F39B0">
        <w:trPr>
          <w:trHeight w:val="304"/>
        </w:trPr>
        <w:tc>
          <w:tcPr>
            <w:tcW w:w="2093" w:type="dxa"/>
            <w:shd w:val="clear" w:color="auto" w:fill="C6D9F1" w:themeFill="text2" w:themeFillTint="33"/>
          </w:tcPr>
          <w:p w14:paraId="574FCD2F" w14:textId="0DAFF7F8" w:rsidR="003239B8" w:rsidRPr="003239B8" w:rsidRDefault="003239B8">
            <w:r w:rsidRPr="003239B8">
              <w:t>Project Title (Example – Week1, Week2, Week3</w:t>
            </w:r>
            <w:r w:rsidR="00F41A81">
              <w:t>, Week 4</w:t>
            </w:r>
            <w:r w:rsidRPr="003239B8">
              <w:t>)</w:t>
            </w:r>
          </w:p>
        </w:tc>
        <w:tc>
          <w:tcPr>
            <w:tcW w:w="7565" w:type="dxa"/>
          </w:tcPr>
          <w:p w14:paraId="2B7F670E" w14:textId="7539F9A6" w:rsidR="003239B8" w:rsidRDefault="006F6D7A">
            <w:r w:rsidRPr="006F6D7A">
              <w:t>Week 3</w:t>
            </w:r>
            <w:r>
              <w:t xml:space="preserve">: </w:t>
            </w:r>
            <w:r w:rsidRPr="006F6D7A">
              <w:t xml:space="preserve">Churn Prediction for </w:t>
            </w:r>
            <w:proofErr w:type="spellStart"/>
            <w:r w:rsidRPr="006F6D7A">
              <w:t>StreamWorks</w:t>
            </w:r>
            <w:proofErr w:type="spellEnd"/>
            <w:r w:rsidRPr="006F6D7A">
              <w:t xml:space="preserve"> Media</w:t>
            </w:r>
          </w:p>
        </w:tc>
      </w:tr>
    </w:tbl>
    <w:p w14:paraId="2149F72E" w14:textId="66BE5B29" w:rsidR="008905A9" w:rsidRDefault="00635BC7" w:rsidP="008905A9">
      <w:pPr>
        <w:spacing w:before="240" w:line="360" w:lineRule="auto"/>
        <w:rPr>
          <w:b/>
          <w:color w:val="003366"/>
          <w:sz w:val="28"/>
        </w:rPr>
      </w:pPr>
      <w:r>
        <w:br/>
      </w:r>
      <w:r w:rsidR="008905A9" w:rsidRPr="008905A9">
        <w:rPr>
          <w:rStyle w:val="Strong"/>
          <w:color w:val="1F497D" w:themeColor="text2"/>
        </w:rPr>
        <w:t>Instructions:</w:t>
      </w:r>
      <w:r w:rsidR="008905A9">
        <w:br/>
      </w:r>
      <w:r w:rsidR="008905A9" w:rsidRPr="008905A9">
        <w:t xml:space="preserve">Students must </w:t>
      </w:r>
      <w:r w:rsidR="008905A9" w:rsidRPr="008905A9">
        <w:rPr>
          <w:rStyle w:val="Strong"/>
          <w:b w:val="0"/>
          <w:bCs w:val="0"/>
        </w:rPr>
        <w:t>download this cover sheet</w:t>
      </w:r>
      <w:r w:rsidR="008905A9" w:rsidRPr="008905A9">
        <w:rPr>
          <w:b/>
          <w:bCs/>
        </w:rPr>
        <w:t>,</w:t>
      </w:r>
      <w:r w:rsidR="008905A9" w:rsidRPr="008905A9">
        <w:t xml:space="preserve"> use it as the first page of their project, and then </w:t>
      </w:r>
      <w:r w:rsidR="008905A9" w:rsidRPr="008905A9">
        <w:rPr>
          <w:rStyle w:val="Strong"/>
          <w:b w:val="0"/>
          <w:bCs w:val="0"/>
        </w:rPr>
        <w:t>save the entire document as a PDF before submission</w:t>
      </w:r>
      <w:r w:rsidR="008905A9" w:rsidRPr="008905A9">
        <w:rPr>
          <w:b/>
          <w:bCs/>
        </w:rPr>
        <w:t>.</w:t>
      </w:r>
    </w:p>
    <w:p w14:paraId="137347F4" w14:textId="777A1379" w:rsidR="009C67F6" w:rsidRDefault="00635BC7" w:rsidP="008905A9">
      <w:pPr>
        <w:spacing w:before="240" w:line="360" w:lineRule="auto"/>
      </w:pPr>
      <w:r>
        <w:rPr>
          <w:b/>
          <w:color w:val="003366"/>
          <w:sz w:val="28"/>
        </w:rPr>
        <w:t>Project Guidelines and Rules</w:t>
      </w:r>
      <w:r>
        <w:rPr>
          <w:b/>
          <w:color w:val="003366"/>
        </w:rPr>
        <w:br/>
        <w:t>1. Formatting and Submission</w:t>
      </w:r>
    </w:p>
    <w:p w14:paraId="489C2A04" w14:textId="6E7591BA" w:rsidR="009C67F6" w:rsidRDefault="00635BC7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Format: Use a readable font (e.g., Arial/Times New Roman), size 12, 1.5 line spacing.</w:t>
      </w:r>
    </w:p>
    <w:p w14:paraId="2A04B525" w14:textId="35007D46" w:rsidR="009C67F6" w:rsidRDefault="00635BC7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Title: Include Week and Title (Example - Week 1: Travel</w:t>
      </w:r>
      <w:r w:rsidR="003E63EE">
        <w:t xml:space="preserve"> </w:t>
      </w:r>
      <w:r>
        <w:t>Ease Case Study.)</w:t>
      </w:r>
    </w:p>
    <w:p w14:paraId="11A6102E" w14:textId="6A05DC8B" w:rsidR="009C67F6" w:rsidRDefault="00635BC7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File Format: Submit as PDF or Word file</w:t>
      </w:r>
    </w:p>
    <w:p w14:paraId="2AC76FFB" w14:textId="31121A1F" w:rsidR="009C67F6" w:rsidRDefault="00635BC7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Page Limit: 4–5 pages, including the title and references.</w:t>
      </w:r>
    </w:p>
    <w:p w14:paraId="401FBDA9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2. Answer Requirements</w:t>
      </w:r>
    </w:p>
    <w:p w14:paraId="1CBBCF31" w14:textId="7679D058" w:rsidR="009C67F6" w:rsidRDefault="00635BC7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Word Count: Each answer should be</w:t>
      </w:r>
      <w:r w:rsidR="003239B8">
        <w:t xml:space="preserve"> within</w:t>
      </w:r>
      <w:r>
        <w:t xml:space="preserve"> 100–150 words; </w:t>
      </w:r>
      <w:r w:rsidR="003239B8">
        <w:t>Maximum</w:t>
      </w:r>
      <w:r>
        <w:t xml:space="preserve"> 800–1,200 words.</w:t>
      </w:r>
    </w:p>
    <w:p w14:paraId="6C08599F" w14:textId="77D506C8" w:rsidR="009C67F6" w:rsidRDefault="00635BC7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Clarity: Write concise, structured answers with key points.</w:t>
      </w:r>
    </w:p>
    <w:p w14:paraId="17632C44" w14:textId="30A59388" w:rsidR="009C67F6" w:rsidRDefault="00635BC7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Tone: Use formal, professional language.</w:t>
      </w:r>
    </w:p>
    <w:p w14:paraId="52A5D7C9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3. Content Rules</w:t>
      </w:r>
    </w:p>
    <w:p w14:paraId="3F5424DE" w14:textId="7FE84E46" w:rsidR="009C67F6" w:rsidRDefault="00635BC7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Answer all questions thoroughly, referencing case study concepts.</w:t>
      </w:r>
    </w:p>
    <w:p w14:paraId="1A17333D" w14:textId="0E84B30E" w:rsidR="009C67F6" w:rsidRDefault="00635BC7" w:rsidP="000050E5">
      <w:pPr>
        <w:pStyle w:val="ListBullet"/>
        <w:numPr>
          <w:ilvl w:val="0"/>
          <w:numId w:val="12"/>
        </w:numPr>
        <w:spacing w:before="240" w:line="360" w:lineRule="auto"/>
      </w:pPr>
      <w:r>
        <w:lastRenderedPageBreak/>
        <w:t>Use examples where possible (e.g., risk assessment techniques).</w:t>
      </w:r>
    </w:p>
    <w:p w14:paraId="071575CB" w14:textId="0E559F26" w:rsidR="009C67F6" w:rsidRDefault="00635BC7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Break complex answers into bullet points or lists.</w:t>
      </w:r>
    </w:p>
    <w:p w14:paraId="5D549CEC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4. Plagiarism Policy</w:t>
      </w:r>
    </w:p>
    <w:p w14:paraId="12150213" w14:textId="77B7EEA9" w:rsidR="009C67F6" w:rsidRDefault="00635BC7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Submit original work; no copy-pasting.</w:t>
      </w:r>
    </w:p>
    <w:p w14:paraId="4AFD3B70" w14:textId="0450E69B" w:rsidR="009C67F6" w:rsidRDefault="00635BC7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Cite external material in a consistent format (e.g., APA, MLA).</w:t>
      </w:r>
    </w:p>
    <w:p w14:paraId="6FDE1BCA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5. Evaluation Criteria</w:t>
      </w:r>
    </w:p>
    <w:p w14:paraId="36DD0800" w14:textId="04BE33ED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Understanding: Clear grasp of business analysis principles.</w:t>
      </w:r>
    </w:p>
    <w:p w14:paraId="5888A5F7" w14:textId="6B3BC5CF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Application: Effective use of concepts like cost-benefit analysis and</w:t>
      </w:r>
      <w:r w:rsidR="003239B8">
        <w:t xml:space="preserve"> </w:t>
      </w:r>
      <w:r>
        <w:t>Agile/Waterfall.</w:t>
      </w:r>
    </w:p>
    <w:p w14:paraId="0D53D6E4" w14:textId="68FCF292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Clarity: Logical, well-structured responses.</w:t>
      </w:r>
    </w:p>
    <w:p w14:paraId="64679A5B" w14:textId="5D46D3E5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Creativity: Innovative problem-solving and examples.</w:t>
      </w:r>
    </w:p>
    <w:p w14:paraId="7599715E" w14:textId="71DDCD14" w:rsidR="009C67F6" w:rsidRDefault="00635BC7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Completeness: Answer all questions within the word limit.</w:t>
      </w:r>
    </w:p>
    <w:p w14:paraId="1A9F1AF6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6. Deadlines and Late Submissions</w:t>
      </w:r>
    </w:p>
    <w:p w14:paraId="64DA13ED" w14:textId="4F3CAA57" w:rsidR="009C67F6" w:rsidRDefault="00635BC7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Deadline: Submit on time; trainees who fail to submit the project will miss the “Certificate of Excellence”</w:t>
      </w:r>
    </w:p>
    <w:p w14:paraId="1D3B4CA8" w14:textId="77777777" w:rsidR="009C67F6" w:rsidRDefault="00635BC7" w:rsidP="000050E5">
      <w:pPr>
        <w:spacing w:before="240" w:line="360" w:lineRule="auto"/>
      </w:pPr>
      <w:r>
        <w:rPr>
          <w:b/>
          <w:color w:val="003366"/>
        </w:rPr>
        <w:br/>
        <w:t>7. Additional Resources</w:t>
      </w:r>
    </w:p>
    <w:p w14:paraId="06F88F8B" w14:textId="234941D8" w:rsidR="009C67F6" w:rsidRDefault="00635BC7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Refer to lecture notes and recommended readings.</w:t>
      </w:r>
    </w:p>
    <w:p w14:paraId="08A7780E" w14:textId="6E4D071D" w:rsidR="003E63EE" w:rsidRDefault="00635BC7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Contact the instructor or peers for clarifications before the deadline.</w:t>
      </w:r>
    </w:p>
    <w:p w14:paraId="1C16E29E" w14:textId="77777777" w:rsidR="003E63EE" w:rsidRDefault="003E63EE" w:rsidP="000050E5">
      <w:pPr>
        <w:spacing w:line="360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6"/>
      </w:tblGrid>
      <w:tr w:rsidR="003E63EE" w14:paraId="597E65D1" w14:textId="77777777" w:rsidTr="00CD2ADE">
        <w:tc>
          <w:tcPr>
            <w:tcW w:w="9096" w:type="dxa"/>
          </w:tcPr>
          <w:p w14:paraId="6DF48AD1" w14:textId="6A815CC1" w:rsidR="003E63EE" w:rsidRDefault="003E63EE" w:rsidP="00CD2ADE">
            <w:pPr>
              <w:pStyle w:val="ListBullet"/>
              <w:numPr>
                <w:ilvl w:val="0"/>
                <w:numId w:val="0"/>
              </w:numPr>
            </w:pPr>
            <w:r w:rsidRPr="003E63EE">
              <w:rPr>
                <w:b/>
                <w:color w:val="1F497D" w:themeColor="text2"/>
              </w:rPr>
              <w:lastRenderedPageBreak/>
              <w:t>YOU CAN START YOUR PROJECT FROM HERE</w:t>
            </w:r>
          </w:p>
        </w:tc>
      </w:tr>
    </w:tbl>
    <w:p w14:paraId="4789F569" w14:textId="1D877B4E" w:rsidR="002E034E" w:rsidRPr="002E034E" w:rsidRDefault="002E034E" w:rsidP="00935EEE">
      <w:pPr>
        <w:spacing w:after="0" w:line="360" w:lineRule="auto"/>
        <w:rPr>
          <w:rFonts w:cs="Arial"/>
          <w:b/>
          <w:bCs/>
        </w:rPr>
      </w:pPr>
      <w:r w:rsidRPr="002E034E">
        <w:rPr>
          <w:rFonts w:cs="Arial"/>
          <w:b/>
          <w:bCs/>
        </w:rPr>
        <w:t>Executive Summary &amp; Technical Methodology</w:t>
      </w:r>
    </w:p>
    <w:p w14:paraId="12988FA5" w14:textId="77777777" w:rsidR="002E034E" w:rsidRDefault="002E034E" w:rsidP="00935EEE">
      <w:p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Objective:</w:t>
      </w:r>
      <w:r w:rsidRPr="002E034E">
        <w:rPr>
          <w:rFonts w:cs="Arial"/>
        </w:rPr>
        <w:t xml:space="preserve"> </w:t>
      </w:r>
      <w:proofErr w:type="spellStart"/>
      <w:r w:rsidRPr="002E034E">
        <w:rPr>
          <w:rFonts w:cs="Arial"/>
        </w:rPr>
        <w:t>StreamWorks</w:t>
      </w:r>
      <w:proofErr w:type="spellEnd"/>
      <w:r w:rsidRPr="002E034E">
        <w:rPr>
          <w:rFonts w:cs="Arial"/>
        </w:rPr>
        <w:t xml:space="preserve"> Media faces rising acquisition costs, making retention critical. This project analyses </w:t>
      </w:r>
      <w:r w:rsidRPr="00482882">
        <w:rPr>
          <w:rFonts w:cs="Arial"/>
          <w:b/>
          <w:bCs/>
          <w:sz w:val="20"/>
          <w:szCs w:val="20"/>
        </w:rPr>
        <w:t>streamworks_user_data.csv</w:t>
      </w:r>
      <w:r w:rsidRPr="002E034E">
        <w:rPr>
          <w:rFonts w:cs="Arial"/>
        </w:rPr>
        <w:t xml:space="preserve"> to identify churn drivers and build predictive models (Logistic &amp; Linear Regression) for early intervention.</w:t>
      </w:r>
    </w:p>
    <w:p w14:paraId="1BC1A2DC" w14:textId="77777777" w:rsidR="00D55B4C" w:rsidRPr="00211FC7" w:rsidRDefault="00D55B4C" w:rsidP="00D55B4C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Cs w:val="24"/>
        </w:rPr>
      </w:pPr>
      <w:r w:rsidRPr="00211FC7">
        <w:rPr>
          <w:rFonts w:eastAsia="Times New Roman" w:cs="Arial"/>
          <w:b/>
          <w:bCs/>
          <w:szCs w:val="24"/>
        </w:rPr>
        <w:t>1. Data Scope &amp; Exploration</w:t>
      </w:r>
    </w:p>
    <w:p w14:paraId="5EDCF58E" w14:textId="655B1764" w:rsidR="00D55B4C" w:rsidRPr="00D55B4C" w:rsidRDefault="00D55B4C" w:rsidP="009D487F">
      <w:pPr>
        <w:spacing w:before="100" w:beforeAutospacing="1" w:after="100" w:afterAutospacing="1" w:line="360" w:lineRule="auto"/>
        <w:rPr>
          <w:rFonts w:eastAsia="Times New Roman" w:cs="Arial"/>
          <w:szCs w:val="24"/>
        </w:rPr>
      </w:pPr>
      <w:r w:rsidRPr="00D55B4C">
        <w:rPr>
          <w:rFonts w:eastAsia="Times New Roman" w:cs="Arial"/>
          <w:b/>
          <w:bCs/>
          <w:szCs w:val="24"/>
        </w:rPr>
        <w:t>Dataset Overview:</w:t>
      </w:r>
      <w:r w:rsidRPr="00D55B4C">
        <w:rPr>
          <w:rFonts w:eastAsia="Times New Roman" w:cs="Arial"/>
          <w:szCs w:val="24"/>
        </w:rPr>
        <w:t xml:space="preserve"> The analysis </w:t>
      </w:r>
      <w:proofErr w:type="spellStart"/>
      <w:r w:rsidRPr="00D55B4C">
        <w:rPr>
          <w:rFonts w:eastAsia="Times New Roman" w:cs="Arial"/>
          <w:szCs w:val="24"/>
        </w:rPr>
        <w:t>utilises</w:t>
      </w:r>
      <w:proofErr w:type="spellEnd"/>
      <w:r w:rsidRPr="00D55B4C">
        <w:rPr>
          <w:rFonts w:eastAsia="Times New Roman" w:cs="Arial"/>
          <w:szCs w:val="24"/>
        </w:rPr>
        <w:t xml:space="preserve"> the </w:t>
      </w:r>
      <w:r w:rsidRPr="008039E8">
        <w:rPr>
          <w:rFonts w:eastAsia="Times New Roman" w:cs="Arial"/>
          <w:b/>
          <w:bCs/>
          <w:sz w:val="20"/>
          <w:szCs w:val="20"/>
        </w:rPr>
        <w:t>streamworks_user_data.csv</w:t>
      </w:r>
      <w:r w:rsidRPr="00D55B4C">
        <w:rPr>
          <w:rFonts w:eastAsia="Times New Roman" w:cs="Arial"/>
          <w:szCs w:val="24"/>
        </w:rPr>
        <w:t xml:space="preserve"> dataset, comprising </w:t>
      </w:r>
      <w:r w:rsidRPr="00D55B4C">
        <w:rPr>
          <w:rFonts w:eastAsia="Times New Roman" w:cs="Arial"/>
          <w:b/>
          <w:bCs/>
          <w:szCs w:val="24"/>
        </w:rPr>
        <w:t>1,500 unique subscriber records</w:t>
      </w:r>
      <w:r w:rsidRPr="00D55B4C">
        <w:rPr>
          <w:rFonts w:eastAsia="Times New Roman" w:cs="Arial"/>
          <w:szCs w:val="24"/>
        </w:rPr>
        <w:t xml:space="preserve"> and </w:t>
      </w:r>
      <w:r w:rsidRPr="00D55B4C">
        <w:rPr>
          <w:rFonts w:eastAsia="Times New Roman" w:cs="Arial"/>
          <w:b/>
          <w:bCs/>
          <w:szCs w:val="24"/>
        </w:rPr>
        <w:t>14 features</w:t>
      </w:r>
      <w:r w:rsidRPr="00D55B4C">
        <w:rPr>
          <w:rFonts w:eastAsia="Times New Roman" w:cs="Arial"/>
          <w:szCs w:val="24"/>
        </w:rPr>
        <w:t xml:space="preserve">. The data structure includes a mix of numerical variables (e.g., </w:t>
      </w:r>
      <w:r w:rsidRPr="00D55B4C">
        <w:rPr>
          <w:rFonts w:eastAsia="Times New Roman" w:cs="Arial"/>
          <w:b/>
          <w:bCs/>
          <w:sz w:val="20"/>
          <w:szCs w:val="20"/>
        </w:rPr>
        <w:t>age</w:t>
      </w:r>
      <w:r w:rsidRPr="00D55B4C">
        <w:rPr>
          <w:rFonts w:eastAsia="Times New Roman" w:cs="Arial"/>
          <w:b/>
          <w:bCs/>
          <w:szCs w:val="24"/>
        </w:rPr>
        <w:t xml:space="preserve">, </w:t>
      </w:r>
      <w:proofErr w:type="spellStart"/>
      <w:r w:rsidRPr="00D55B4C">
        <w:rPr>
          <w:rFonts w:eastAsia="Times New Roman" w:cs="Arial"/>
          <w:b/>
          <w:bCs/>
          <w:sz w:val="20"/>
          <w:szCs w:val="20"/>
        </w:rPr>
        <w:t>monthly_fee</w:t>
      </w:r>
      <w:proofErr w:type="spellEnd"/>
      <w:r w:rsidRPr="00D55B4C">
        <w:rPr>
          <w:rFonts w:eastAsia="Times New Roman" w:cs="Arial"/>
          <w:b/>
          <w:bCs/>
          <w:szCs w:val="24"/>
        </w:rPr>
        <w:t xml:space="preserve">, </w:t>
      </w:r>
      <w:proofErr w:type="spellStart"/>
      <w:r w:rsidRPr="00D55B4C">
        <w:rPr>
          <w:rFonts w:eastAsia="Times New Roman" w:cs="Arial"/>
          <w:b/>
          <w:bCs/>
          <w:sz w:val="20"/>
          <w:szCs w:val="20"/>
        </w:rPr>
        <w:t>average_watch_hours</w:t>
      </w:r>
      <w:proofErr w:type="spellEnd"/>
      <w:r w:rsidRPr="00D55B4C">
        <w:rPr>
          <w:rFonts w:eastAsia="Times New Roman" w:cs="Arial"/>
          <w:szCs w:val="24"/>
        </w:rPr>
        <w:t xml:space="preserve">) and categorical attributes (e.g., </w:t>
      </w:r>
      <w:r w:rsidRPr="00D55B4C">
        <w:rPr>
          <w:rFonts w:eastAsia="Times New Roman" w:cs="Arial"/>
          <w:b/>
          <w:bCs/>
          <w:sz w:val="20"/>
          <w:szCs w:val="20"/>
        </w:rPr>
        <w:t>gender</w:t>
      </w:r>
      <w:r w:rsidRPr="00D55B4C">
        <w:rPr>
          <w:rFonts w:eastAsia="Times New Roman" w:cs="Arial"/>
          <w:b/>
          <w:bCs/>
          <w:szCs w:val="24"/>
        </w:rPr>
        <w:t xml:space="preserve">, </w:t>
      </w:r>
      <w:proofErr w:type="spellStart"/>
      <w:r w:rsidRPr="00D55B4C">
        <w:rPr>
          <w:rFonts w:eastAsia="Times New Roman" w:cs="Arial"/>
          <w:b/>
          <w:bCs/>
          <w:sz w:val="20"/>
          <w:szCs w:val="20"/>
        </w:rPr>
        <w:t>subscription_type</w:t>
      </w:r>
      <w:proofErr w:type="spellEnd"/>
      <w:r w:rsidRPr="00D55B4C">
        <w:rPr>
          <w:rFonts w:eastAsia="Times New Roman" w:cs="Arial"/>
          <w:szCs w:val="24"/>
        </w:rPr>
        <w:t>).</w:t>
      </w:r>
    </w:p>
    <w:p w14:paraId="5DC5286B" w14:textId="77777777" w:rsidR="00D55B4C" w:rsidRPr="00D55B4C" w:rsidRDefault="00D55B4C" w:rsidP="005E0807">
      <w:pPr>
        <w:spacing w:after="0" w:line="360" w:lineRule="auto"/>
        <w:rPr>
          <w:rFonts w:eastAsia="Times New Roman" w:cs="Arial"/>
          <w:szCs w:val="24"/>
        </w:rPr>
      </w:pPr>
      <w:r w:rsidRPr="00D55B4C">
        <w:rPr>
          <w:rFonts w:eastAsia="Times New Roman" w:cs="Arial"/>
          <w:b/>
          <w:bCs/>
          <w:szCs w:val="24"/>
        </w:rPr>
        <w:t>Key Observations:</w:t>
      </w:r>
    </w:p>
    <w:p w14:paraId="6FAC76EC" w14:textId="1E763C18" w:rsidR="00D55B4C" w:rsidRPr="00D55B4C" w:rsidRDefault="00D55B4C" w:rsidP="009D487F">
      <w:pPr>
        <w:numPr>
          <w:ilvl w:val="0"/>
          <w:numId w:val="45"/>
        </w:numPr>
        <w:spacing w:line="360" w:lineRule="auto"/>
        <w:rPr>
          <w:rFonts w:eastAsia="Times New Roman" w:cs="Arial"/>
          <w:szCs w:val="24"/>
        </w:rPr>
      </w:pPr>
      <w:r w:rsidRPr="00D55B4C">
        <w:rPr>
          <w:rFonts w:eastAsia="Times New Roman" w:cs="Arial"/>
          <w:b/>
          <w:bCs/>
          <w:szCs w:val="24"/>
        </w:rPr>
        <w:t>Data Types:</w:t>
      </w:r>
      <w:r w:rsidRPr="00D55B4C">
        <w:rPr>
          <w:rFonts w:eastAsia="Times New Roman" w:cs="Arial"/>
          <w:szCs w:val="24"/>
        </w:rPr>
        <w:t xml:space="preserve"> Initial inspection via </w:t>
      </w:r>
      <w:proofErr w:type="gramStart"/>
      <w:r w:rsidRPr="00D55B4C">
        <w:rPr>
          <w:rFonts w:eastAsia="Times New Roman" w:cs="Arial"/>
          <w:b/>
          <w:bCs/>
          <w:sz w:val="20"/>
          <w:szCs w:val="20"/>
        </w:rPr>
        <w:t>df.info(</w:t>
      </w:r>
      <w:r w:rsidR="001B1D21">
        <w:rPr>
          <w:rFonts w:eastAsia="Times New Roman" w:cs="Arial"/>
          <w:b/>
          <w:bCs/>
          <w:sz w:val="20"/>
          <w:szCs w:val="20"/>
        </w:rPr>
        <w:t xml:space="preserve"> </w:t>
      </w:r>
      <w:r w:rsidRPr="00D55B4C">
        <w:rPr>
          <w:rFonts w:eastAsia="Times New Roman" w:cs="Arial"/>
          <w:b/>
          <w:bCs/>
          <w:sz w:val="20"/>
          <w:szCs w:val="20"/>
        </w:rPr>
        <w:t>)</w:t>
      </w:r>
      <w:proofErr w:type="gramEnd"/>
      <w:r w:rsidRPr="00D55B4C">
        <w:rPr>
          <w:rFonts w:eastAsia="Times New Roman" w:cs="Arial"/>
          <w:szCs w:val="24"/>
        </w:rPr>
        <w:t xml:space="preserve"> confirmed that date columns were incorrectly stored as object strings, requiring conversion.</w:t>
      </w:r>
    </w:p>
    <w:p w14:paraId="465B24B5" w14:textId="26F33ABF" w:rsidR="00D55B4C" w:rsidRPr="00D55B4C" w:rsidRDefault="00D55B4C" w:rsidP="009D487F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Cs w:val="24"/>
        </w:rPr>
      </w:pPr>
      <w:r w:rsidRPr="00D55B4C">
        <w:rPr>
          <w:rFonts w:eastAsia="Times New Roman" w:cs="Arial"/>
          <w:b/>
          <w:bCs/>
          <w:szCs w:val="24"/>
        </w:rPr>
        <w:t>Correlation:</w:t>
      </w:r>
      <w:r w:rsidRPr="00D55B4C">
        <w:rPr>
          <w:rFonts w:eastAsia="Times New Roman" w:cs="Arial"/>
          <w:szCs w:val="24"/>
        </w:rPr>
        <w:t xml:space="preserve"> A correlation heatmap revealed a </w:t>
      </w:r>
      <w:r w:rsidR="006746FA">
        <w:rPr>
          <w:rFonts w:eastAsia="Times New Roman" w:cs="Arial"/>
          <w:szCs w:val="24"/>
        </w:rPr>
        <w:t>clear</w:t>
      </w:r>
      <w:r w:rsidRPr="00D55B4C">
        <w:rPr>
          <w:rFonts w:eastAsia="Times New Roman" w:cs="Arial"/>
          <w:szCs w:val="24"/>
        </w:rPr>
        <w:t xml:space="preserve"> </w:t>
      </w:r>
      <w:r w:rsidRPr="00D55B4C">
        <w:rPr>
          <w:rFonts w:eastAsia="Times New Roman" w:cs="Arial"/>
          <w:b/>
          <w:bCs/>
          <w:szCs w:val="24"/>
        </w:rPr>
        <w:t>negative relationship</w:t>
      </w:r>
      <w:r w:rsidRPr="00D55B4C">
        <w:rPr>
          <w:rFonts w:eastAsia="Times New Roman" w:cs="Arial"/>
          <w:szCs w:val="24"/>
        </w:rPr>
        <w:t xml:space="preserve"> between </w:t>
      </w:r>
      <w:proofErr w:type="spellStart"/>
      <w:r w:rsidRPr="00D55B4C">
        <w:rPr>
          <w:rFonts w:eastAsia="Times New Roman" w:cs="Arial"/>
          <w:b/>
          <w:bCs/>
          <w:sz w:val="20"/>
          <w:szCs w:val="20"/>
        </w:rPr>
        <w:t>average_watch_hours</w:t>
      </w:r>
      <w:proofErr w:type="spellEnd"/>
      <w:r w:rsidRPr="00D55B4C">
        <w:rPr>
          <w:rFonts w:eastAsia="Times New Roman" w:cs="Arial"/>
          <w:szCs w:val="24"/>
        </w:rPr>
        <w:t xml:space="preserve"> and </w:t>
      </w:r>
      <w:proofErr w:type="spellStart"/>
      <w:r w:rsidRPr="00D55B4C">
        <w:rPr>
          <w:rFonts w:eastAsia="Times New Roman" w:cs="Arial"/>
          <w:b/>
          <w:bCs/>
          <w:sz w:val="20"/>
          <w:szCs w:val="20"/>
        </w:rPr>
        <w:t>is_churned</w:t>
      </w:r>
      <w:proofErr w:type="spellEnd"/>
      <w:r w:rsidRPr="00D55B4C">
        <w:rPr>
          <w:rFonts w:eastAsia="Times New Roman" w:cs="Arial"/>
          <w:szCs w:val="24"/>
        </w:rPr>
        <w:t>, suggesting that low engagement is a primary risk factor</w:t>
      </w:r>
      <w:r w:rsidRPr="00D55B4C">
        <w:rPr>
          <w:rFonts w:ascii="Times New Roman" w:eastAsia="Times New Roman" w:hAnsi="Times New Roman" w:cs="Times New Roman"/>
          <w:szCs w:val="24"/>
        </w:rPr>
        <w:t>.</w:t>
      </w:r>
    </w:p>
    <w:p w14:paraId="0204E6DF" w14:textId="2FDAE801" w:rsidR="004A31F0" w:rsidRPr="002E034E" w:rsidRDefault="00F41261" w:rsidP="00F41261">
      <w:pPr>
        <w:spacing w:after="0" w:line="360" w:lineRule="auto"/>
        <w:rPr>
          <w:rFonts w:cs="Arial"/>
        </w:rPr>
      </w:pPr>
      <w:r w:rsidRPr="00F41261">
        <w:rPr>
          <w:rFonts w:cs="Arial"/>
          <w:noProof/>
        </w:rPr>
        <w:drawing>
          <wp:inline distT="0" distB="0" distL="0" distR="0" wp14:anchorId="1D3DA73D" wp14:editId="27EE42CF">
            <wp:extent cx="2574925" cy="2871518"/>
            <wp:effectExtent l="0" t="0" r="0" b="5080"/>
            <wp:docPr id="1577868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83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918" cy="28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A86">
        <w:rPr>
          <w:rFonts w:cs="Arial"/>
          <w:noProof/>
        </w:rPr>
        <w:drawing>
          <wp:inline distT="0" distB="0" distL="0" distR="0" wp14:anchorId="64423591" wp14:editId="771DDC9C">
            <wp:extent cx="3360370" cy="2880360"/>
            <wp:effectExtent l="0" t="0" r="0" b="0"/>
            <wp:docPr id="2064348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864" cy="2907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79173D" w14:textId="6B2773CE" w:rsidR="00DB174A" w:rsidRDefault="0074685D" w:rsidP="00DB174A">
      <w:pPr>
        <w:spacing w:after="0" w:line="240" w:lineRule="auto"/>
        <w:outlineLvl w:val="2"/>
        <w:rPr>
          <w:rFonts w:eastAsia="Times New Roman" w:cs="Arial"/>
          <w:b/>
          <w:bCs/>
          <w:szCs w:val="24"/>
        </w:rPr>
      </w:pPr>
      <w:r w:rsidRPr="0074685D">
        <w:rPr>
          <w:rFonts w:eastAsia="Times New Roman" w:cs="Arial"/>
          <w:b/>
          <w:bCs/>
          <w:szCs w:val="24"/>
        </w:rPr>
        <w:t xml:space="preserve">Figure 1: </w:t>
      </w:r>
      <w:r w:rsidRPr="0074685D">
        <w:rPr>
          <w:rFonts w:eastAsia="Times New Roman" w:cs="Arial"/>
          <w:i/>
          <w:iCs/>
          <w:szCs w:val="24"/>
        </w:rPr>
        <w:t>Dataset structure showing 1,500 non-null entries and Correlation Matrix highlighting the inverse relationship between watch time and churn</w:t>
      </w:r>
      <w:r w:rsidRPr="0074685D">
        <w:rPr>
          <w:rFonts w:eastAsia="Times New Roman" w:cs="Arial"/>
          <w:b/>
          <w:bCs/>
          <w:szCs w:val="24"/>
        </w:rPr>
        <w:t>.</w:t>
      </w:r>
    </w:p>
    <w:p w14:paraId="74526BF2" w14:textId="05ABD0E2" w:rsidR="00E628AC" w:rsidRPr="00E628AC" w:rsidRDefault="00E628AC" w:rsidP="0089468D">
      <w:pPr>
        <w:spacing w:after="0" w:line="360" w:lineRule="auto"/>
        <w:outlineLvl w:val="2"/>
        <w:rPr>
          <w:rFonts w:eastAsia="Times New Roman" w:cs="Arial"/>
          <w:b/>
          <w:bCs/>
          <w:szCs w:val="24"/>
        </w:rPr>
      </w:pPr>
      <w:r w:rsidRPr="00E628AC">
        <w:rPr>
          <w:rFonts w:eastAsia="Times New Roman" w:cs="Arial"/>
          <w:b/>
          <w:bCs/>
          <w:szCs w:val="24"/>
        </w:rPr>
        <w:lastRenderedPageBreak/>
        <w:t>2. Data Cleaning &amp; Integrity</w:t>
      </w:r>
    </w:p>
    <w:p w14:paraId="190429CA" w14:textId="77777777" w:rsidR="00E628AC" w:rsidRPr="00E628AC" w:rsidRDefault="00E628AC" w:rsidP="006F6E54">
      <w:pPr>
        <w:spacing w:after="0" w:line="360" w:lineRule="auto"/>
        <w:rPr>
          <w:rFonts w:eastAsia="Times New Roman" w:cs="Arial"/>
          <w:szCs w:val="24"/>
        </w:rPr>
      </w:pPr>
      <w:r w:rsidRPr="00E628AC">
        <w:rPr>
          <w:rFonts w:eastAsia="Times New Roman" w:cs="Arial"/>
          <w:szCs w:val="24"/>
        </w:rPr>
        <w:t xml:space="preserve">To ensure analytical </w:t>
      </w:r>
      <w:proofErr w:type="spellStart"/>
      <w:r w:rsidRPr="00E628AC">
        <w:rPr>
          <w:rFonts w:eastAsia="Times New Roman" w:cs="Arial"/>
          <w:szCs w:val="24"/>
        </w:rPr>
        <w:t>rigour</w:t>
      </w:r>
      <w:proofErr w:type="spellEnd"/>
      <w:r w:rsidRPr="00E628AC">
        <w:rPr>
          <w:rFonts w:eastAsia="Times New Roman" w:cs="Arial"/>
          <w:szCs w:val="24"/>
        </w:rPr>
        <w:t xml:space="preserve"> and model stability, the following preprocessing steps were executed:</w:t>
      </w:r>
    </w:p>
    <w:p w14:paraId="4FC3DC0F" w14:textId="77777777" w:rsidR="00E628AC" w:rsidRPr="00E628AC" w:rsidRDefault="00E628AC" w:rsidP="006A08B9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eastAsia="Times New Roman" w:cs="Arial"/>
          <w:szCs w:val="24"/>
        </w:rPr>
      </w:pPr>
      <w:r w:rsidRPr="00E628AC">
        <w:rPr>
          <w:rFonts w:eastAsia="Times New Roman" w:cs="Arial"/>
          <w:b/>
          <w:bCs/>
          <w:szCs w:val="24"/>
        </w:rPr>
        <w:t>Date Conversion:</w:t>
      </w:r>
      <w:r w:rsidRPr="00E628AC">
        <w:rPr>
          <w:rFonts w:eastAsia="Times New Roman" w:cs="Arial"/>
          <w:szCs w:val="24"/>
        </w:rPr>
        <w:t xml:space="preserve"> </w:t>
      </w:r>
      <w:proofErr w:type="spellStart"/>
      <w:r w:rsidRPr="00B159C0">
        <w:rPr>
          <w:rFonts w:eastAsia="Times New Roman" w:cs="Arial"/>
          <w:b/>
          <w:bCs/>
          <w:sz w:val="20"/>
          <w:szCs w:val="20"/>
        </w:rPr>
        <w:t>signup_date</w:t>
      </w:r>
      <w:proofErr w:type="spellEnd"/>
      <w:r w:rsidRPr="00E628AC">
        <w:rPr>
          <w:rFonts w:eastAsia="Times New Roman" w:cs="Arial"/>
          <w:szCs w:val="24"/>
        </w:rPr>
        <w:t xml:space="preserve"> and </w:t>
      </w:r>
      <w:proofErr w:type="spellStart"/>
      <w:r w:rsidRPr="00B159C0">
        <w:rPr>
          <w:rFonts w:eastAsia="Times New Roman" w:cs="Arial"/>
          <w:b/>
          <w:bCs/>
          <w:sz w:val="20"/>
          <w:szCs w:val="20"/>
        </w:rPr>
        <w:t>last_active_date</w:t>
      </w:r>
      <w:proofErr w:type="spellEnd"/>
      <w:r w:rsidRPr="00E628AC">
        <w:rPr>
          <w:rFonts w:eastAsia="Times New Roman" w:cs="Arial"/>
          <w:szCs w:val="24"/>
        </w:rPr>
        <w:t xml:space="preserve"> were converted to datetime objects. This was a prerequisite for calculating the </w:t>
      </w:r>
      <w:r w:rsidRPr="00E628AC">
        <w:rPr>
          <w:rFonts w:eastAsia="Times New Roman" w:cs="Arial"/>
          <w:sz w:val="20"/>
          <w:szCs w:val="20"/>
        </w:rPr>
        <w:t>Tenure</w:t>
      </w:r>
      <w:r w:rsidRPr="00E628AC">
        <w:rPr>
          <w:rFonts w:eastAsia="Times New Roman" w:cs="Arial"/>
          <w:szCs w:val="24"/>
        </w:rPr>
        <w:t xml:space="preserve"> variable.</w:t>
      </w:r>
    </w:p>
    <w:p w14:paraId="27DE15B3" w14:textId="77777777" w:rsidR="00E628AC" w:rsidRDefault="00E628AC" w:rsidP="006A08B9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eastAsia="Times New Roman" w:cs="Arial"/>
          <w:szCs w:val="24"/>
        </w:rPr>
      </w:pPr>
      <w:r w:rsidRPr="00E628AC">
        <w:rPr>
          <w:rFonts w:eastAsia="Times New Roman" w:cs="Arial"/>
          <w:b/>
          <w:bCs/>
          <w:szCs w:val="24"/>
        </w:rPr>
        <w:t>Missing Value Imputation:</w:t>
      </w:r>
      <w:r w:rsidRPr="00E628AC">
        <w:rPr>
          <w:rFonts w:eastAsia="Times New Roman" w:cs="Arial"/>
          <w:szCs w:val="24"/>
        </w:rPr>
        <w:t xml:space="preserve"> Null values in </w:t>
      </w:r>
      <w:proofErr w:type="spellStart"/>
      <w:r w:rsidRPr="00A52DF1">
        <w:rPr>
          <w:rFonts w:eastAsia="Times New Roman" w:cs="Arial"/>
          <w:b/>
          <w:bCs/>
          <w:sz w:val="20"/>
          <w:szCs w:val="20"/>
        </w:rPr>
        <w:t>monthly_fee</w:t>
      </w:r>
      <w:proofErr w:type="spellEnd"/>
      <w:r w:rsidRPr="00E628AC">
        <w:rPr>
          <w:rFonts w:eastAsia="Times New Roman" w:cs="Arial"/>
          <w:szCs w:val="24"/>
        </w:rPr>
        <w:t xml:space="preserve"> were identified and imputed using the median value to prevent data leakage and preserve the sample size.</w:t>
      </w:r>
    </w:p>
    <w:p w14:paraId="12521129" w14:textId="77777777" w:rsidR="007E6AF4" w:rsidRDefault="00B70B4D" w:rsidP="007E6AF4">
      <w:pPr>
        <w:spacing w:before="100" w:beforeAutospacing="1" w:after="100" w:afterAutospacing="1" w:line="360" w:lineRule="auto"/>
        <w:rPr>
          <w:rFonts w:eastAsia="Times New Roman" w:cs="Arial"/>
          <w:b/>
          <w:bCs/>
          <w:szCs w:val="24"/>
        </w:rPr>
      </w:pPr>
      <w:r w:rsidRPr="00B70B4D">
        <w:rPr>
          <w:rFonts w:eastAsia="Times New Roman" w:cs="Arial"/>
          <w:noProof/>
          <w:szCs w:val="24"/>
        </w:rPr>
        <w:drawing>
          <wp:inline distT="0" distB="0" distL="0" distR="0" wp14:anchorId="48CF0152" wp14:editId="0AF0EC5B">
            <wp:extent cx="4328160" cy="1059180"/>
            <wp:effectExtent l="0" t="0" r="0" b="7620"/>
            <wp:docPr id="746398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88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080" cy="10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EC08" w14:textId="19E571F9" w:rsidR="00E628AC" w:rsidRDefault="00E628AC" w:rsidP="007E6AF4">
      <w:pPr>
        <w:spacing w:before="100" w:beforeAutospacing="1" w:after="100" w:afterAutospacing="1" w:line="360" w:lineRule="auto"/>
        <w:rPr>
          <w:rFonts w:eastAsia="Times New Roman" w:cs="Arial"/>
          <w:i/>
          <w:iCs/>
          <w:szCs w:val="24"/>
        </w:rPr>
      </w:pPr>
      <w:r w:rsidRPr="00F777A7">
        <w:rPr>
          <w:rFonts w:eastAsia="Times New Roman" w:cs="Arial"/>
          <w:b/>
          <w:bCs/>
          <w:szCs w:val="24"/>
        </w:rPr>
        <w:t>Figure 2:</w:t>
      </w:r>
      <w:r w:rsidRPr="00E628AC">
        <w:rPr>
          <w:rFonts w:eastAsia="Times New Roman" w:cs="Arial"/>
          <w:i/>
          <w:iCs/>
          <w:szCs w:val="24"/>
        </w:rPr>
        <w:t xml:space="preserve"> Code execution for datetime conversion and handling missing billing data.</w:t>
      </w:r>
    </w:p>
    <w:p w14:paraId="47185E0B" w14:textId="10BF0C1C" w:rsidR="002E034E" w:rsidRPr="002E034E" w:rsidRDefault="00394210" w:rsidP="006C214D">
      <w:pPr>
        <w:spacing w:after="0" w:line="360" w:lineRule="auto"/>
        <w:rPr>
          <w:rFonts w:cs="Arial"/>
          <w:b/>
          <w:bCs/>
        </w:rPr>
      </w:pPr>
      <w:r>
        <w:rPr>
          <w:rFonts w:cs="Arial"/>
          <w:b/>
          <w:bCs/>
        </w:rPr>
        <w:t>3</w:t>
      </w:r>
      <w:r w:rsidR="002E034E" w:rsidRPr="002E034E">
        <w:rPr>
          <w:rFonts w:cs="Arial"/>
          <w:b/>
          <w:bCs/>
        </w:rPr>
        <w:t>. Feature Engineering Strategy</w:t>
      </w:r>
    </w:p>
    <w:p w14:paraId="6BF4A6E8" w14:textId="77777777" w:rsidR="005E192B" w:rsidRPr="005E192B" w:rsidRDefault="005E192B" w:rsidP="006C214D">
      <w:pPr>
        <w:spacing w:after="0" w:line="360" w:lineRule="auto"/>
        <w:rPr>
          <w:rFonts w:cs="Arial"/>
        </w:rPr>
      </w:pPr>
      <w:r w:rsidRPr="005E192B">
        <w:rPr>
          <w:rFonts w:cs="Arial"/>
        </w:rPr>
        <w:t xml:space="preserve">To extract deeper </w:t>
      </w:r>
      <w:proofErr w:type="spellStart"/>
      <w:r w:rsidRPr="005E192B">
        <w:rPr>
          <w:rFonts w:cs="Arial"/>
        </w:rPr>
        <w:t>behavioural</w:t>
      </w:r>
      <w:proofErr w:type="spellEnd"/>
      <w:r w:rsidRPr="005E192B">
        <w:rPr>
          <w:rFonts w:cs="Arial"/>
        </w:rPr>
        <w:t xml:space="preserve"> signals and prepare data for modelling, we engineered custom features and transformed categorical variables:</w:t>
      </w:r>
    </w:p>
    <w:p w14:paraId="23B41422" w14:textId="77777777" w:rsidR="005E192B" w:rsidRPr="005E192B" w:rsidRDefault="005E192B" w:rsidP="005E192B">
      <w:pPr>
        <w:numPr>
          <w:ilvl w:val="0"/>
          <w:numId w:val="47"/>
        </w:numPr>
        <w:spacing w:after="0" w:line="360" w:lineRule="auto"/>
        <w:rPr>
          <w:rFonts w:cs="Arial"/>
        </w:rPr>
      </w:pPr>
      <w:r w:rsidRPr="005E192B">
        <w:rPr>
          <w:rFonts w:cs="Arial"/>
          <w:b/>
          <w:bCs/>
        </w:rPr>
        <w:t>Tenure (Days):</w:t>
      </w:r>
      <w:r w:rsidRPr="005E192B">
        <w:rPr>
          <w:rFonts w:cs="Arial"/>
        </w:rPr>
        <w:t xml:space="preserve"> Calculated as </w:t>
      </w:r>
      <w:proofErr w:type="spellStart"/>
      <w:r w:rsidRPr="005405D0">
        <w:rPr>
          <w:rFonts w:cs="Arial"/>
          <w:b/>
          <w:bCs/>
          <w:sz w:val="20"/>
          <w:szCs w:val="20"/>
        </w:rPr>
        <w:t>Last_Active</w:t>
      </w:r>
      <w:proofErr w:type="spellEnd"/>
      <w:r w:rsidRPr="005405D0">
        <w:rPr>
          <w:rFonts w:cs="Arial"/>
          <w:b/>
          <w:bCs/>
          <w:sz w:val="20"/>
          <w:szCs w:val="20"/>
        </w:rPr>
        <w:t xml:space="preserve"> - </w:t>
      </w:r>
      <w:proofErr w:type="spellStart"/>
      <w:r w:rsidRPr="005405D0">
        <w:rPr>
          <w:rFonts w:cs="Arial"/>
          <w:b/>
          <w:bCs/>
          <w:sz w:val="20"/>
          <w:szCs w:val="20"/>
        </w:rPr>
        <w:t>Signup_Date</w:t>
      </w:r>
      <w:proofErr w:type="spellEnd"/>
      <w:r w:rsidRPr="005E192B">
        <w:rPr>
          <w:rFonts w:cs="Arial"/>
        </w:rPr>
        <w:t xml:space="preserve"> to quantify customer loyalty.</w:t>
      </w:r>
    </w:p>
    <w:p w14:paraId="4E752DF3" w14:textId="77777777" w:rsidR="005E192B" w:rsidRPr="005E192B" w:rsidRDefault="005E192B" w:rsidP="005E192B">
      <w:pPr>
        <w:numPr>
          <w:ilvl w:val="0"/>
          <w:numId w:val="47"/>
        </w:numPr>
        <w:spacing w:after="0" w:line="360" w:lineRule="auto"/>
        <w:rPr>
          <w:rFonts w:cs="Arial"/>
        </w:rPr>
      </w:pPr>
      <w:r w:rsidRPr="005E192B">
        <w:rPr>
          <w:rFonts w:cs="Arial"/>
          <w:b/>
          <w:bCs/>
        </w:rPr>
        <w:t>Heavy Mobile User:</w:t>
      </w:r>
      <w:r w:rsidRPr="005E192B">
        <w:rPr>
          <w:rFonts w:cs="Arial"/>
        </w:rPr>
        <w:t xml:space="preserve"> A binary flag (&gt;70% app usage) to isolate the "Mobile Experience" and test UX friction hypotheses.</w:t>
      </w:r>
    </w:p>
    <w:p w14:paraId="007095B4" w14:textId="77777777" w:rsidR="005E192B" w:rsidRPr="005E192B" w:rsidRDefault="005E192B" w:rsidP="005E192B">
      <w:pPr>
        <w:numPr>
          <w:ilvl w:val="0"/>
          <w:numId w:val="47"/>
        </w:numPr>
        <w:spacing w:after="0" w:line="360" w:lineRule="auto"/>
        <w:rPr>
          <w:rFonts w:cs="Arial"/>
        </w:rPr>
      </w:pPr>
      <w:r w:rsidRPr="005E192B">
        <w:rPr>
          <w:rFonts w:cs="Arial"/>
          <w:b/>
          <w:bCs/>
        </w:rPr>
        <w:t>Watch-to-Fee Ratio:</w:t>
      </w:r>
      <w:r w:rsidRPr="005E192B">
        <w:rPr>
          <w:rFonts w:cs="Arial"/>
        </w:rPr>
        <w:t xml:space="preserve"> A computed metric (</w:t>
      </w:r>
      <w:r w:rsidRPr="00687901">
        <w:rPr>
          <w:rFonts w:cs="Arial"/>
          <w:b/>
          <w:bCs/>
          <w:sz w:val="20"/>
          <w:szCs w:val="20"/>
        </w:rPr>
        <w:t>Watch Hours / Monthly Fee</w:t>
      </w:r>
      <w:r w:rsidRPr="005E192B">
        <w:rPr>
          <w:rFonts w:cs="Arial"/>
        </w:rPr>
        <w:t>) to measure the "Value for Money" perceived by the user.</w:t>
      </w:r>
    </w:p>
    <w:p w14:paraId="19555126" w14:textId="4280B091" w:rsidR="00F637E5" w:rsidRDefault="005E192B" w:rsidP="00F90337">
      <w:pPr>
        <w:numPr>
          <w:ilvl w:val="0"/>
          <w:numId w:val="47"/>
        </w:numPr>
        <w:spacing w:after="0" w:line="360" w:lineRule="auto"/>
        <w:rPr>
          <w:rFonts w:cs="Arial"/>
        </w:rPr>
      </w:pPr>
      <w:r w:rsidRPr="005E192B">
        <w:rPr>
          <w:rFonts w:cs="Arial"/>
          <w:b/>
          <w:bCs/>
        </w:rPr>
        <w:t>One-Hot Encoding:</w:t>
      </w:r>
      <w:r w:rsidRPr="005E192B">
        <w:rPr>
          <w:rFonts w:cs="Arial"/>
        </w:rPr>
        <w:t xml:space="preserve"> Categorical variables (</w:t>
      </w:r>
      <w:r w:rsidRPr="0038030C">
        <w:rPr>
          <w:rFonts w:cs="Arial"/>
          <w:b/>
          <w:bCs/>
          <w:sz w:val="20"/>
          <w:szCs w:val="20"/>
        </w:rPr>
        <w:t>Gender, Country, Subscription</w:t>
      </w:r>
      <w:r w:rsidRPr="0038030C">
        <w:rPr>
          <w:rFonts w:cs="Arial"/>
          <w:sz w:val="20"/>
          <w:szCs w:val="20"/>
        </w:rPr>
        <w:t>)</w:t>
      </w:r>
      <w:r w:rsidRPr="0038030C">
        <w:rPr>
          <w:rFonts w:cs="Arial"/>
        </w:rPr>
        <w:t xml:space="preserve"> </w:t>
      </w:r>
      <w:r w:rsidRPr="005E192B">
        <w:rPr>
          <w:rFonts w:cs="Arial"/>
        </w:rPr>
        <w:t>were converted into binary columns to ensure compatibility with the Logistic Regression model.</w:t>
      </w:r>
    </w:p>
    <w:p w14:paraId="1ECE2E38" w14:textId="5B703963" w:rsidR="00F90337" w:rsidRPr="00F90337" w:rsidRDefault="00D10BB3" w:rsidP="00F90337">
      <w:pPr>
        <w:spacing w:after="0" w:line="360" w:lineRule="auto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0D2D7985" wp14:editId="1493087F">
            <wp:extent cx="4320540" cy="1310640"/>
            <wp:effectExtent l="0" t="0" r="3810" b="3810"/>
            <wp:docPr id="40817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34932" w14:textId="302CDEB7" w:rsidR="00AF5EAD" w:rsidRPr="00AF5EAD" w:rsidRDefault="00BB20E1" w:rsidP="00935EEE">
      <w:pPr>
        <w:spacing w:after="0" w:line="360" w:lineRule="auto"/>
        <w:rPr>
          <w:rFonts w:cs="Arial"/>
          <w:b/>
          <w:bCs/>
          <w:i/>
          <w:iCs/>
        </w:rPr>
      </w:pPr>
      <w:r w:rsidRPr="00226305">
        <w:rPr>
          <w:rFonts w:cs="Arial"/>
          <w:b/>
          <w:bCs/>
        </w:rPr>
        <w:lastRenderedPageBreak/>
        <w:t xml:space="preserve">Figure </w:t>
      </w:r>
      <w:r w:rsidR="00AF5EAD" w:rsidRPr="00226305">
        <w:rPr>
          <w:rFonts w:cs="Arial"/>
          <w:b/>
          <w:bCs/>
        </w:rPr>
        <w:t>3</w:t>
      </w:r>
      <w:r w:rsidRPr="00226305">
        <w:rPr>
          <w:rFonts w:cs="Arial"/>
          <w:b/>
          <w:bCs/>
        </w:rPr>
        <w:t>:</w:t>
      </w:r>
      <w:r w:rsidRPr="00AF5EAD">
        <w:rPr>
          <w:rFonts w:cs="Arial"/>
          <w:i/>
          <w:iCs/>
        </w:rPr>
        <w:t xml:space="preserve"> Engineering of </w:t>
      </w:r>
      <w:proofErr w:type="spellStart"/>
      <w:r w:rsidRPr="00AF5EAD">
        <w:rPr>
          <w:rFonts w:cs="Arial"/>
          <w:i/>
          <w:iCs/>
        </w:rPr>
        <w:t>behavioural</w:t>
      </w:r>
      <w:proofErr w:type="spellEnd"/>
      <w:r w:rsidRPr="00AF5EAD">
        <w:rPr>
          <w:rFonts w:cs="Arial"/>
          <w:i/>
          <w:iCs/>
        </w:rPr>
        <w:t xml:space="preserve"> metrics (Mobile Usage, Value Ratio) and demographic binning (Age Bands) to enhance model predictive power.</w:t>
      </w:r>
      <w:r w:rsidRPr="00AF5EAD">
        <w:rPr>
          <w:rFonts w:cs="Arial"/>
          <w:b/>
          <w:bCs/>
          <w:i/>
          <w:iCs/>
        </w:rPr>
        <w:t xml:space="preserve"> </w:t>
      </w:r>
    </w:p>
    <w:p w14:paraId="4C211AA4" w14:textId="77777777" w:rsidR="00AF5EAD" w:rsidRDefault="00AF5EAD" w:rsidP="00935EEE">
      <w:pPr>
        <w:spacing w:after="0" w:line="360" w:lineRule="auto"/>
        <w:rPr>
          <w:rFonts w:cs="Arial"/>
          <w:b/>
          <w:bCs/>
        </w:rPr>
      </w:pPr>
    </w:p>
    <w:p w14:paraId="161C8454" w14:textId="238E4C79" w:rsidR="002E034E" w:rsidRPr="002E034E" w:rsidRDefault="00AF5EAD" w:rsidP="00935EEE">
      <w:pPr>
        <w:spacing w:after="0" w:line="360" w:lineRule="auto"/>
        <w:rPr>
          <w:rFonts w:cs="Arial"/>
          <w:b/>
          <w:bCs/>
        </w:rPr>
      </w:pPr>
      <w:r>
        <w:rPr>
          <w:rFonts w:cs="Arial"/>
          <w:b/>
          <w:bCs/>
        </w:rPr>
        <w:t>4</w:t>
      </w:r>
      <w:r w:rsidR="002E034E" w:rsidRPr="002E034E">
        <w:rPr>
          <w:rFonts w:cs="Arial"/>
          <w:b/>
          <w:bCs/>
        </w:rPr>
        <w:t>. Model Performance Overview</w:t>
      </w:r>
    </w:p>
    <w:p w14:paraId="5F0D4E40" w14:textId="77777777" w:rsidR="002E034E" w:rsidRPr="002E034E" w:rsidRDefault="002E034E" w:rsidP="00935EEE">
      <w:pPr>
        <w:spacing w:after="0" w:line="360" w:lineRule="auto"/>
        <w:rPr>
          <w:rFonts w:cs="Arial"/>
        </w:rPr>
      </w:pPr>
      <w:r w:rsidRPr="002E034E">
        <w:rPr>
          <w:rFonts w:cs="Arial"/>
        </w:rPr>
        <w:t>Two models were deployed to predict churn probability and customer tenure.</w:t>
      </w:r>
    </w:p>
    <w:p w14:paraId="1C7FCEE2" w14:textId="77777777" w:rsidR="002E034E" w:rsidRPr="002E034E" w:rsidRDefault="002E034E" w:rsidP="00935EEE">
      <w:p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A. Logistic Regression (Churn Prediction)</w:t>
      </w:r>
    </w:p>
    <w:p w14:paraId="6E308193" w14:textId="77777777" w:rsidR="002E034E" w:rsidRPr="002E034E" w:rsidRDefault="002E034E" w:rsidP="00935EEE">
      <w:pPr>
        <w:numPr>
          <w:ilvl w:val="0"/>
          <w:numId w:val="41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Performance:</w:t>
      </w:r>
      <w:r w:rsidRPr="002E034E">
        <w:rPr>
          <w:rFonts w:cs="Arial"/>
        </w:rPr>
        <w:t xml:space="preserve"> The model achieved an </w:t>
      </w:r>
      <w:r w:rsidRPr="002E034E">
        <w:rPr>
          <w:rFonts w:cs="Arial"/>
          <w:b/>
          <w:bCs/>
        </w:rPr>
        <w:t>AUC of 0.523</w:t>
      </w:r>
      <w:r w:rsidRPr="002E034E">
        <w:rPr>
          <w:rFonts w:cs="Arial"/>
        </w:rPr>
        <w:t xml:space="preserve">. It was tuned to </w:t>
      </w:r>
      <w:proofErr w:type="spellStart"/>
      <w:r w:rsidRPr="002E034E">
        <w:rPr>
          <w:rFonts w:cs="Arial"/>
        </w:rPr>
        <w:t>prioritise</w:t>
      </w:r>
      <w:proofErr w:type="spellEnd"/>
      <w:r w:rsidRPr="002E034E">
        <w:rPr>
          <w:rFonts w:cs="Arial"/>
        </w:rPr>
        <w:t xml:space="preserve"> </w:t>
      </w:r>
      <w:r w:rsidRPr="002E034E">
        <w:rPr>
          <w:rFonts w:cs="Arial"/>
          <w:b/>
          <w:bCs/>
        </w:rPr>
        <w:t>Recall</w:t>
      </w:r>
      <w:r w:rsidRPr="002E034E">
        <w:rPr>
          <w:rFonts w:cs="Arial"/>
        </w:rPr>
        <w:t>, successfully capturing 44 high-risk users.</w:t>
      </w:r>
    </w:p>
    <w:p w14:paraId="55E7DD8F" w14:textId="77777777" w:rsidR="002E034E" w:rsidRDefault="002E034E" w:rsidP="00935EEE">
      <w:pPr>
        <w:numPr>
          <w:ilvl w:val="0"/>
          <w:numId w:val="41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Trade-off:</w:t>
      </w:r>
      <w:r w:rsidRPr="002E034E">
        <w:rPr>
          <w:rFonts w:cs="Arial"/>
        </w:rPr>
        <w:t xml:space="preserve"> High recall results in lower precision (false positives), necessitating low-cost intervention strategies to minimize waste.</w:t>
      </w:r>
    </w:p>
    <w:p w14:paraId="20B8F774" w14:textId="4D3470DA" w:rsidR="00BB3691" w:rsidRPr="002E034E" w:rsidRDefault="00BB3691" w:rsidP="00BB3691">
      <w:pPr>
        <w:spacing w:after="0" w:line="360" w:lineRule="auto"/>
        <w:rPr>
          <w:rFonts w:cs="Arial"/>
        </w:rPr>
      </w:pPr>
      <w:r>
        <w:rPr>
          <w:noProof/>
        </w:rPr>
        <w:drawing>
          <wp:inline distT="0" distB="0" distL="0" distR="0" wp14:anchorId="7F47DC20" wp14:editId="1F55CCA9">
            <wp:extent cx="5587356" cy="1950720"/>
            <wp:effectExtent l="0" t="0" r="0" b="0"/>
            <wp:docPr id="436479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092" cy="195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77B9" w14:textId="250C6714" w:rsidR="002E034E" w:rsidRPr="002E034E" w:rsidRDefault="002E034E" w:rsidP="00231442">
      <w:pPr>
        <w:spacing w:after="0" w:line="360" w:lineRule="auto"/>
        <w:rPr>
          <w:rFonts w:cs="Arial"/>
        </w:rPr>
      </w:pPr>
      <w:r w:rsidRPr="00747819">
        <w:rPr>
          <w:rFonts w:cs="Arial"/>
          <w:b/>
          <w:bCs/>
        </w:rPr>
        <w:t xml:space="preserve">Figure </w:t>
      </w:r>
      <w:r w:rsidR="00DB4C80" w:rsidRPr="00747819">
        <w:rPr>
          <w:rFonts w:cs="Arial"/>
          <w:b/>
          <w:bCs/>
        </w:rPr>
        <w:t>4</w:t>
      </w:r>
      <w:r w:rsidRPr="00747819">
        <w:rPr>
          <w:rFonts w:cs="Arial"/>
          <w:b/>
          <w:bCs/>
        </w:rPr>
        <w:t>:</w:t>
      </w:r>
      <w:r w:rsidRPr="002E034E">
        <w:rPr>
          <w:rFonts w:cs="Arial"/>
        </w:rPr>
        <w:t xml:space="preserve"> </w:t>
      </w:r>
      <w:r w:rsidRPr="00747819">
        <w:rPr>
          <w:rFonts w:cs="Arial"/>
          <w:i/>
          <w:iCs/>
        </w:rPr>
        <w:t>ROC Curve showing model classification performance.</w:t>
      </w:r>
    </w:p>
    <w:p w14:paraId="164FC176" w14:textId="77777777" w:rsidR="002E034E" w:rsidRPr="002E034E" w:rsidRDefault="002E034E" w:rsidP="00231442">
      <w:p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B. Linear Regression (Tenure Prediction)</w:t>
      </w:r>
    </w:p>
    <w:p w14:paraId="0CBD89C3" w14:textId="698DB822" w:rsidR="002E034E" w:rsidRPr="002E034E" w:rsidRDefault="002E034E" w:rsidP="00231442">
      <w:pPr>
        <w:numPr>
          <w:ilvl w:val="0"/>
          <w:numId w:val="42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Insight:</w:t>
      </w:r>
      <w:r w:rsidRPr="002E034E">
        <w:rPr>
          <w:rFonts w:cs="Arial"/>
        </w:rPr>
        <w:t xml:space="preserve"> The model yielded a </w:t>
      </w:r>
      <w:r w:rsidRPr="002E034E">
        <w:rPr>
          <w:rFonts w:cs="Arial"/>
          <w:b/>
          <w:bCs/>
        </w:rPr>
        <w:t xml:space="preserve">Negative </w:t>
      </w:r>
      <w:r w:rsidR="007E4F84" w:rsidRPr="005B1FDB">
        <w:rPr>
          <w:rFonts w:cs="Arial"/>
          <w:b/>
          <w:bCs/>
          <w:szCs w:val="24"/>
        </w:rPr>
        <w:t>R²</w:t>
      </w:r>
      <w:r w:rsidR="007E4F84" w:rsidRPr="005E4AD3">
        <w:rPr>
          <w:rFonts w:cs="Arial"/>
          <w:szCs w:val="24"/>
        </w:rPr>
        <w:t xml:space="preserve"> </w:t>
      </w:r>
      <w:r w:rsidRPr="002E034E">
        <w:rPr>
          <w:rFonts w:cs="Arial"/>
          <w:b/>
          <w:bCs/>
        </w:rPr>
        <w:t>(-0.044)</w:t>
      </w:r>
      <w:r w:rsidRPr="002E034E">
        <w:rPr>
          <w:rFonts w:cs="Arial"/>
        </w:rPr>
        <w:t>.</w:t>
      </w:r>
    </w:p>
    <w:p w14:paraId="5E5AB2AA" w14:textId="52E19CED" w:rsidR="002E034E" w:rsidRDefault="002E034E" w:rsidP="00231442">
      <w:pPr>
        <w:numPr>
          <w:ilvl w:val="0"/>
          <w:numId w:val="42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Interpretation:</w:t>
      </w:r>
      <w:r w:rsidRPr="002E034E">
        <w:rPr>
          <w:rFonts w:cs="Arial"/>
        </w:rPr>
        <w:t xml:space="preserve"> This confirms that demographic features alone (</w:t>
      </w:r>
      <w:r w:rsidRPr="0030464E">
        <w:rPr>
          <w:rFonts w:cs="Arial"/>
          <w:b/>
          <w:bCs/>
          <w:sz w:val="20"/>
          <w:szCs w:val="20"/>
        </w:rPr>
        <w:t>Age, Gender</w:t>
      </w:r>
      <w:r w:rsidRPr="002E034E">
        <w:rPr>
          <w:rFonts w:cs="Arial"/>
        </w:rPr>
        <w:t xml:space="preserve">) are insufficient for predicting loyalty. Retention is driven by </w:t>
      </w:r>
      <w:r w:rsidRPr="002E034E">
        <w:rPr>
          <w:rFonts w:cs="Arial"/>
          <w:b/>
          <w:bCs/>
        </w:rPr>
        <w:t xml:space="preserve">usage </w:t>
      </w:r>
      <w:proofErr w:type="spellStart"/>
      <w:r w:rsidRPr="002E034E">
        <w:rPr>
          <w:rFonts w:cs="Arial"/>
          <w:b/>
          <w:bCs/>
        </w:rPr>
        <w:t>behaviour</w:t>
      </w:r>
      <w:proofErr w:type="spellEnd"/>
      <w:r w:rsidRPr="002E034E">
        <w:rPr>
          <w:rFonts w:cs="Arial"/>
        </w:rPr>
        <w:t>, not user identity.</w:t>
      </w:r>
    </w:p>
    <w:p w14:paraId="1A54A4C5" w14:textId="77777777" w:rsidR="0089468D" w:rsidRDefault="0089468D" w:rsidP="00582043">
      <w:pPr>
        <w:spacing w:after="0" w:line="360" w:lineRule="auto"/>
        <w:ind w:left="720"/>
        <w:rPr>
          <w:rFonts w:cs="Arial"/>
        </w:rPr>
      </w:pPr>
    </w:p>
    <w:p w14:paraId="5884FFC5" w14:textId="750B80DA" w:rsidR="002E034E" w:rsidRPr="002E034E" w:rsidRDefault="00134DB7" w:rsidP="00935EEE">
      <w:pPr>
        <w:spacing w:after="0" w:line="360" w:lineRule="auto"/>
        <w:rPr>
          <w:rFonts w:cs="Arial"/>
          <w:b/>
          <w:bCs/>
        </w:rPr>
      </w:pPr>
      <w:r>
        <w:rPr>
          <w:rFonts w:cs="Arial"/>
          <w:b/>
          <w:bCs/>
        </w:rPr>
        <w:t>5</w:t>
      </w:r>
      <w:r w:rsidR="002E034E" w:rsidRPr="002E034E">
        <w:rPr>
          <w:rFonts w:cs="Arial"/>
          <w:b/>
          <w:bCs/>
        </w:rPr>
        <w:t>. Strategic Recommendations Summary</w:t>
      </w:r>
    </w:p>
    <w:p w14:paraId="01550482" w14:textId="77777777" w:rsidR="002E034E" w:rsidRPr="002E034E" w:rsidRDefault="002E034E" w:rsidP="00935EEE">
      <w:pPr>
        <w:numPr>
          <w:ilvl w:val="0"/>
          <w:numId w:val="43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Target Engagement:</w:t>
      </w:r>
      <w:r w:rsidRPr="002E034E">
        <w:rPr>
          <w:rFonts w:cs="Arial"/>
        </w:rPr>
        <w:t xml:space="preserve"> Trigger notifications when monthly watch time drops below 25 hours.</w:t>
      </w:r>
    </w:p>
    <w:p w14:paraId="359A9DD5" w14:textId="77777777" w:rsidR="002E034E" w:rsidRPr="002E034E" w:rsidRDefault="002E034E" w:rsidP="00935EEE">
      <w:pPr>
        <w:numPr>
          <w:ilvl w:val="0"/>
          <w:numId w:val="43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t>Fix Mobile UX:</w:t>
      </w:r>
      <w:r w:rsidRPr="002E034E">
        <w:rPr>
          <w:rFonts w:cs="Arial"/>
        </w:rPr>
        <w:t xml:space="preserve"> Investigate friction points in the mobile app causing higher churn (~30% rate).</w:t>
      </w:r>
    </w:p>
    <w:p w14:paraId="07A5CD79" w14:textId="77777777" w:rsidR="002E034E" w:rsidRDefault="002E034E" w:rsidP="00935EEE">
      <w:pPr>
        <w:numPr>
          <w:ilvl w:val="0"/>
          <w:numId w:val="43"/>
        </w:numPr>
        <w:spacing w:after="0" w:line="360" w:lineRule="auto"/>
        <w:rPr>
          <w:rFonts w:cs="Arial"/>
        </w:rPr>
      </w:pPr>
      <w:r w:rsidRPr="002E034E">
        <w:rPr>
          <w:rFonts w:cs="Arial"/>
          <w:b/>
          <w:bCs/>
        </w:rPr>
        <w:lastRenderedPageBreak/>
        <w:t>Soft Interventions:</w:t>
      </w:r>
      <w:r w:rsidRPr="002E034E">
        <w:rPr>
          <w:rFonts w:cs="Arial"/>
        </w:rPr>
        <w:t xml:space="preserve"> Use low-cost "nudge" tactics for predicted churners to mitigate false-positive costs.</w:t>
      </w:r>
    </w:p>
    <w:p w14:paraId="6DAB4C13" w14:textId="0FB41ED8" w:rsidR="009315B6" w:rsidRDefault="009315B6" w:rsidP="00935EEE">
      <w:pPr>
        <w:numPr>
          <w:ilvl w:val="0"/>
          <w:numId w:val="43"/>
        </w:numPr>
        <w:spacing w:after="0" w:line="360" w:lineRule="auto"/>
        <w:rPr>
          <w:rFonts w:cs="Arial"/>
        </w:rPr>
      </w:pPr>
      <w:r w:rsidRPr="009315B6">
        <w:rPr>
          <w:rFonts w:cs="Arial"/>
          <w:b/>
          <w:bCs/>
        </w:rPr>
        <w:t>Early-Warning Triggers:</w:t>
      </w:r>
      <w:r w:rsidRPr="009315B6">
        <w:rPr>
          <w:rFonts w:cs="Arial"/>
        </w:rPr>
        <w:t xml:space="preserve"> </w:t>
      </w:r>
      <w:r w:rsidR="00077F56" w:rsidRPr="00077F56">
        <w:rPr>
          <w:rFonts w:cs="Arial"/>
        </w:rPr>
        <w:t>Combine low engagement and high mobile usage signals to flag at-risk users earlier.</w:t>
      </w:r>
    </w:p>
    <w:p w14:paraId="50A5D0C5" w14:textId="24F573B0" w:rsidR="00962F4F" w:rsidRPr="002E034E" w:rsidRDefault="00962F4F" w:rsidP="00935EEE">
      <w:pPr>
        <w:numPr>
          <w:ilvl w:val="0"/>
          <w:numId w:val="43"/>
        </w:numPr>
        <w:spacing w:after="0" w:line="360" w:lineRule="auto"/>
        <w:rPr>
          <w:rFonts w:cs="Arial"/>
        </w:rPr>
      </w:pPr>
      <w:r w:rsidRPr="00962F4F">
        <w:rPr>
          <w:rFonts w:cs="Arial"/>
          <w:b/>
          <w:bCs/>
        </w:rPr>
        <w:t>Model Iteration &amp; Governance:</w:t>
      </w:r>
      <w:r w:rsidRPr="00962F4F">
        <w:rPr>
          <w:rFonts w:cs="Arial"/>
        </w:rPr>
        <w:t xml:space="preserve"> </w:t>
      </w:r>
      <w:r w:rsidR="00D667CB" w:rsidRPr="00D667CB">
        <w:rPr>
          <w:rFonts w:cs="Arial"/>
        </w:rPr>
        <w:t>Retrain and monitor the churn model regularly to maintain effectiveness over time.</w:t>
      </w:r>
    </w:p>
    <w:p w14:paraId="75E03FCF" w14:textId="33E74406" w:rsidR="00366E03" w:rsidRPr="002B1B6A" w:rsidRDefault="00000000" w:rsidP="00566C45">
      <w:pPr>
        <w:spacing w:after="0" w:line="360" w:lineRule="auto"/>
        <w:rPr>
          <w:rFonts w:eastAsia="Times New Roman" w:cs="Arial"/>
          <w:color w:val="1F1F1F"/>
          <w:szCs w:val="24"/>
        </w:rPr>
      </w:pPr>
      <w:r>
        <w:rPr>
          <w:rFonts w:cs="Arial"/>
        </w:rPr>
        <w:pict w14:anchorId="591DACFC">
          <v:rect id="_x0000_i1026" style="width:0;height:1.5pt" o:hrstd="t" o:hrnoshade="t" o:hr="t" fillcolor="gray" stroked="f"/>
        </w:pict>
      </w:r>
    </w:p>
    <w:p w14:paraId="3FD1CF47" w14:textId="5C5BD2C9" w:rsidR="005B4004" w:rsidRDefault="00861607" w:rsidP="00C664A6">
      <w:pPr>
        <w:pStyle w:val="ListBullet"/>
        <w:numPr>
          <w:ilvl w:val="0"/>
          <w:numId w:val="0"/>
        </w:numPr>
        <w:spacing w:line="360" w:lineRule="auto"/>
        <w:rPr>
          <w:rFonts w:cs="Arial"/>
          <w:b/>
          <w:bCs/>
          <w:szCs w:val="24"/>
        </w:rPr>
      </w:pPr>
      <w:r w:rsidRPr="00861607">
        <w:rPr>
          <w:rFonts w:cs="Arial"/>
          <w:b/>
          <w:bCs/>
          <w:szCs w:val="24"/>
        </w:rPr>
        <w:t xml:space="preserve">Business Question Answers </w:t>
      </w:r>
    </w:p>
    <w:p w14:paraId="0C024A59" w14:textId="286D52F4" w:rsidR="00601ED3" w:rsidRDefault="00000000" w:rsidP="00C664A6">
      <w:pPr>
        <w:pStyle w:val="ListBullet"/>
        <w:numPr>
          <w:ilvl w:val="0"/>
          <w:numId w:val="0"/>
        </w:numPr>
        <w:spacing w:line="360" w:lineRule="auto"/>
        <w:rPr>
          <w:rFonts w:cs="Arial"/>
          <w:b/>
          <w:bCs/>
          <w:szCs w:val="24"/>
        </w:rPr>
      </w:pPr>
      <w:r>
        <w:rPr>
          <w:rFonts w:cs="Arial"/>
        </w:rPr>
        <w:pict w14:anchorId="4EEB000A">
          <v:rect id="_x0000_i1027" style="width:0;height:1.5pt" o:hrstd="t" o:hrnoshade="t" o:hr="t" fillcolor="gray" stroked="f"/>
        </w:pict>
      </w:r>
    </w:p>
    <w:p w14:paraId="164F0DBF" w14:textId="77777777" w:rsidR="00635BC7" w:rsidRDefault="005B4004" w:rsidP="00C664A6">
      <w:pPr>
        <w:pStyle w:val="NormalWeb"/>
        <w:spacing w:line="360" w:lineRule="auto"/>
        <w:rPr>
          <w:rFonts w:ascii="Arial" w:hAnsi="Arial" w:cs="Arial"/>
        </w:rPr>
      </w:pPr>
      <w:r w:rsidRPr="00BC35EC">
        <w:rPr>
          <w:rFonts w:ascii="Arial" w:hAnsi="Arial" w:cs="Arial"/>
          <w:b/>
          <w:bCs/>
        </w:rPr>
        <w:t>Q1: Do users who receive promotions churn less?</w:t>
      </w:r>
      <w:r w:rsidRPr="00BC35EC">
        <w:rPr>
          <w:rFonts w:ascii="Arial" w:hAnsi="Arial" w:cs="Arial"/>
        </w:rPr>
        <w:t xml:space="preserve"> </w:t>
      </w:r>
    </w:p>
    <w:p w14:paraId="04579739" w14:textId="32C58704" w:rsidR="00202021" w:rsidRPr="00202021" w:rsidRDefault="00202021" w:rsidP="00202021">
      <w:pPr>
        <w:pStyle w:val="NormalWeb"/>
        <w:spacing w:line="360" w:lineRule="auto"/>
        <w:rPr>
          <w:rStyle w:val="Strong"/>
          <w:rFonts w:ascii="Arial" w:hAnsi="Arial" w:cs="Arial"/>
        </w:rPr>
      </w:pPr>
      <w:r w:rsidRPr="00202021">
        <w:rPr>
          <w:rStyle w:val="Strong"/>
          <w:rFonts w:ascii="Arial" w:hAnsi="Arial" w:cs="Arial"/>
        </w:rPr>
        <w:t>Observation:</w:t>
      </w:r>
      <w:r w:rsidRPr="00202021">
        <w:rPr>
          <w:rFonts w:ascii="Arial" w:hAnsi="Arial" w:cs="Arial"/>
        </w:rPr>
        <w:t xml:space="preserve"> Users who receive promotions churn slightly less than users who do not.</w:t>
      </w:r>
      <w:r w:rsidRPr="00202021">
        <w:rPr>
          <w:rFonts w:ascii="Arial" w:hAnsi="Arial" w:cs="Arial"/>
        </w:rPr>
        <w:br/>
      </w:r>
      <w:r w:rsidRPr="00202021">
        <w:rPr>
          <w:rStyle w:val="Strong"/>
          <w:rFonts w:ascii="Arial" w:hAnsi="Arial" w:cs="Arial"/>
        </w:rPr>
        <w:t>Visual Evidence:</w:t>
      </w:r>
      <w:r w:rsidRPr="00202021">
        <w:rPr>
          <w:rFonts w:ascii="Arial" w:hAnsi="Arial" w:cs="Arial"/>
        </w:rPr>
        <w:t xml:space="preserve"> The evidence table shows a churn rate of </w:t>
      </w:r>
      <w:r w:rsidRPr="00202021">
        <w:rPr>
          <w:rStyle w:val="Strong"/>
          <w:rFonts w:ascii="Arial" w:hAnsi="Arial" w:cs="Arial"/>
        </w:rPr>
        <w:t>24.9%</w:t>
      </w:r>
      <w:r w:rsidRPr="00202021">
        <w:rPr>
          <w:rFonts w:ascii="Arial" w:hAnsi="Arial" w:cs="Arial"/>
        </w:rPr>
        <w:t xml:space="preserve"> for users with no promotions versus </w:t>
      </w:r>
      <w:r w:rsidRPr="00202021">
        <w:rPr>
          <w:rStyle w:val="Strong"/>
          <w:rFonts w:ascii="Arial" w:hAnsi="Arial" w:cs="Arial"/>
        </w:rPr>
        <w:t>21.6%</w:t>
      </w:r>
      <w:r w:rsidRPr="00202021">
        <w:rPr>
          <w:rFonts w:ascii="Arial" w:hAnsi="Arial" w:cs="Arial"/>
        </w:rPr>
        <w:t xml:space="preserve"> for users who received promotions.</w:t>
      </w:r>
      <w:r w:rsidRPr="00202021">
        <w:rPr>
          <w:rFonts w:ascii="Arial" w:hAnsi="Arial" w:cs="Arial"/>
        </w:rPr>
        <w:br/>
      </w:r>
      <w:r w:rsidRPr="00202021">
        <w:rPr>
          <w:rStyle w:val="Strong"/>
          <w:rFonts w:ascii="Arial" w:hAnsi="Arial" w:cs="Arial"/>
        </w:rPr>
        <w:t>Model Confirmation:</w:t>
      </w:r>
      <w:r w:rsidRPr="00202021">
        <w:rPr>
          <w:rFonts w:ascii="Arial" w:hAnsi="Arial" w:cs="Arial"/>
        </w:rPr>
        <w:t xml:space="preserve"> The Logistic Regression model assigns a negative coefficient (</w:t>
      </w:r>
      <w:r w:rsidRPr="00202021">
        <w:rPr>
          <w:rStyle w:val="Strong"/>
          <w:rFonts w:ascii="Arial" w:hAnsi="Arial" w:cs="Arial"/>
        </w:rPr>
        <w:t>-0.123</w:t>
      </w:r>
      <w:r w:rsidRPr="00202021">
        <w:rPr>
          <w:rFonts w:ascii="Arial" w:hAnsi="Arial" w:cs="Arial"/>
        </w:rPr>
        <w:t>) to the promotion feature, and this effect is statistically significant (</w:t>
      </w:r>
      <w:r w:rsidRPr="00202021">
        <w:rPr>
          <w:rStyle w:val="Strong"/>
          <w:rFonts w:ascii="Arial" w:hAnsi="Arial" w:cs="Arial"/>
        </w:rPr>
        <w:t>p &lt; 0.05</w:t>
      </w:r>
      <w:r w:rsidRPr="00202021">
        <w:rPr>
          <w:rFonts w:ascii="Arial" w:hAnsi="Arial" w:cs="Arial"/>
        </w:rPr>
        <w:t>), confirming that promotions reduce churn probability.</w:t>
      </w:r>
      <w:r w:rsidRPr="00202021">
        <w:rPr>
          <w:rFonts w:ascii="Arial" w:hAnsi="Arial" w:cs="Arial"/>
        </w:rPr>
        <w:br/>
      </w:r>
      <w:r w:rsidRPr="00202021">
        <w:rPr>
          <w:rStyle w:val="Strong"/>
          <w:rFonts w:ascii="Arial" w:hAnsi="Arial" w:cs="Arial"/>
        </w:rPr>
        <w:t>Business Insight:</w:t>
      </w:r>
      <w:r w:rsidRPr="00202021">
        <w:rPr>
          <w:rFonts w:ascii="Arial" w:hAnsi="Arial" w:cs="Arial"/>
        </w:rPr>
        <w:t xml:space="preserve"> While the absolute difference is modest, promotions act as a meaningful risk-reduction lever and should be targeted toward high-risk users rather than deployed universally.</w:t>
      </w:r>
    </w:p>
    <w:p w14:paraId="4FE5667C" w14:textId="4CD4373A" w:rsidR="00C91605" w:rsidRPr="004836C5" w:rsidRDefault="00C91605" w:rsidP="004836C5">
      <w:pPr>
        <w:pStyle w:val="NormalWeb"/>
        <w:spacing w:line="360" w:lineRule="auto"/>
        <w:rPr>
          <w:rFonts w:ascii="Arial" w:hAnsi="Arial" w:cs="Arial"/>
        </w:rPr>
      </w:pPr>
      <w:r w:rsidRPr="004836C5">
        <w:rPr>
          <w:rFonts w:ascii="Arial" w:hAnsi="Arial" w:cs="Arial"/>
          <w:noProof/>
        </w:rPr>
        <w:drawing>
          <wp:inline distT="0" distB="0" distL="0" distR="0" wp14:anchorId="5717C7FA" wp14:editId="77F7A3DD">
            <wp:extent cx="5993538" cy="1455420"/>
            <wp:effectExtent l="0" t="0" r="7620" b="0"/>
            <wp:docPr id="989618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187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8700" cy="14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DEEC" w14:textId="4AE1F26D" w:rsidR="00496572" w:rsidRDefault="00000000" w:rsidP="00C664A6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4409E6A4">
          <v:rect id="_x0000_i1028" style="width:0;height:1.5pt" o:bullet="t" o:hrstd="t" o:hrnoshade="t" o:hr="t" fillcolor="gray" stroked="f"/>
        </w:pict>
      </w:r>
    </w:p>
    <w:p w14:paraId="721810D0" w14:textId="77777777" w:rsidR="00B04951" w:rsidRPr="00BC35EC" w:rsidRDefault="00B04951" w:rsidP="00C664A6">
      <w:pPr>
        <w:pStyle w:val="NormalWeb"/>
        <w:spacing w:line="360" w:lineRule="auto"/>
        <w:rPr>
          <w:rFonts w:ascii="Arial" w:hAnsi="Arial" w:cs="Arial"/>
        </w:rPr>
      </w:pPr>
    </w:p>
    <w:p w14:paraId="3100D832" w14:textId="77777777" w:rsidR="00635BC7" w:rsidRDefault="005B4004" w:rsidP="002D15B8">
      <w:pPr>
        <w:pStyle w:val="NormalWeb"/>
        <w:spacing w:line="360" w:lineRule="auto"/>
        <w:rPr>
          <w:rFonts w:ascii="Arial" w:hAnsi="Arial" w:cs="Arial"/>
        </w:rPr>
      </w:pPr>
      <w:r w:rsidRPr="00BC35EC">
        <w:rPr>
          <w:rFonts w:ascii="Arial" w:hAnsi="Arial" w:cs="Arial"/>
          <w:b/>
          <w:bCs/>
        </w:rPr>
        <w:lastRenderedPageBreak/>
        <w:t>Q2: Does watch time impact churn likelihood?</w:t>
      </w:r>
      <w:r w:rsidRPr="00BC35EC">
        <w:rPr>
          <w:rFonts w:ascii="Arial" w:hAnsi="Arial" w:cs="Arial"/>
        </w:rPr>
        <w:t xml:space="preserve"> </w:t>
      </w:r>
    </w:p>
    <w:p w14:paraId="11FD0F39" w14:textId="1813CE35" w:rsidR="0010200B" w:rsidRPr="0010200B" w:rsidRDefault="0010200B" w:rsidP="0010200B">
      <w:pPr>
        <w:pStyle w:val="NormalWeb"/>
        <w:spacing w:line="360" w:lineRule="auto"/>
        <w:rPr>
          <w:rFonts w:ascii="Arial" w:hAnsi="Arial" w:cs="Arial"/>
        </w:rPr>
      </w:pPr>
      <w:r w:rsidRPr="0010200B">
        <w:rPr>
          <w:rFonts w:ascii="Arial" w:hAnsi="Arial" w:cs="Arial"/>
          <w:b/>
          <w:bCs/>
        </w:rPr>
        <w:t>Observation:</w:t>
      </w:r>
      <w:r w:rsidRPr="0010200B">
        <w:rPr>
          <w:rFonts w:ascii="Arial" w:hAnsi="Arial" w:cs="Arial"/>
        </w:rPr>
        <w:t xml:space="preserve"> Engagement is </w:t>
      </w:r>
      <w:r w:rsidR="001C7C84">
        <w:rPr>
          <w:rFonts w:ascii="Arial" w:hAnsi="Arial" w:cs="Arial"/>
        </w:rPr>
        <w:t>a</w:t>
      </w:r>
      <w:r w:rsidRPr="0010200B">
        <w:rPr>
          <w:rFonts w:ascii="Arial" w:hAnsi="Arial" w:cs="Arial"/>
        </w:rPr>
        <w:t xml:space="preserve"> strong indicator of retention. There is a distinct </w:t>
      </w:r>
      <w:proofErr w:type="spellStart"/>
      <w:r w:rsidRPr="0010200B">
        <w:rPr>
          <w:rFonts w:ascii="Arial" w:hAnsi="Arial" w:cs="Arial"/>
          <w:b/>
          <w:bCs/>
        </w:rPr>
        <w:t>behavioural</w:t>
      </w:r>
      <w:proofErr w:type="spellEnd"/>
      <w:r w:rsidRPr="0010200B">
        <w:rPr>
          <w:rFonts w:ascii="Arial" w:hAnsi="Arial" w:cs="Arial"/>
        </w:rPr>
        <w:t xml:space="preserve"> gap: retained users watch an average of 45.3 hours, while churned users average only 20.1 hours.</w:t>
      </w:r>
    </w:p>
    <w:p w14:paraId="1809FFD0" w14:textId="057521D6" w:rsidR="0010200B" w:rsidRPr="00017143" w:rsidRDefault="001411E4" w:rsidP="002D15B8">
      <w:pPr>
        <w:pStyle w:val="NormalWeb"/>
        <w:spacing w:line="360" w:lineRule="auto"/>
        <w:rPr>
          <w:rFonts w:ascii="Arial" w:hAnsi="Arial" w:cs="Arial"/>
        </w:rPr>
      </w:pPr>
      <w:r w:rsidRPr="00017143">
        <w:rPr>
          <w:rStyle w:val="Strong"/>
          <w:rFonts w:ascii="Arial" w:hAnsi="Arial" w:cs="Arial"/>
        </w:rPr>
        <w:t>Visual Evidence:</w:t>
      </w:r>
      <w:r w:rsidRPr="00017143">
        <w:rPr>
          <w:rFonts w:ascii="Arial" w:hAnsi="Arial" w:cs="Arial"/>
        </w:rPr>
        <w:t xml:space="preserve"> Figure 2 shows churned users clustering heavily in the low-engagement range (below approximately 25 watch hours), while retained users dominate higher engagement levels.</w:t>
      </w:r>
      <w:r w:rsidRPr="00017143">
        <w:rPr>
          <w:rFonts w:ascii="Arial" w:hAnsi="Arial" w:cs="Arial"/>
        </w:rPr>
        <w:br/>
      </w:r>
      <w:r w:rsidRPr="00017143">
        <w:rPr>
          <w:rStyle w:val="Strong"/>
          <w:rFonts w:ascii="Arial" w:hAnsi="Arial" w:cs="Arial"/>
        </w:rPr>
        <w:t>Model Confirmation:</w:t>
      </w:r>
      <w:r w:rsidRPr="00017143">
        <w:rPr>
          <w:rFonts w:ascii="Arial" w:hAnsi="Arial" w:cs="Arial"/>
        </w:rPr>
        <w:t xml:space="preserve"> </w:t>
      </w:r>
      <w:r w:rsidR="00DF0C81" w:rsidRPr="00DF0C81">
        <w:rPr>
          <w:rFonts w:ascii="Arial" w:hAnsi="Arial" w:cs="Arial"/>
        </w:rPr>
        <w:t xml:space="preserve">The predictive model reinforces this with a negative coefficient </w:t>
      </w:r>
      <w:r w:rsidR="0028530A" w:rsidRPr="0028530A">
        <w:rPr>
          <w:rFonts w:ascii="Arial" w:hAnsi="Arial" w:cs="Arial"/>
          <w:b/>
          <w:bCs/>
        </w:rPr>
        <w:t>(</w:t>
      </w:r>
      <w:r w:rsidR="00DF0C81" w:rsidRPr="0028530A">
        <w:rPr>
          <w:rFonts w:ascii="Arial" w:hAnsi="Arial" w:cs="Arial"/>
          <w:b/>
          <w:bCs/>
        </w:rPr>
        <w:t>-1.230</w:t>
      </w:r>
      <w:r w:rsidR="0028530A" w:rsidRPr="0028530A">
        <w:rPr>
          <w:rFonts w:ascii="Arial" w:hAnsi="Arial" w:cs="Arial"/>
          <w:b/>
          <w:bCs/>
        </w:rPr>
        <w:t>)</w:t>
      </w:r>
      <w:r w:rsidR="00DF0C81" w:rsidRPr="0028530A">
        <w:rPr>
          <w:rFonts w:ascii="Arial" w:hAnsi="Arial" w:cs="Arial"/>
          <w:b/>
          <w:bCs/>
        </w:rPr>
        <w:t xml:space="preserve"> </w:t>
      </w:r>
      <w:r w:rsidR="00DF0C81" w:rsidRPr="00DF0C81">
        <w:rPr>
          <w:rFonts w:ascii="Arial" w:hAnsi="Arial" w:cs="Arial"/>
        </w:rPr>
        <w:t xml:space="preserve">for </w:t>
      </w:r>
      <w:proofErr w:type="spellStart"/>
      <w:r w:rsidR="00DF0C81" w:rsidRPr="00DF67A7">
        <w:rPr>
          <w:rFonts w:ascii="Arial" w:hAnsi="Arial" w:cs="Arial"/>
          <w:b/>
          <w:bCs/>
          <w:sz w:val="20"/>
          <w:szCs w:val="20"/>
        </w:rPr>
        <w:t>average_watch_hours</w:t>
      </w:r>
      <w:proofErr w:type="spellEnd"/>
      <w:r w:rsidR="00DF0C81" w:rsidRPr="00DF67A7">
        <w:rPr>
          <w:rFonts w:ascii="Arial" w:hAnsi="Arial" w:cs="Arial"/>
          <w:b/>
          <w:bCs/>
          <w:sz w:val="20"/>
          <w:szCs w:val="20"/>
        </w:rPr>
        <w:t>.</w:t>
      </w:r>
      <w:r w:rsidRPr="00017143">
        <w:rPr>
          <w:rFonts w:ascii="Arial" w:hAnsi="Arial" w:cs="Arial"/>
        </w:rPr>
        <w:br/>
      </w:r>
      <w:r w:rsidRPr="00017143">
        <w:rPr>
          <w:rStyle w:val="Strong"/>
          <w:rFonts w:ascii="Arial" w:hAnsi="Arial" w:cs="Arial"/>
        </w:rPr>
        <w:t>Business Insight:</w:t>
      </w:r>
      <w:r w:rsidRPr="00017143">
        <w:rPr>
          <w:rFonts w:ascii="Arial" w:hAnsi="Arial" w:cs="Arial"/>
        </w:rPr>
        <w:t xml:space="preserve"> Improving user engagement</w:t>
      </w:r>
      <w:r w:rsidR="00017143">
        <w:rPr>
          <w:rFonts w:ascii="Arial" w:hAnsi="Arial" w:cs="Arial"/>
        </w:rPr>
        <w:t xml:space="preserve"> </w:t>
      </w:r>
      <w:r w:rsidR="00E34169">
        <w:rPr>
          <w:rFonts w:ascii="Arial" w:hAnsi="Arial" w:cs="Arial"/>
        </w:rPr>
        <w:t>(</w:t>
      </w:r>
      <w:r w:rsidRPr="00017143">
        <w:rPr>
          <w:rFonts w:ascii="Arial" w:hAnsi="Arial" w:cs="Arial"/>
        </w:rPr>
        <w:t>particularly efficient and sustained viewing</w:t>
      </w:r>
      <w:r w:rsidR="00E34169">
        <w:rPr>
          <w:rFonts w:ascii="Arial" w:hAnsi="Arial" w:cs="Arial"/>
        </w:rPr>
        <w:t>)</w:t>
      </w:r>
      <w:r w:rsidR="00B00F07">
        <w:rPr>
          <w:rFonts w:ascii="Arial" w:hAnsi="Arial" w:cs="Arial"/>
        </w:rPr>
        <w:t xml:space="preserve"> </w:t>
      </w:r>
      <w:r w:rsidRPr="00017143">
        <w:rPr>
          <w:rFonts w:ascii="Arial" w:hAnsi="Arial" w:cs="Arial"/>
        </w:rPr>
        <w:t>directly lowers churn risk, making engagement initiatives central to retention strategy.</w:t>
      </w:r>
    </w:p>
    <w:p w14:paraId="602AB888" w14:textId="257046F4" w:rsidR="00761A16" w:rsidRDefault="0066291F" w:rsidP="002D15B8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5BA74BE" wp14:editId="5BFAEFAB">
            <wp:extent cx="5326380" cy="2707005"/>
            <wp:effectExtent l="0" t="0" r="7620" b="0"/>
            <wp:docPr id="382555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22" cy="2791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4464E" w14:textId="77777777" w:rsidR="00F90042" w:rsidRPr="0052259B" w:rsidRDefault="004D021F" w:rsidP="00A85FC9">
      <w:pPr>
        <w:pStyle w:val="NormalWeb"/>
        <w:rPr>
          <w:rFonts w:ascii="Arial" w:hAnsi="Arial" w:cs="Arial"/>
        </w:rPr>
      </w:pPr>
      <w:r w:rsidRPr="0052259B">
        <w:rPr>
          <w:rFonts w:ascii="Arial" w:hAnsi="Arial" w:cs="Arial"/>
          <w:b/>
          <w:bCs/>
        </w:rPr>
        <w:t>Figure 2: Engagement Gap.</w:t>
      </w:r>
      <w:r w:rsidRPr="0052259B">
        <w:rPr>
          <w:rFonts w:ascii="Arial" w:hAnsi="Arial" w:cs="Arial"/>
        </w:rPr>
        <w:t xml:space="preserve"> </w:t>
      </w:r>
    </w:p>
    <w:p w14:paraId="62B63199" w14:textId="20174C3B" w:rsidR="004D021F" w:rsidRPr="00E81724" w:rsidRDefault="004D021F" w:rsidP="002D15B8">
      <w:pPr>
        <w:pStyle w:val="NormalWeb"/>
        <w:spacing w:line="360" w:lineRule="auto"/>
        <w:rPr>
          <w:rFonts w:ascii="Arial" w:hAnsi="Arial" w:cs="Arial"/>
        </w:rPr>
      </w:pPr>
      <w:r w:rsidRPr="00A85FC9">
        <w:rPr>
          <w:rFonts w:ascii="Arial" w:hAnsi="Arial" w:cs="Arial"/>
          <w:i/>
          <w:iCs/>
        </w:rPr>
        <w:t>The distribution reveals a clear behavioral distinction: churned users (orange) cluster heavily in low-engagement ranges (&lt;25 hours), while retained users (blue) exhibit consistently higher watch times</w:t>
      </w:r>
      <w:r w:rsidRPr="00E81724">
        <w:rPr>
          <w:rFonts w:ascii="Arial" w:hAnsi="Arial" w:cs="Arial"/>
          <w:i/>
          <w:iCs/>
        </w:rPr>
        <w:t>.</w:t>
      </w:r>
    </w:p>
    <w:p w14:paraId="6B44D0B7" w14:textId="2C0BBEA3" w:rsidR="002F6A1E" w:rsidRPr="00BC35EC" w:rsidRDefault="00000000" w:rsidP="002D15B8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4A07E5E7">
          <v:rect id="_x0000_i1029" style="width:0;height:1.5pt" o:hrstd="t" o:hrnoshade="t" o:hr="t" fillcolor="gray" stroked="f"/>
        </w:pict>
      </w:r>
    </w:p>
    <w:p w14:paraId="38210258" w14:textId="77777777" w:rsidR="00635BC7" w:rsidRDefault="005B4004" w:rsidP="002D15B8">
      <w:pPr>
        <w:pStyle w:val="NormalWeb"/>
        <w:spacing w:line="360" w:lineRule="auto"/>
        <w:rPr>
          <w:rFonts w:ascii="Arial" w:hAnsi="Arial" w:cs="Arial"/>
        </w:rPr>
      </w:pPr>
      <w:r w:rsidRPr="00BC35EC">
        <w:rPr>
          <w:rFonts w:ascii="Arial" w:hAnsi="Arial" w:cs="Arial"/>
          <w:b/>
          <w:bCs/>
        </w:rPr>
        <w:lastRenderedPageBreak/>
        <w:t>Q3: Are mobile-dominant users more likely to cancel?</w:t>
      </w:r>
      <w:r w:rsidRPr="00BC35EC">
        <w:rPr>
          <w:rFonts w:ascii="Arial" w:hAnsi="Arial" w:cs="Arial"/>
        </w:rPr>
        <w:t xml:space="preserve"> </w:t>
      </w:r>
    </w:p>
    <w:p w14:paraId="7010BDAE" w14:textId="04797A4E" w:rsidR="00D51F6A" w:rsidRDefault="00D51F6A" w:rsidP="002D15B8">
      <w:pPr>
        <w:pStyle w:val="NormalWeb"/>
        <w:spacing w:line="360" w:lineRule="auto"/>
        <w:rPr>
          <w:rFonts w:ascii="Arial" w:hAnsi="Arial" w:cs="Arial"/>
        </w:rPr>
      </w:pPr>
      <w:r w:rsidRPr="00D51F6A">
        <w:rPr>
          <w:rFonts w:ascii="Arial" w:hAnsi="Arial" w:cs="Arial"/>
          <w:b/>
          <w:bCs/>
        </w:rPr>
        <w:t>Observation:</w:t>
      </w:r>
      <w:r w:rsidRPr="00D51F6A">
        <w:rPr>
          <w:rFonts w:ascii="Arial" w:hAnsi="Arial" w:cs="Arial"/>
        </w:rPr>
        <w:t xml:space="preserve"> Heavy mobile users (usage &gt;70%) exhibit a higher churn rate than normal users.</w:t>
      </w:r>
      <w:r w:rsidRPr="00D51F6A">
        <w:rPr>
          <w:rFonts w:ascii="Arial" w:hAnsi="Arial" w:cs="Arial"/>
        </w:rPr>
        <w:br/>
      </w:r>
      <w:r w:rsidRPr="00D51F6A">
        <w:rPr>
          <w:rFonts w:ascii="Arial" w:hAnsi="Arial" w:cs="Arial"/>
          <w:b/>
          <w:bCs/>
        </w:rPr>
        <w:t>Visual Evidence:</w:t>
      </w:r>
      <w:r w:rsidRPr="00D51F6A">
        <w:rPr>
          <w:rFonts w:ascii="Arial" w:hAnsi="Arial" w:cs="Arial"/>
        </w:rPr>
        <w:t xml:space="preserve"> As shown in </w:t>
      </w:r>
      <w:r w:rsidRPr="00D51F6A">
        <w:rPr>
          <w:rFonts w:ascii="Arial" w:hAnsi="Arial" w:cs="Arial"/>
          <w:b/>
          <w:bCs/>
        </w:rPr>
        <w:t>Figure 3</w:t>
      </w:r>
      <w:r w:rsidRPr="00D51F6A">
        <w:rPr>
          <w:rFonts w:ascii="Arial" w:hAnsi="Arial" w:cs="Arial"/>
        </w:rPr>
        <w:t xml:space="preserve">, heavy mobile users have a churn rate of approximately </w:t>
      </w:r>
      <w:r w:rsidRPr="00D51F6A">
        <w:rPr>
          <w:rFonts w:ascii="Arial" w:hAnsi="Arial" w:cs="Arial"/>
          <w:b/>
          <w:bCs/>
        </w:rPr>
        <w:t>30%</w:t>
      </w:r>
      <w:r w:rsidRPr="00D51F6A">
        <w:rPr>
          <w:rFonts w:ascii="Arial" w:hAnsi="Arial" w:cs="Arial"/>
        </w:rPr>
        <w:t xml:space="preserve">, compared to roughly </w:t>
      </w:r>
      <w:r w:rsidRPr="00D51F6A">
        <w:rPr>
          <w:rFonts w:ascii="Arial" w:hAnsi="Arial" w:cs="Arial"/>
          <w:b/>
          <w:bCs/>
        </w:rPr>
        <w:t>22%</w:t>
      </w:r>
      <w:r w:rsidRPr="00D51F6A">
        <w:rPr>
          <w:rFonts w:ascii="Arial" w:hAnsi="Arial" w:cs="Arial"/>
        </w:rPr>
        <w:t xml:space="preserve"> for normal users.</w:t>
      </w:r>
      <w:r w:rsidRPr="00D51F6A">
        <w:rPr>
          <w:rFonts w:ascii="Arial" w:hAnsi="Arial" w:cs="Arial"/>
        </w:rPr>
        <w:br/>
      </w:r>
      <w:r w:rsidRPr="00D51F6A">
        <w:rPr>
          <w:rFonts w:ascii="Arial" w:hAnsi="Arial" w:cs="Arial"/>
          <w:b/>
          <w:bCs/>
        </w:rPr>
        <w:t>Model Confirmation:</w:t>
      </w:r>
      <w:r w:rsidRPr="00D51F6A">
        <w:rPr>
          <w:rFonts w:ascii="Arial" w:hAnsi="Arial" w:cs="Arial"/>
        </w:rPr>
        <w:t xml:space="preserve"> The Logistic Regression model assigns a positive coefficient of </w:t>
      </w:r>
      <w:r w:rsidRPr="00D51F6A">
        <w:rPr>
          <w:rFonts w:ascii="Arial" w:hAnsi="Arial" w:cs="Arial"/>
          <w:b/>
          <w:bCs/>
        </w:rPr>
        <w:t>0.38</w:t>
      </w:r>
      <w:r w:rsidRPr="00D51F6A">
        <w:rPr>
          <w:rFonts w:ascii="Arial" w:hAnsi="Arial" w:cs="Arial"/>
        </w:rPr>
        <w:t xml:space="preserve"> to the </w:t>
      </w:r>
      <w:proofErr w:type="spellStart"/>
      <w:r w:rsidRPr="00D51F6A">
        <w:rPr>
          <w:rFonts w:ascii="Arial" w:hAnsi="Arial" w:cs="Arial"/>
        </w:rPr>
        <w:t>heavy_mobile_user</w:t>
      </w:r>
      <w:proofErr w:type="spellEnd"/>
      <w:r w:rsidRPr="00D51F6A">
        <w:rPr>
          <w:rFonts w:ascii="Arial" w:hAnsi="Arial" w:cs="Arial"/>
        </w:rPr>
        <w:t xml:space="preserve"> feature, confirming increased churn risk associated with mobile-dominant usage.</w:t>
      </w:r>
      <w:r w:rsidRPr="00D51F6A">
        <w:rPr>
          <w:rFonts w:ascii="Arial" w:hAnsi="Arial" w:cs="Arial"/>
        </w:rPr>
        <w:br/>
      </w:r>
      <w:r w:rsidRPr="00D51F6A">
        <w:rPr>
          <w:rFonts w:ascii="Arial" w:hAnsi="Arial" w:cs="Arial"/>
          <w:b/>
          <w:bCs/>
        </w:rPr>
        <w:t>Business Insight:</w:t>
      </w:r>
      <w:r w:rsidRPr="00D51F6A">
        <w:rPr>
          <w:rFonts w:ascii="Arial" w:hAnsi="Arial" w:cs="Arial"/>
        </w:rPr>
        <w:t xml:space="preserve"> This pattern suggests mobile-specific friction in the customer journey. </w:t>
      </w:r>
      <w:proofErr w:type="spellStart"/>
      <w:r w:rsidRPr="00D51F6A">
        <w:rPr>
          <w:rFonts w:ascii="Arial" w:hAnsi="Arial" w:cs="Arial"/>
        </w:rPr>
        <w:t>StreamWorks</w:t>
      </w:r>
      <w:proofErr w:type="spellEnd"/>
      <w:r w:rsidRPr="00D51F6A">
        <w:rPr>
          <w:rFonts w:ascii="Arial" w:hAnsi="Arial" w:cs="Arial"/>
        </w:rPr>
        <w:t xml:space="preserve"> should prioritize a mobile UX and performance audit before deploying costly retention incentives.</w:t>
      </w:r>
    </w:p>
    <w:p w14:paraId="58F8DDFA" w14:textId="52E5A85B" w:rsidR="00C4532D" w:rsidRDefault="005861B4" w:rsidP="002D15B8">
      <w:pPr>
        <w:pStyle w:val="NormalWeb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7891EF" wp14:editId="2A9E50AC">
            <wp:extent cx="4709160" cy="2159635"/>
            <wp:effectExtent l="0" t="0" r="0" b="0"/>
            <wp:docPr id="5" name="Picture 3" descr="A graph showing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A graph showing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091" cy="218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A551" w14:textId="4ECC283F" w:rsidR="00CD086E" w:rsidRDefault="00F16A64" w:rsidP="002D15B8">
      <w:pPr>
        <w:pStyle w:val="NormalWeb"/>
        <w:spacing w:line="360" w:lineRule="auto"/>
        <w:rPr>
          <w:rFonts w:ascii="Arial" w:hAnsi="Arial" w:cs="Arial"/>
        </w:rPr>
      </w:pPr>
      <w:r w:rsidRPr="00F16A64">
        <w:rPr>
          <w:rFonts w:ascii="Arial" w:hAnsi="Arial" w:cs="Arial"/>
          <w:b/>
          <w:bCs/>
        </w:rPr>
        <w:t>Figure 3: Mobile Usage Risk</w:t>
      </w:r>
      <w:r w:rsidRPr="00F16A64">
        <w:rPr>
          <w:rFonts w:ascii="Arial" w:hAnsi="Arial" w:cs="Arial"/>
          <w:b/>
          <w:bCs/>
        </w:rPr>
        <w:br/>
      </w:r>
      <w:r w:rsidRPr="00F16A64">
        <w:rPr>
          <w:rFonts w:ascii="Arial" w:hAnsi="Arial" w:cs="Arial"/>
          <w:i/>
          <w:iCs/>
        </w:rPr>
        <w:t>Heavy mobile users show a distinctly higher churn rate compared to baseline users</w:t>
      </w:r>
      <w:r w:rsidR="00872039" w:rsidRPr="00F16A64">
        <w:rPr>
          <w:rFonts w:ascii="Arial" w:hAnsi="Arial" w:cs="Arial"/>
          <w:i/>
          <w:iCs/>
        </w:rPr>
        <w:t>.</w:t>
      </w:r>
    </w:p>
    <w:p w14:paraId="01A20F46" w14:textId="7F74CAD3" w:rsidR="002F6A1E" w:rsidRPr="00BC35EC" w:rsidRDefault="00000000" w:rsidP="002D15B8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41309299">
          <v:rect id="_x0000_i1030" style="width:0;height:1.5pt" o:hrstd="t" o:hrnoshade="t" o:hr="t" fillcolor="gray" stroked="f"/>
        </w:pict>
      </w:r>
    </w:p>
    <w:p w14:paraId="1D99F1C7" w14:textId="77777777" w:rsidR="007F5B6D" w:rsidRPr="00BC35EC" w:rsidRDefault="007F5B6D" w:rsidP="002D15B8">
      <w:pPr>
        <w:pStyle w:val="ListBullet"/>
        <w:numPr>
          <w:ilvl w:val="0"/>
          <w:numId w:val="0"/>
        </w:numPr>
        <w:spacing w:line="360" w:lineRule="auto"/>
        <w:rPr>
          <w:rFonts w:cs="Arial"/>
          <w:b/>
          <w:bCs/>
          <w:szCs w:val="24"/>
        </w:rPr>
      </w:pPr>
      <w:r w:rsidRPr="007F5B6D">
        <w:rPr>
          <w:rFonts w:cs="Arial"/>
          <w:b/>
          <w:bCs/>
          <w:szCs w:val="24"/>
        </w:rPr>
        <w:t>Q4: Top 3 features influencing churn (from Logistic Regression)</w:t>
      </w:r>
    </w:p>
    <w:p w14:paraId="35DD2534" w14:textId="77777777" w:rsidR="007F5B6D" w:rsidRPr="00BC35EC" w:rsidRDefault="007F5B6D" w:rsidP="002D15B8">
      <w:pPr>
        <w:pStyle w:val="ListBullet"/>
        <w:numPr>
          <w:ilvl w:val="0"/>
          <w:numId w:val="0"/>
        </w:numPr>
        <w:spacing w:line="360" w:lineRule="auto"/>
        <w:rPr>
          <w:rFonts w:cs="Arial"/>
          <w:szCs w:val="24"/>
        </w:rPr>
      </w:pPr>
      <w:r w:rsidRPr="007F5B6D">
        <w:rPr>
          <w:rFonts w:cs="Arial"/>
          <w:szCs w:val="24"/>
        </w:rPr>
        <w:t xml:space="preserve">The Logistic Regression model identifies </w:t>
      </w:r>
      <w:r w:rsidRPr="007F5B6D">
        <w:rPr>
          <w:rFonts w:cs="Arial"/>
          <w:b/>
          <w:bCs/>
          <w:szCs w:val="24"/>
        </w:rPr>
        <w:t>Tenure</w:t>
      </w:r>
      <w:r w:rsidRPr="007F5B6D">
        <w:rPr>
          <w:rFonts w:cs="Arial"/>
          <w:szCs w:val="24"/>
        </w:rPr>
        <w:t xml:space="preserve">, </w:t>
      </w:r>
      <w:r w:rsidRPr="007F5B6D">
        <w:rPr>
          <w:rFonts w:cs="Arial"/>
          <w:b/>
          <w:bCs/>
          <w:szCs w:val="24"/>
        </w:rPr>
        <w:t>Average Watch Hours</w:t>
      </w:r>
      <w:r w:rsidRPr="007F5B6D">
        <w:rPr>
          <w:rFonts w:cs="Arial"/>
          <w:szCs w:val="24"/>
        </w:rPr>
        <w:t xml:space="preserve">, and </w:t>
      </w:r>
      <w:r w:rsidRPr="007F5B6D">
        <w:rPr>
          <w:rFonts w:cs="Arial"/>
          <w:b/>
          <w:bCs/>
          <w:szCs w:val="24"/>
        </w:rPr>
        <w:t>Monthly Fee</w:t>
      </w:r>
      <w:r w:rsidRPr="007F5B6D">
        <w:rPr>
          <w:rFonts w:cs="Arial"/>
          <w:szCs w:val="24"/>
        </w:rPr>
        <w:t xml:space="preserve"> as the strongest predictors of churn.</w:t>
      </w:r>
    </w:p>
    <w:p w14:paraId="760D3A8E" w14:textId="77777777" w:rsidR="00B77DC6" w:rsidRPr="00BC35EC" w:rsidRDefault="00B77DC6" w:rsidP="002D15B8">
      <w:pPr>
        <w:pStyle w:val="ListBullet"/>
        <w:numPr>
          <w:ilvl w:val="0"/>
          <w:numId w:val="0"/>
        </w:numPr>
        <w:spacing w:line="360" w:lineRule="auto"/>
        <w:rPr>
          <w:rFonts w:cs="Arial"/>
          <w:szCs w:val="24"/>
        </w:rPr>
      </w:pPr>
    </w:p>
    <w:p w14:paraId="45EA9CE3" w14:textId="0CBBE7B1" w:rsidR="00B77DC6" w:rsidRDefault="00B86798" w:rsidP="002D15B8">
      <w:pPr>
        <w:pStyle w:val="ListBullet"/>
        <w:numPr>
          <w:ilvl w:val="0"/>
          <w:numId w:val="0"/>
        </w:numPr>
        <w:spacing w:line="360" w:lineRule="auto"/>
        <w:rPr>
          <w:rFonts w:cs="Arial"/>
          <w:szCs w:val="24"/>
        </w:rPr>
      </w:pPr>
      <w:r w:rsidRPr="00BC35EC">
        <w:rPr>
          <w:rFonts w:cs="Arial"/>
          <w:noProof/>
          <w:szCs w:val="24"/>
        </w:rPr>
        <w:lastRenderedPageBreak/>
        <w:drawing>
          <wp:inline distT="0" distB="0" distL="0" distR="0" wp14:anchorId="0342D86C" wp14:editId="1707C354">
            <wp:extent cx="6764481" cy="1851560"/>
            <wp:effectExtent l="0" t="0" r="0" b="0"/>
            <wp:docPr id="222005235" name="Picture 4" descr="A graph with a green and orang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5235" name="Picture 4" descr="A graph with a green and orange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099" cy="185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D9852" w14:textId="77777777" w:rsidR="00401164" w:rsidRPr="00401164" w:rsidRDefault="00401164" w:rsidP="00401164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401164">
        <w:rPr>
          <w:rFonts w:ascii="Arial" w:hAnsi="Arial" w:cs="Arial"/>
          <w:b/>
          <w:bCs/>
        </w:rPr>
        <w:t>Tenure:</w:t>
      </w:r>
      <w:r w:rsidRPr="00401164">
        <w:rPr>
          <w:rFonts w:ascii="Arial" w:hAnsi="Arial" w:cs="Arial"/>
        </w:rPr>
        <w:t xml:space="preserve"> The strongest driver. As shown in the </w:t>
      </w:r>
      <w:r w:rsidRPr="00401164">
        <w:rPr>
          <w:rFonts w:ascii="Arial" w:hAnsi="Arial" w:cs="Arial"/>
          <w:b/>
          <w:bCs/>
        </w:rPr>
        <w:t>middle panel</w:t>
      </w:r>
      <w:r w:rsidRPr="00401164">
        <w:rPr>
          <w:rFonts w:ascii="Arial" w:hAnsi="Arial" w:cs="Arial"/>
        </w:rPr>
        <w:t>, retained users have significantly longer lifecycles, while churners drop off early.</w:t>
      </w:r>
    </w:p>
    <w:p w14:paraId="14F97E3F" w14:textId="77777777" w:rsidR="00401164" w:rsidRPr="00401164" w:rsidRDefault="00401164" w:rsidP="00401164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401164">
        <w:rPr>
          <w:rFonts w:ascii="Arial" w:hAnsi="Arial" w:cs="Arial"/>
          <w:b/>
          <w:bCs/>
        </w:rPr>
        <w:t>Watch Hours:</w:t>
      </w:r>
      <w:r w:rsidRPr="00401164">
        <w:rPr>
          <w:rFonts w:ascii="Arial" w:hAnsi="Arial" w:cs="Arial"/>
        </w:rPr>
        <w:t xml:space="preserve"> High engagement strongly protects against churn. The </w:t>
      </w:r>
      <w:r w:rsidRPr="00401164">
        <w:rPr>
          <w:rFonts w:ascii="Arial" w:hAnsi="Arial" w:cs="Arial"/>
          <w:b/>
          <w:bCs/>
        </w:rPr>
        <w:t>right panel boxplots</w:t>
      </w:r>
      <w:r w:rsidRPr="00401164">
        <w:rPr>
          <w:rFonts w:ascii="Arial" w:hAnsi="Arial" w:cs="Arial"/>
        </w:rPr>
        <w:t xml:space="preserve"> confirm that retained users have consistently higher average watch times.</w:t>
      </w:r>
    </w:p>
    <w:p w14:paraId="426D057D" w14:textId="77777777" w:rsidR="00401164" w:rsidRPr="00401164" w:rsidRDefault="00401164" w:rsidP="00401164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401164">
        <w:rPr>
          <w:rFonts w:ascii="Arial" w:hAnsi="Arial" w:cs="Arial"/>
          <w:b/>
          <w:bCs/>
        </w:rPr>
        <w:t>Monthly Fee:</w:t>
      </w:r>
      <w:r w:rsidRPr="00401164">
        <w:rPr>
          <w:rFonts w:ascii="Arial" w:hAnsi="Arial" w:cs="Arial"/>
        </w:rPr>
        <w:t xml:space="preserve"> Price sensitivity is a key friction point. The </w:t>
      </w:r>
      <w:r w:rsidRPr="00401164">
        <w:rPr>
          <w:rFonts w:ascii="Arial" w:hAnsi="Arial" w:cs="Arial"/>
          <w:b/>
          <w:bCs/>
        </w:rPr>
        <w:t>coefficient chart (left panel)</w:t>
      </w:r>
      <w:r w:rsidRPr="00401164">
        <w:rPr>
          <w:rFonts w:ascii="Arial" w:hAnsi="Arial" w:cs="Arial"/>
        </w:rPr>
        <w:t xml:space="preserve"> shows a positive relationship, indicating that higher fees slightly increase the risk of cancellation.</w:t>
      </w:r>
    </w:p>
    <w:p w14:paraId="6B7854A4" w14:textId="77777777" w:rsidR="00401164" w:rsidRPr="00401164" w:rsidRDefault="00401164" w:rsidP="00401164">
      <w:pPr>
        <w:pStyle w:val="NormalWeb"/>
        <w:spacing w:line="360" w:lineRule="auto"/>
        <w:rPr>
          <w:rFonts w:ascii="Arial" w:hAnsi="Arial" w:cs="Arial"/>
        </w:rPr>
      </w:pPr>
      <w:r w:rsidRPr="00401164">
        <w:rPr>
          <w:rFonts w:ascii="Arial" w:hAnsi="Arial" w:cs="Arial"/>
          <w:i/>
          <w:iCs/>
        </w:rPr>
        <w:t xml:space="preserve">(See </w:t>
      </w:r>
      <w:r w:rsidRPr="00046193">
        <w:rPr>
          <w:rFonts w:ascii="Arial" w:hAnsi="Arial" w:cs="Arial"/>
          <w:b/>
          <w:bCs/>
          <w:i/>
          <w:iCs/>
        </w:rPr>
        <w:t>Figure 4</w:t>
      </w:r>
      <w:r w:rsidRPr="00401164">
        <w:rPr>
          <w:rFonts w:ascii="Arial" w:hAnsi="Arial" w:cs="Arial"/>
          <w:i/>
          <w:iCs/>
        </w:rPr>
        <w:t>: Composite Model Drivers)</w:t>
      </w:r>
    </w:p>
    <w:p w14:paraId="1C411C95" w14:textId="520E0C50" w:rsidR="002F6A1E" w:rsidRPr="007F5B6D" w:rsidRDefault="00000000" w:rsidP="002D15B8">
      <w:pPr>
        <w:pStyle w:val="ListBullet"/>
        <w:numPr>
          <w:ilvl w:val="0"/>
          <w:numId w:val="0"/>
        </w:numPr>
        <w:spacing w:line="360" w:lineRule="auto"/>
        <w:ind w:left="-720"/>
        <w:rPr>
          <w:rFonts w:cs="Arial"/>
          <w:szCs w:val="24"/>
        </w:rPr>
      </w:pPr>
      <w:r>
        <w:rPr>
          <w:rFonts w:cs="Arial"/>
          <w:szCs w:val="24"/>
        </w:rPr>
        <w:pict w14:anchorId="08F24A03">
          <v:rect id="_x0000_i1031" style="width:0;height:1.5pt" o:hrstd="t" o:hrnoshade="t" o:hr="t" fillcolor="gray" stroked="f"/>
        </w:pict>
      </w:r>
    </w:p>
    <w:p w14:paraId="40DCDC8B" w14:textId="77777777" w:rsidR="00635BC7" w:rsidRDefault="00861607" w:rsidP="001273C8">
      <w:pPr>
        <w:pStyle w:val="NormalWeb"/>
        <w:spacing w:line="360" w:lineRule="auto"/>
        <w:rPr>
          <w:b/>
          <w:bCs/>
        </w:rPr>
      </w:pPr>
      <w:r w:rsidRPr="00861607">
        <w:rPr>
          <w:rFonts w:ascii="Arial" w:hAnsi="Arial" w:cs="Arial"/>
          <w:b/>
          <w:bCs/>
        </w:rPr>
        <w:t xml:space="preserve">Q5: Which segments should retention </w:t>
      </w:r>
      <w:proofErr w:type="spellStart"/>
      <w:r w:rsidRPr="00861607">
        <w:rPr>
          <w:rFonts w:ascii="Arial" w:hAnsi="Arial" w:cs="Arial"/>
          <w:b/>
          <w:bCs/>
        </w:rPr>
        <w:t>prioritise</w:t>
      </w:r>
      <w:proofErr w:type="spellEnd"/>
      <w:r w:rsidRPr="00861607">
        <w:rPr>
          <w:rFonts w:ascii="Arial" w:hAnsi="Arial" w:cs="Arial"/>
          <w:b/>
          <w:bCs/>
        </w:rPr>
        <w:t>?</w:t>
      </w:r>
      <w:r w:rsidR="001273C8" w:rsidRPr="001273C8">
        <w:rPr>
          <w:b/>
          <w:bCs/>
        </w:rPr>
        <w:t xml:space="preserve"> </w:t>
      </w:r>
    </w:p>
    <w:p w14:paraId="23627BF3" w14:textId="640B7EBA" w:rsidR="00DC712D" w:rsidRPr="00DC712D" w:rsidRDefault="00DC712D" w:rsidP="00DC712D">
      <w:pPr>
        <w:pStyle w:val="NormalWeb"/>
        <w:spacing w:line="360" w:lineRule="auto"/>
        <w:rPr>
          <w:rFonts w:ascii="Arial" w:hAnsi="Arial" w:cs="Arial"/>
        </w:rPr>
      </w:pPr>
      <w:r w:rsidRPr="00DC712D">
        <w:rPr>
          <w:rFonts w:ascii="Arial" w:hAnsi="Arial" w:cs="Arial"/>
          <w:b/>
          <w:bCs/>
        </w:rPr>
        <w:t>Target Segment:</w:t>
      </w:r>
      <w:r w:rsidRPr="00DC712D">
        <w:rPr>
          <w:rFonts w:ascii="Arial" w:hAnsi="Arial" w:cs="Arial"/>
        </w:rPr>
        <w:t xml:space="preserve"> Priority must be the "Predicted Churn" segment. The Confusion Matrix (Figure 5) confirms 44 high-risk users were successfully identified.</w:t>
      </w:r>
    </w:p>
    <w:p w14:paraId="1439DDB1" w14:textId="0A923477" w:rsidR="00DC712D" w:rsidRPr="00DC712D" w:rsidRDefault="00DC712D" w:rsidP="00DC712D">
      <w:pPr>
        <w:pStyle w:val="NormalWeb"/>
        <w:spacing w:line="360" w:lineRule="auto"/>
        <w:rPr>
          <w:rFonts w:ascii="Arial" w:hAnsi="Arial" w:cs="Arial"/>
        </w:rPr>
      </w:pPr>
      <w:r w:rsidRPr="00DC712D">
        <w:rPr>
          <w:rFonts w:ascii="Arial" w:hAnsi="Arial" w:cs="Arial"/>
          <w:b/>
          <w:bCs/>
        </w:rPr>
        <w:t>Risk Assessment:</w:t>
      </w:r>
      <w:r w:rsidRPr="00DC712D">
        <w:rPr>
          <w:rFonts w:ascii="Arial" w:hAnsi="Arial" w:cs="Arial"/>
        </w:rPr>
        <w:t xml:space="preserve"> The model frequently </w:t>
      </w:r>
      <w:r w:rsidRPr="00DC712D">
        <w:rPr>
          <w:rFonts w:ascii="Arial" w:hAnsi="Arial" w:cs="Arial"/>
          <w:b/>
          <w:bCs/>
        </w:rPr>
        <w:t>"cries wolf"</w:t>
      </w:r>
      <w:r w:rsidRPr="00DC712D">
        <w:rPr>
          <w:rFonts w:ascii="Arial" w:hAnsi="Arial" w:cs="Arial"/>
        </w:rPr>
        <w:t>, identifying ~3 false alarms for every 1 actual churner (false positives).</w:t>
      </w:r>
    </w:p>
    <w:p w14:paraId="0AFA7C90" w14:textId="2CA5267C" w:rsidR="00DC712D" w:rsidRPr="00DC712D" w:rsidRDefault="00DC712D" w:rsidP="00DC712D">
      <w:pPr>
        <w:pStyle w:val="NormalWeb"/>
        <w:spacing w:line="360" w:lineRule="auto"/>
        <w:rPr>
          <w:rFonts w:ascii="Arial" w:hAnsi="Arial" w:cs="Arial"/>
        </w:rPr>
      </w:pPr>
      <w:r w:rsidRPr="00DC712D">
        <w:rPr>
          <w:rFonts w:ascii="Arial" w:hAnsi="Arial" w:cs="Arial"/>
          <w:b/>
          <w:bCs/>
        </w:rPr>
        <w:t>Strategy:</w:t>
      </w:r>
      <w:r w:rsidRPr="00DC712D">
        <w:rPr>
          <w:rFonts w:ascii="Arial" w:hAnsi="Arial" w:cs="Arial"/>
        </w:rPr>
        <w:t xml:space="preserve"> Interventions must be carefully calibrated to avoid wasting budget on customers who were never going to leave.</w:t>
      </w:r>
    </w:p>
    <w:p w14:paraId="468948B3" w14:textId="4E01C14E" w:rsidR="00DC712D" w:rsidRPr="00DC712D" w:rsidRDefault="00DC712D" w:rsidP="00DC712D">
      <w:pPr>
        <w:pStyle w:val="NormalWeb"/>
        <w:spacing w:line="360" w:lineRule="auto"/>
        <w:rPr>
          <w:rFonts w:ascii="Arial" w:hAnsi="Arial" w:cs="Arial"/>
        </w:rPr>
      </w:pPr>
      <w:r w:rsidRPr="00DC712D">
        <w:rPr>
          <w:rFonts w:ascii="Arial" w:hAnsi="Arial" w:cs="Arial"/>
          <w:b/>
          <w:bCs/>
        </w:rPr>
        <w:lastRenderedPageBreak/>
        <w:t>Recommendation:</w:t>
      </w:r>
      <w:r w:rsidRPr="00DC712D">
        <w:rPr>
          <w:rFonts w:ascii="Arial" w:hAnsi="Arial" w:cs="Arial"/>
        </w:rPr>
        <w:t xml:space="preserve"> Deploy "soft" interventions like </w:t>
      </w:r>
      <w:proofErr w:type="spellStart"/>
      <w:r w:rsidRPr="00DC712D">
        <w:rPr>
          <w:rFonts w:ascii="Arial" w:hAnsi="Arial" w:cs="Arial"/>
          <w:b/>
          <w:bCs/>
        </w:rPr>
        <w:t>personalised</w:t>
      </w:r>
      <w:proofErr w:type="spellEnd"/>
      <w:r w:rsidRPr="00DC712D">
        <w:rPr>
          <w:rFonts w:ascii="Arial" w:hAnsi="Arial" w:cs="Arial"/>
        </w:rPr>
        <w:t xml:space="preserve"> content recommendations or "Watch Next" notifications rather than expensive discounts.</w:t>
      </w:r>
    </w:p>
    <w:p w14:paraId="1C477E1A" w14:textId="77777777" w:rsidR="003310F3" w:rsidRPr="00BC35EC" w:rsidRDefault="003310F3" w:rsidP="00CD2ADE">
      <w:pPr>
        <w:pStyle w:val="ListBullet"/>
        <w:numPr>
          <w:ilvl w:val="0"/>
          <w:numId w:val="0"/>
        </w:numPr>
        <w:rPr>
          <w:rFonts w:cs="Arial"/>
          <w:szCs w:val="24"/>
        </w:rPr>
      </w:pPr>
    </w:p>
    <w:p w14:paraId="6733FB48" w14:textId="252399A1" w:rsidR="003310F3" w:rsidRPr="00BC35EC" w:rsidRDefault="006C30A7" w:rsidP="00CD2ADE">
      <w:pPr>
        <w:pStyle w:val="ListBullet"/>
        <w:numPr>
          <w:ilvl w:val="0"/>
          <w:numId w:val="0"/>
        </w:numPr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3A56314F" wp14:editId="3B87D891">
            <wp:extent cx="4442460" cy="3056255"/>
            <wp:effectExtent l="0" t="0" r="0" b="0"/>
            <wp:docPr id="1212319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26" cy="30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D33D75" w14:textId="77777777" w:rsidR="003310F3" w:rsidRPr="00BC35EC" w:rsidRDefault="003310F3" w:rsidP="00CD2ADE">
      <w:pPr>
        <w:pStyle w:val="ListBullet"/>
        <w:numPr>
          <w:ilvl w:val="0"/>
          <w:numId w:val="0"/>
        </w:numPr>
        <w:ind w:left="-360"/>
        <w:rPr>
          <w:rFonts w:cs="Arial"/>
          <w:szCs w:val="24"/>
        </w:rPr>
      </w:pPr>
    </w:p>
    <w:p w14:paraId="6C4BC353" w14:textId="4E9E5875" w:rsidR="00861607" w:rsidRDefault="00E666FB" w:rsidP="00CD2ADE">
      <w:pPr>
        <w:pStyle w:val="ListBullet"/>
        <w:numPr>
          <w:ilvl w:val="0"/>
          <w:numId w:val="0"/>
        </w:numPr>
        <w:ind w:left="-360"/>
        <w:rPr>
          <w:rFonts w:cs="Arial"/>
          <w:szCs w:val="24"/>
        </w:rPr>
      </w:pPr>
      <w:r w:rsidRPr="00E666FB">
        <w:rPr>
          <w:rFonts w:cs="Arial"/>
          <w:b/>
          <w:bCs/>
          <w:szCs w:val="24"/>
        </w:rPr>
        <w:t>Figure 5: Confusion Matrix</w:t>
      </w:r>
      <w:r w:rsidRPr="00E666FB">
        <w:rPr>
          <w:rFonts w:cs="Arial"/>
          <w:i/>
          <w:iCs/>
          <w:szCs w:val="24"/>
        </w:rPr>
        <w:br/>
        <w:t>The model identifies high-risk churn users but favors recall, resulting in a higher number of false positives.</w:t>
      </w:r>
      <w:r w:rsidR="00000000">
        <w:rPr>
          <w:rFonts w:cs="Arial"/>
          <w:szCs w:val="24"/>
        </w:rPr>
        <w:pict w14:anchorId="164D8539">
          <v:rect id="_x0000_i1032" style="width:0;height:1.5pt" o:hrstd="t" o:hrnoshade="t" o:hr="t" fillcolor="gray" stroked="f"/>
        </w:pict>
      </w:r>
    </w:p>
    <w:p w14:paraId="4EEE55E3" w14:textId="77777777" w:rsidR="003A187B" w:rsidRDefault="003A187B" w:rsidP="00D117BC">
      <w:pPr>
        <w:pStyle w:val="ListBullet"/>
        <w:numPr>
          <w:ilvl w:val="0"/>
          <w:numId w:val="0"/>
        </w:numPr>
        <w:spacing w:line="360" w:lineRule="auto"/>
        <w:rPr>
          <w:rFonts w:cs="Arial"/>
          <w:b/>
          <w:bCs/>
          <w:szCs w:val="24"/>
        </w:rPr>
      </w:pPr>
      <w:r w:rsidRPr="003A187B">
        <w:rPr>
          <w:rFonts w:cs="Arial"/>
          <w:b/>
          <w:bCs/>
          <w:szCs w:val="24"/>
        </w:rPr>
        <w:t>Q6: What factors affect tenure? (Linear Regression Insight)</w:t>
      </w:r>
    </w:p>
    <w:p w14:paraId="66732BEE" w14:textId="77777777" w:rsidR="00D117BC" w:rsidRPr="003A187B" w:rsidRDefault="00D117BC" w:rsidP="00D117BC">
      <w:pPr>
        <w:pStyle w:val="ListBullet"/>
        <w:numPr>
          <w:ilvl w:val="0"/>
          <w:numId w:val="0"/>
        </w:numPr>
        <w:spacing w:line="360" w:lineRule="auto"/>
        <w:rPr>
          <w:rFonts w:cs="Arial"/>
          <w:b/>
          <w:bCs/>
          <w:szCs w:val="24"/>
        </w:rPr>
      </w:pPr>
    </w:p>
    <w:p w14:paraId="75CAC741" w14:textId="77777777" w:rsidR="001B048B" w:rsidRDefault="003A187B" w:rsidP="00D117BC">
      <w:pPr>
        <w:pStyle w:val="ListBullet"/>
        <w:numPr>
          <w:ilvl w:val="0"/>
          <w:numId w:val="0"/>
        </w:numPr>
        <w:spacing w:line="360" w:lineRule="auto"/>
        <w:rPr>
          <w:rFonts w:cs="Arial"/>
          <w:szCs w:val="24"/>
        </w:rPr>
      </w:pPr>
      <w:r w:rsidRPr="003A187B">
        <w:rPr>
          <w:rFonts w:cs="Arial"/>
          <w:szCs w:val="24"/>
        </w:rPr>
        <w:t xml:space="preserve">The Linear Regression model </w:t>
      </w:r>
      <w:r w:rsidRPr="003A187B">
        <w:rPr>
          <w:rFonts w:cs="Arial"/>
          <w:b/>
          <w:bCs/>
          <w:szCs w:val="24"/>
        </w:rPr>
        <w:t>(</w:t>
      </w:r>
      <w:r w:rsidR="005B1FDB" w:rsidRPr="005B1FDB">
        <w:rPr>
          <w:rFonts w:cs="Arial"/>
          <w:b/>
          <w:bCs/>
          <w:szCs w:val="24"/>
        </w:rPr>
        <w:t>R²</w:t>
      </w:r>
      <w:r w:rsidR="005B1FDB" w:rsidRPr="005E4AD3">
        <w:rPr>
          <w:rFonts w:cs="Arial"/>
          <w:szCs w:val="24"/>
        </w:rPr>
        <w:t xml:space="preserve"> </w:t>
      </w:r>
      <w:r w:rsidRPr="003A187B">
        <w:rPr>
          <w:rFonts w:cs="Arial"/>
          <w:b/>
          <w:bCs/>
          <w:szCs w:val="24"/>
        </w:rPr>
        <w:t>= -0.044)</w:t>
      </w:r>
      <w:r w:rsidRPr="003A187B">
        <w:rPr>
          <w:rFonts w:cs="Arial"/>
          <w:szCs w:val="24"/>
        </w:rPr>
        <w:t xml:space="preserve"> indicates that tenure is highly complex and difficult to predict using demographic data alone. </w:t>
      </w:r>
      <w:r w:rsidR="005E4AD3" w:rsidRPr="005E4AD3">
        <w:rPr>
          <w:rFonts w:cs="Arial"/>
          <w:szCs w:val="24"/>
        </w:rPr>
        <w:t xml:space="preserve">A negative R² indicates that the linear model performs worse than a mean-based baseline, highlighting that tenure cannot be reliably predicted using demographic features </w:t>
      </w:r>
      <w:r w:rsidR="002822AA" w:rsidRPr="005E4AD3">
        <w:rPr>
          <w:rFonts w:cs="Arial"/>
          <w:szCs w:val="24"/>
        </w:rPr>
        <w:t>alone.</w:t>
      </w:r>
      <w:r w:rsidR="002822AA" w:rsidRPr="003A187B">
        <w:rPr>
          <w:rFonts w:cs="Arial"/>
          <w:szCs w:val="24"/>
        </w:rPr>
        <w:t xml:space="preserve"> </w:t>
      </w:r>
    </w:p>
    <w:p w14:paraId="2861CED1" w14:textId="74582D32" w:rsidR="003A187B" w:rsidRPr="003A187B" w:rsidRDefault="002822AA" w:rsidP="00D117BC">
      <w:pPr>
        <w:pStyle w:val="ListBullet"/>
        <w:numPr>
          <w:ilvl w:val="0"/>
          <w:numId w:val="0"/>
        </w:numPr>
        <w:spacing w:line="360" w:lineRule="auto"/>
        <w:rPr>
          <w:rFonts w:cs="Arial"/>
          <w:szCs w:val="24"/>
        </w:rPr>
      </w:pPr>
      <w:r w:rsidRPr="003A187B">
        <w:rPr>
          <w:rFonts w:cs="Arial"/>
          <w:szCs w:val="24"/>
        </w:rPr>
        <w:t>While</w:t>
      </w:r>
      <w:r w:rsidR="003A187B" w:rsidRPr="003A187B">
        <w:rPr>
          <w:rFonts w:cs="Arial"/>
          <w:szCs w:val="24"/>
        </w:rPr>
        <w:t xml:space="preserve"> the model's overall predictive power is low, the coefficients still offer directional clues: </w:t>
      </w:r>
      <w:r w:rsidR="003A187B" w:rsidRPr="003A187B">
        <w:rPr>
          <w:rFonts w:cs="Arial"/>
          <w:b/>
          <w:bCs/>
          <w:szCs w:val="24"/>
        </w:rPr>
        <w:t>Age</w:t>
      </w:r>
      <w:r w:rsidR="003A187B" w:rsidRPr="003A187B">
        <w:rPr>
          <w:rFonts w:cs="Arial"/>
          <w:szCs w:val="24"/>
        </w:rPr>
        <w:t xml:space="preserve"> shows a positive association (older users stay longer), while the </w:t>
      </w:r>
      <w:r w:rsidR="003A187B" w:rsidRPr="003A187B">
        <w:rPr>
          <w:rFonts w:cs="Arial"/>
          <w:b/>
          <w:bCs/>
          <w:szCs w:val="24"/>
        </w:rPr>
        <w:t>Basic</w:t>
      </w:r>
      <w:r w:rsidR="003A187B" w:rsidRPr="003A187B">
        <w:rPr>
          <w:rFonts w:cs="Arial"/>
          <w:szCs w:val="24"/>
        </w:rPr>
        <w:t xml:space="preserve"> subscription type shows a negative association. This suggests that while we cannot predict </w:t>
      </w:r>
      <w:r w:rsidR="003A187B" w:rsidRPr="003A187B">
        <w:rPr>
          <w:rFonts w:cs="Arial"/>
          <w:i/>
          <w:iCs/>
          <w:szCs w:val="24"/>
        </w:rPr>
        <w:t>exactly</w:t>
      </w:r>
      <w:r w:rsidR="003A187B" w:rsidRPr="003A187B">
        <w:rPr>
          <w:rFonts w:cs="Arial"/>
          <w:szCs w:val="24"/>
        </w:rPr>
        <w:t xml:space="preserve"> how long a user will stay, we know that premium, mature audiences are generally more stable than younger, basic-tier users.</w:t>
      </w:r>
      <w:r w:rsidR="009F7894">
        <w:rPr>
          <w:rFonts w:cs="Arial"/>
          <w:szCs w:val="24"/>
        </w:rPr>
        <w:t xml:space="preserve"> </w:t>
      </w:r>
    </w:p>
    <w:p w14:paraId="68F5CC6A" w14:textId="4E49CD25" w:rsidR="00D561DA" w:rsidRDefault="00BD4FBC" w:rsidP="00BC35EC">
      <w:pPr>
        <w:pStyle w:val="ListBullet"/>
        <w:numPr>
          <w:ilvl w:val="0"/>
          <w:numId w:val="0"/>
        </w:numPr>
        <w:spacing w:line="360" w:lineRule="auto"/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367B68F0" wp14:editId="741D1C79">
            <wp:extent cx="5425440" cy="3273425"/>
            <wp:effectExtent l="0" t="0" r="3810" b="3175"/>
            <wp:docPr id="1291283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83" cy="3284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E2407F" w14:textId="77777777" w:rsidR="00596B52" w:rsidRDefault="0019678C" w:rsidP="00BC35EC">
      <w:pPr>
        <w:pStyle w:val="ListBullet"/>
        <w:numPr>
          <w:ilvl w:val="0"/>
          <w:numId w:val="0"/>
        </w:numPr>
        <w:spacing w:line="360" w:lineRule="auto"/>
        <w:rPr>
          <w:rFonts w:cs="Arial"/>
          <w:i/>
          <w:iCs/>
          <w:szCs w:val="24"/>
        </w:rPr>
      </w:pPr>
      <w:r w:rsidRPr="0019678C">
        <w:rPr>
          <w:rFonts w:cs="Arial"/>
          <w:b/>
          <w:bCs/>
          <w:szCs w:val="24"/>
        </w:rPr>
        <w:t>Figure 6:</w:t>
      </w:r>
      <w:r w:rsidRPr="0019678C">
        <w:rPr>
          <w:rFonts w:cs="Arial"/>
          <w:szCs w:val="24"/>
        </w:rPr>
        <w:t xml:space="preserve"> </w:t>
      </w:r>
      <w:r w:rsidRPr="00596B52">
        <w:rPr>
          <w:rFonts w:cs="Arial"/>
          <w:b/>
          <w:bCs/>
          <w:szCs w:val="24"/>
        </w:rPr>
        <w:t>Tenure by Subscription Tier.</w:t>
      </w:r>
      <w:r w:rsidRPr="0019678C">
        <w:rPr>
          <w:rFonts w:cs="Arial"/>
          <w:i/>
          <w:iCs/>
          <w:szCs w:val="24"/>
        </w:rPr>
        <w:t xml:space="preserve"> </w:t>
      </w:r>
    </w:p>
    <w:p w14:paraId="3B41BE67" w14:textId="25DC3A04" w:rsidR="00070615" w:rsidRPr="00BC35EC" w:rsidRDefault="00596B52" w:rsidP="00BC35EC">
      <w:pPr>
        <w:pStyle w:val="ListBullet"/>
        <w:numPr>
          <w:ilvl w:val="0"/>
          <w:numId w:val="0"/>
        </w:numPr>
        <w:spacing w:line="360" w:lineRule="auto"/>
        <w:rPr>
          <w:rFonts w:cs="Arial"/>
          <w:szCs w:val="24"/>
        </w:rPr>
      </w:pPr>
      <w:r w:rsidRPr="00596B52">
        <w:rPr>
          <w:rFonts w:cs="Arial"/>
          <w:i/>
          <w:iCs/>
          <w:szCs w:val="24"/>
        </w:rPr>
        <w:t>Premium users demonstrate longer retention, while Basic-tier users churn earlier.</w:t>
      </w:r>
      <w:r w:rsidR="00000000">
        <w:rPr>
          <w:rFonts w:cs="Arial"/>
          <w:szCs w:val="24"/>
        </w:rPr>
        <w:pict w14:anchorId="5B21F868">
          <v:rect id="_x0000_i1033" style="width:0;height:1.5pt" o:hrstd="t" o:hrnoshade="t" o:hr="t" fillcolor="gray" stroked="f"/>
        </w:pict>
      </w:r>
    </w:p>
    <w:sectPr w:rsidR="00070615" w:rsidRPr="00BC35EC" w:rsidSect="003E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EA8D8" w14:textId="77777777" w:rsidR="000F17C9" w:rsidRDefault="000F17C9" w:rsidP="006F7AC8">
      <w:pPr>
        <w:spacing w:after="0" w:line="240" w:lineRule="auto"/>
      </w:pPr>
      <w:r>
        <w:separator/>
      </w:r>
    </w:p>
  </w:endnote>
  <w:endnote w:type="continuationSeparator" w:id="0">
    <w:p w14:paraId="2F8468E4" w14:textId="77777777" w:rsidR="000F17C9" w:rsidRDefault="000F17C9" w:rsidP="006F7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BA249" w14:textId="77777777" w:rsidR="000F17C9" w:rsidRDefault="000F17C9" w:rsidP="006F7AC8">
      <w:pPr>
        <w:spacing w:after="0" w:line="240" w:lineRule="auto"/>
      </w:pPr>
      <w:r>
        <w:separator/>
      </w:r>
    </w:p>
  </w:footnote>
  <w:footnote w:type="continuationSeparator" w:id="0">
    <w:p w14:paraId="3B5848F6" w14:textId="77777777" w:rsidR="000F17C9" w:rsidRDefault="000F17C9" w:rsidP="006F7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noshade="t" o:hr="t" fillcolor="gray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F1CA9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329D2"/>
    <w:multiLevelType w:val="multilevel"/>
    <w:tmpl w:val="280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44177"/>
    <w:multiLevelType w:val="multilevel"/>
    <w:tmpl w:val="848C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316B8"/>
    <w:multiLevelType w:val="multilevel"/>
    <w:tmpl w:val="911A2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56B5295"/>
    <w:multiLevelType w:val="multilevel"/>
    <w:tmpl w:val="CD0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E2584"/>
    <w:multiLevelType w:val="hybridMultilevel"/>
    <w:tmpl w:val="FC74AA8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1A7D70AB"/>
    <w:multiLevelType w:val="multilevel"/>
    <w:tmpl w:val="38AA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1A5DF0"/>
    <w:multiLevelType w:val="multilevel"/>
    <w:tmpl w:val="125CA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57247"/>
    <w:multiLevelType w:val="multilevel"/>
    <w:tmpl w:val="D476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1408E5"/>
    <w:multiLevelType w:val="hybridMultilevel"/>
    <w:tmpl w:val="DC4C040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29DD2D33"/>
    <w:multiLevelType w:val="multilevel"/>
    <w:tmpl w:val="8268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A0032"/>
    <w:multiLevelType w:val="multilevel"/>
    <w:tmpl w:val="4DDC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56AF6"/>
    <w:multiLevelType w:val="multilevel"/>
    <w:tmpl w:val="76C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C623AE"/>
    <w:multiLevelType w:val="multilevel"/>
    <w:tmpl w:val="0E3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84211"/>
    <w:multiLevelType w:val="multilevel"/>
    <w:tmpl w:val="A184B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C3295"/>
    <w:multiLevelType w:val="multilevel"/>
    <w:tmpl w:val="5D1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15E8D"/>
    <w:multiLevelType w:val="hybridMultilevel"/>
    <w:tmpl w:val="1DC2FDA8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5" w15:restartNumberingAfterBreak="0">
    <w:nsid w:val="376C72C9"/>
    <w:multiLevelType w:val="multilevel"/>
    <w:tmpl w:val="CD58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287746"/>
    <w:multiLevelType w:val="multilevel"/>
    <w:tmpl w:val="1D1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9A1672"/>
    <w:multiLevelType w:val="hybridMultilevel"/>
    <w:tmpl w:val="A210B79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46223F5E"/>
    <w:multiLevelType w:val="multilevel"/>
    <w:tmpl w:val="762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72A62"/>
    <w:multiLevelType w:val="multilevel"/>
    <w:tmpl w:val="350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67D3C"/>
    <w:multiLevelType w:val="multilevel"/>
    <w:tmpl w:val="77B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BA3C9A"/>
    <w:multiLevelType w:val="multilevel"/>
    <w:tmpl w:val="3EC8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55E73"/>
    <w:multiLevelType w:val="multilevel"/>
    <w:tmpl w:val="3842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A2A10"/>
    <w:multiLevelType w:val="multilevel"/>
    <w:tmpl w:val="C63A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4C4DE5"/>
    <w:multiLevelType w:val="multilevel"/>
    <w:tmpl w:val="2B0CC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0575B"/>
    <w:multiLevelType w:val="multilevel"/>
    <w:tmpl w:val="30C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47025"/>
    <w:multiLevelType w:val="multilevel"/>
    <w:tmpl w:val="1E5E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158B9"/>
    <w:multiLevelType w:val="multilevel"/>
    <w:tmpl w:val="D0C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C12CF"/>
    <w:multiLevelType w:val="multilevel"/>
    <w:tmpl w:val="799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0D3835"/>
    <w:multiLevelType w:val="multilevel"/>
    <w:tmpl w:val="36E422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83BEE"/>
    <w:multiLevelType w:val="multilevel"/>
    <w:tmpl w:val="B00E8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CD6848"/>
    <w:multiLevelType w:val="hybridMultilevel"/>
    <w:tmpl w:val="1AFA5470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2" w15:restartNumberingAfterBreak="0">
    <w:nsid w:val="77C4595F"/>
    <w:multiLevelType w:val="multilevel"/>
    <w:tmpl w:val="B22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613D6"/>
    <w:multiLevelType w:val="hybridMultilevel"/>
    <w:tmpl w:val="41EC721C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4" w15:restartNumberingAfterBreak="0">
    <w:nsid w:val="7C0D4AF7"/>
    <w:multiLevelType w:val="multilevel"/>
    <w:tmpl w:val="66F6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E47504"/>
    <w:multiLevelType w:val="multilevel"/>
    <w:tmpl w:val="E41817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2065B"/>
    <w:multiLevelType w:val="multilevel"/>
    <w:tmpl w:val="E96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537633">
    <w:abstractNumId w:val="8"/>
  </w:num>
  <w:num w:numId="2" w16cid:durableId="396127849">
    <w:abstractNumId w:val="6"/>
  </w:num>
  <w:num w:numId="3" w16cid:durableId="1405764622">
    <w:abstractNumId w:val="5"/>
  </w:num>
  <w:num w:numId="4" w16cid:durableId="598804305">
    <w:abstractNumId w:val="4"/>
  </w:num>
  <w:num w:numId="5" w16cid:durableId="1076903964">
    <w:abstractNumId w:val="7"/>
  </w:num>
  <w:num w:numId="6" w16cid:durableId="1967857255">
    <w:abstractNumId w:val="3"/>
  </w:num>
  <w:num w:numId="7" w16cid:durableId="838546999">
    <w:abstractNumId w:val="2"/>
  </w:num>
  <w:num w:numId="8" w16cid:durableId="211696317">
    <w:abstractNumId w:val="1"/>
  </w:num>
  <w:num w:numId="9" w16cid:durableId="768238929">
    <w:abstractNumId w:val="0"/>
  </w:num>
  <w:num w:numId="10" w16cid:durableId="1581526025">
    <w:abstractNumId w:val="13"/>
  </w:num>
  <w:num w:numId="11" w16cid:durableId="1417480403">
    <w:abstractNumId w:val="24"/>
  </w:num>
  <w:num w:numId="12" w16cid:durableId="14237840">
    <w:abstractNumId w:val="17"/>
  </w:num>
  <w:num w:numId="13" w16cid:durableId="1470319119">
    <w:abstractNumId w:val="43"/>
  </w:num>
  <w:num w:numId="14" w16cid:durableId="205139295">
    <w:abstractNumId w:val="27"/>
  </w:num>
  <w:num w:numId="15" w16cid:durableId="1072968873">
    <w:abstractNumId w:val="41"/>
  </w:num>
  <w:num w:numId="16" w16cid:durableId="871187748">
    <w:abstractNumId w:val="40"/>
  </w:num>
  <w:num w:numId="17" w16cid:durableId="379330558">
    <w:abstractNumId w:val="30"/>
  </w:num>
  <w:num w:numId="18" w16cid:durableId="872573564">
    <w:abstractNumId w:val="25"/>
  </w:num>
  <w:num w:numId="19" w16cid:durableId="353262489">
    <w:abstractNumId w:val="44"/>
  </w:num>
  <w:num w:numId="20" w16cid:durableId="35859487">
    <w:abstractNumId w:val="26"/>
  </w:num>
  <w:num w:numId="21" w16cid:durableId="1173567665">
    <w:abstractNumId w:val="33"/>
  </w:num>
  <w:num w:numId="22" w16cid:durableId="844713210">
    <w:abstractNumId w:val="35"/>
  </w:num>
  <w:num w:numId="23" w16cid:durableId="1821775365">
    <w:abstractNumId w:val="36"/>
  </w:num>
  <w:num w:numId="24" w16cid:durableId="1504316373">
    <w:abstractNumId w:val="37"/>
  </w:num>
  <w:num w:numId="25" w16cid:durableId="898903239">
    <w:abstractNumId w:val="19"/>
  </w:num>
  <w:num w:numId="26" w16cid:durableId="1671131544">
    <w:abstractNumId w:val="46"/>
  </w:num>
  <w:num w:numId="27" w16cid:durableId="102919566">
    <w:abstractNumId w:val="23"/>
  </w:num>
  <w:num w:numId="28" w16cid:durableId="1031959245">
    <w:abstractNumId w:val="20"/>
  </w:num>
  <w:num w:numId="29" w16cid:durableId="1188760174">
    <w:abstractNumId w:val="38"/>
  </w:num>
  <w:num w:numId="30" w16cid:durableId="788366">
    <w:abstractNumId w:val="18"/>
  </w:num>
  <w:num w:numId="31" w16cid:durableId="1968780882">
    <w:abstractNumId w:val="42"/>
  </w:num>
  <w:num w:numId="32" w16cid:durableId="972323623">
    <w:abstractNumId w:val="10"/>
  </w:num>
  <w:num w:numId="33" w16cid:durableId="803348228">
    <w:abstractNumId w:val="32"/>
  </w:num>
  <w:num w:numId="34" w16cid:durableId="474296521">
    <w:abstractNumId w:val="9"/>
  </w:num>
  <w:num w:numId="35" w16cid:durableId="1639143199">
    <w:abstractNumId w:val="29"/>
  </w:num>
  <w:num w:numId="36" w16cid:durableId="962275905">
    <w:abstractNumId w:val="14"/>
  </w:num>
  <w:num w:numId="37" w16cid:durableId="269971871">
    <w:abstractNumId w:val="28"/>
  </w:num>
  <w:num w:numId="38" w16cid:durableId="2143231882">
    <w:abstractNumId w:val="21"/>
  </w:num>
  <w:num w:numId="39" w16cid:durableId="782500725">
    <w:abstractNumId w:val="12"/>
  </w:num>
  <w:num w:numId="40" w16cid:durableId="404843124">
    <w:abstractNumId w:val="31"/>
  </w:num>
  <w:num w:numId="41" w16cid:durableId="1824929325">
    <w:abstractNumId w:val="22"/>
  </w:num>
  <w:num w:numId="42" w16cid:durableId="706371747">
    <w:abstractNumId w:val="15"/>
  </w:num>
  <w:num w:numId="43" w16cid:durableId="314645482">
    <w:abstractNumId w:val="11"/>
  </w:num>
  <w:num w:numId="44" w16cid:durableId="1859849580">
    <w:abstractNumId w:val="16"/>
  </w:num>
  <w:num w:numId="45" w16cid:durableId="631598759">
    <w:abstractNumId w:val="45"/>
  </w:num>
  <w:num w:numId="46" w16cid:durableId="2137722037">
    <w:abstractNumId w:val="34"/>
  </w:num>
  <w:num w:numId="47" w16cid:durableId="83585072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0E5"/>
    <w:rsid w:val="0001175A"/>
    <w:rsid w:val="0001509F"/>
    <w:rsid w:val="00017143"/>
    <w:rsid w:val="00034616"/>
    <w:rsid w:val="00046193"/>
    <w:rsid w:val="0006063C"/>
    <w:rsid w:val="00070615"/>
    <w:rsid w:val="00077F56"/>
    <w:rsid w:val="000B049A"/>
    <w:rsid w:val="000B172A"/>
    <w:rsid w:val="000E1E26"/>
    <w:rsid w:val="000F17C9"/>
    <w:rsid w:val="0010200B"/>
    <w:rsid w:val="0012738A"/>
    <w:rsid w:val="001273C8"/>
    <w:rsid w:val="00134DB7"/>
    <w:rsid w:val="001411E4"/>
    <w:rsid w:val="001459B2"/>
    <w:rsid w:val="0015074B"/>
    <w:rsid w:val="0018626B"/>
    <w:rsid w:val="00193FAC"/>
    <w:rsid w:val="0019678C"/>
    <w:rsid w:val="001A14C1"/>
    <w:rsid w:val="001A375E"/>
    <w:rsid w:val="001B048B"/>
    <w:rsid w:val="001B1D21"/>
    <w:rsid w:val="001C7C84"/>
    <w:rsid w:val="00202021"/>
    <w:rsid w:val="00203527"/>
    <w:rsid w:val="00211FC7"/>
    <w:rsid w:val="00222D5E"/>
    <w:rsid w:val="00226305"/>
    <w:rsid w:val="00227BEA"/>
    <w:rsid w:val="00231442"/>
    <w:rsid w:val="00253C77"/>
    <w:rsid w:val="00255F4C"/>
    <w:rsid w:val="002822AA"/>
    <w:rsid w:val="0028530A"/>
    <w:rsid w:val="0029639D"/>
    <w:rsid w:val="002A796F"/>
    <w:rsid w:val="002B1B6A"/>
    <w:rsid w:val="002D15B8"/>
    <w:rsid w:val="002E034E"/>
    <w:rsid w:val="002F6A1E"/>
    <w:rsid w:val="0030464E"/>
    <w:rsid w:val="00317571"/>
    <w:rsid w:val="003239B8"/>
    <w:rsid w:val="00326F90"/>
    <w:rsid w:val="003310F3"/>
    <w:rsid w:val="0033653B"/>
    <w:rsid w:val="00366E03"/>
    <w:rsid w:val="0038030C"/>
    <w:rsid w:val="003838D7"/>
    <w:rsid w:val="003840D7"/>
    <w:rsid w:val="00386297"/>
    <w:rsid w:val="00394210"/>
    <w:rsid w:val="00395463"/>
    <w:rsid w:val="003A187B"/>
    <w:rsid w:val="003D10FA"/>
    <w:rsid w:val="003E49F9"/>
    <w:rsid w:val="003E63EE"/>
    <w:rsid w:val="00401164"/>
    <w:rsid w:val="0043756C"/>
    <w:rsid w:val="00440AB2"/>
    <w:rsid w:val="004559F4"/>
    <w:rsid w:val="00460568"/>
    <w:rsid w:val="00476C67"/>
    <w:rsid w:val="00482882"/>
    <w:rsid w:val="004836C5"/>
    <w:rsid w:val="00496572"/>
    <w:rsid w:val="004A31F0"/>
    <w:rsid w:val="004C0A7D"/>
    <w:rsid w:val="004C57C4"/>
    <w:rsid w:val="004C72E7"/>
    <w:rsid w:val="004D021F"/>
    <w:rsid w:val="004D3E6E"/>
    <w:rsid w:val="004E4323"/>
    <w:rsid w:val="004F3FD3"/>
    <w:rsid w:val="0050634B"/>
    <w:rsid w:val="00506BD0"/>
    <w:rsid w:val="00512940"/>
    <w:rsid w:val="0052259B"/>
    <w:rsid w:val="00525B1E"/>
    <w:rsid w:val="005405D0"/>
    <w:rsid w:val="00540D18"/>
    <w:rsid w:val="00545B7E"/>
    <w:rsid w:val="00547FE6"/>
    <w:rsid w:val="00566C45"/>
    <w:rsid w:val="00582043"/>
    <w:rsid w:val="005861B4"/>
    <w:rsid w:val="00596B52"/>
    <w:rsid w:val="005B1FDB"/>
    <w:rsid w:val="005B4004"/>
    <w:rsid w:val="005C1EF9"/>
    <w:rsid w:val="005E0807"/>
    <w:rsid w:val="005E192B"/>
    <w:rsid w:val="005E4AD3"/>
    <w:rsid w:val="00601ED3"/>
    <w:rsid w:val="00635BC7"/>
    <w:rsid w:val="006413F2"/>
    <w:rsid w:val="00642EF5"/>
    <w:rsid w:val="006453E7"/>
    <w:rsid w:val="0066291F"/>
    <w:rsid w:val="00671DE5"/>
    <w:rsid w:val="006746FA"/>
    <w:rsid w:val="00687901"/>
    <w:rsid w:val="006A08B9"/>
    <w:rsid w:val="006A3692"/>
    <w:rsid w:val="006B0F44"/>
    <w:rsid w:val="006C214D"/>
    <w:rsid w:val="006C30A7"/>
    <w:rsid w:val="006F1A1D"/>
    <w:rsid w:val="006F39B0"/>
    <w:rsid w:val="006F6D7A"/>
    <w:rsid w:val="006F6E54"/>
    <w:rsid w:val="006F7AC8"/>
    <w:rsid w:val="00712DCC"/>
    <w:rsid w:val="0071588F"/>
    <w:rsid w:val="00736EE4"/>
    <w:rsid w:val="007426F4"/>
    <w:rsid w:val="0074685D"/>
    <w:rsid w:val="00747819"/>
    <w:rsid w:val="00761A16"/>
    <w:rsid w:val="00781D2E"/>
    <w:rsid w:val="007856A3"/>
    <w:rsid w:val="007A1FA8"/>
    <w:rsid w:val="007B4BDB"/>
    <w:rsid w:val="007D4C2D"/>
    <w:rsid w:val="007D4DE9"/>
    <w:rsid w:val="007E44E6"/>
    <w:rsid w:val="007E4F84"/>
    <w:rsid w:val="007E6AF4"/>
    <w:rsid w:val="007F5B6D"/>
    <w:rsid w:val="008039E8"/>
    <w:rsid w:val="0083027A"/>
    <w:rsid w:val="00831F4E"/>
    <w:rsid w:val="00851C80"/>
    <w:rsid w:val="00861607"/>
    <w:rsid w:val="00872039"/>
    <w:rsid w:val="008905A9"/>
    <w:rsid w:val="0089468D"/>
    <w:rsid w:val="008A7604"/>
    <w:rsid w:val="008C02BE"/>
    <w:rsid w:val="008C43C8"/>
    <w:rsid w:val="008C6A69"/>
    <w:rsid w:val="008D1AAC"/>
    <w:rsid w:val="008D30C0"/>
    <w:rsid w:val="008D3496"/>
    <w:rsid w:val="008E6F51"/>
    <w:rsid w:val="008F2F81"/>
    <w:rsid w:val="008F6634"/>
    <w:rsid w:val="00901573"/>
    <w:rsid w:val="00917FF2"/>
    <w:rsid w:val="009315B6"/>
    <w:rsid w:val="00935EEE"/>
    <w:rsid w:val="00942BFE"/>
    <w:rsid w:val="00953397"/>
    <w:rsid w:val="00962F4F"/>
    <w:rsid w:val="00964F14"/>
    <w:rsid w:val="00966854"/>
    <w:rsid w:val="00995713"/>
    <w:rsid w:val="009A4A68"/>
    <w:rsid w:val="009B0F05"/>
    <w:rsid w:val="009C0D76"/>
    <w:rsid w:val="009C3D78"/>
    <w:rsid w:val="009C67F6"/>
    <w:rsid w:val="009D487F"/>
    <w:rsid w:val="009F4679"/>
    <w:rsid w:val="009F7894"/>
    <w:rsid w:val="00A21440"/>
    <w:rsid w:val="00A22D5B"/>
    <w:rsid w:val="00A52DF1"/>
    <w:rsid w:val="00A57608"/>
    <w:rsid w:val="00A77589"/>
    <w:rsid w:val="00A855CD"/>
    <w:rsid w:val="00A85FC9"/>
    <w:rsid w:val="00A90966"/>
    <w:rsid w:val="00AA0A08"/>
    <w:rsid w:val="00AA1D8D"/>
    <w:rsid w:val="00AA7720"/>
    <w:rsid w:val="00AB4E2C"/>
    <w:rsid w:val="00AC30B5"/>
    <w:rsid w:val="00AC58F9"/>
    <w:rsid w:val="00AF20F4"/>
    <w:rsid w:val="00AF5EAD"/>
    <w:rsid w:val="00B00F07"/>
    <w:rsid w:val="00B04951"/>
    <w:rsid w:val="00B079B0"/>
    <w:rsid w:val="00B14438"/>
    <w:rsid w:val="00B159C0"/>
    <w:rsid w:val="00B3163A"/>
    <w:rsid w:val="00B47730"/>
    <w:rsid w:val="00B55160"/>
    <w:rsid w:val="00B60955"/>
    <w:rsid w:val="00B70B4D"/>
    <w:rsid w:val="00B77DC6"/>
    <w:rsid w:val="00B86798"/>
    <w:rsid w:val="00B95938"/>
    <w:rsid w:val="00BB20E1"/>
    <w:rsid w:val="00BB3691"/>
    <w:rsid w:val="00BC166C"/>
    <w:rsid w:val="00BC35EC"/>
    <w:rsid w:val="00BC75E5"/>
    <w:rsid w:val="00BD011D"/>
    <w:rsid w:val="00BD4FBC"/>
    <w:rsid w:val="00BD6992"/>
    <w:rsid w:val="00BF5DFB"/>
    <w:rsid w:val="00BF6BB5"/>
    <w:rsid w:val="00C26C0D"/>
    <w:rsid w:val="00C42C15"/>
    <w:rsid w:val="00C4532D"/>
    <w:rsid w:val="00C664A6"/>
    <w:rsid w:val="00C904D6"/>
    <w:rsid w:val="00C91605"/>
    <w:rsid w:val="00CB0664"/>
    <w:rsid w:val="00CD086E"/>
    <w:rsid w:val="00CD2ADE"/>
    <w:rsid w:val="00D10BB3"/>
    <w:rsid w:val="00D117BC"/>
    <w:rsid w:val="00D14DCF"/>
    <w:rsid w:val="00D25CAF"/>
    <w:rsid w:val="00D51F6A"/>
    <w:rsid w:val="00D55B4C"/>
    <w:rsid w:val="00D561DA"/>
    <w:rsid w:val="00D56874"/>
    <w:rsid w:val="00D62625"/>
    <w:rsid w:val="00D62A86"/>
    <w:rsid w:val="00D667CB"/>
    <w:rsid w:val="00D976CB"/>
    <w:rsid w:val="00DB1427"/>
    <w:rsid w:val="00DB174A"/>
    <w:rsid w:val="00DB4C80"/>
    <w:rsid w:val="00DC0484"/>
    <w:rsid w:val="00DC055C"/>
    <w:rsid w:val="00DC45CE"/>
    <w:rsid w:val="00DC712D"/>
    <w:rsid w:val="00DD3556"/>
    <w:rsid w:val="00DE6E10"/>
    <w:rsid w:val="00DF0AAD"/>
    <w:rsid w:val="00DF0C81"/>
    <w:rsid w:val="00DF2831"/>
    <w:rsid w:val="00DF67A7"/>
    <w:rsid w:val="00E01678"/>
    <w:rsid w:val="00E01CF7"/>
    <w:rsid w:val="00E15F47"/>
    <w:rsid w:val="00E2204E"/>
    <w:rsid w:val="00E34169"/>
    <w:rsid w:val="00E628AC"/>
    <w:rsid w:val="00E666FB"/>
    <w:rsid w:val="00E675AA"/>
    <w:rsid w:val="00E811C2"/>
    <w:rsid w:val="00E81724"/>
    <w:rsid w:val="00EA054B"/>
    <w:rsid w:val="00EA6353"/>
    <w:rsid w:val="00EB6CE6"/>
    <w:rsid w:val="00EC7152"/>
    <w:rsid w:val="00EF0C8F"/>
    <w:rsid w:val="00F16A64"/>
    <w:rsid w:val="00F250B3"/>
    <w:rsid w:val="00F369AC"/>
    <w:rsid w:val="00F41261"/>
    <w:rsid w:val="00F41A81"/>
    <w:rsid w:val="00F637E5"/>
    <w:rsid w:val="00F777A7"/>
    <w:rsid w:val="00F90042"/>
    <w:rsid w:val="00F90337"/>
    <w:rsid w:val="00FA659C"/>
    <w:rsid w:val="00FA7401"/>
    <w:rsid w:val="00FB0F58"/>
    <w:rsid w:val="00FC693F"/>
    <w:rsid w:val="00FE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FF28E"/>
  <w14:defaultImageDpi w14:val="300"/>
  <w15:docId w15:val="{19BBD4E9-2D5F-4CAE-B083-1519FFA4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B4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B40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11</Pages>
  <Words>1443</Words>
  <Characters>8950</Characters>
  <Application>Microsoft Office Word</Application>
  <DocSecurity>0</DocSecurity>
  <Lines>218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Alvin Moyo</cp:lastModifiedBy>
  <cp:revision>261</cp:revision>
  <dcterms:created xsi:type="dcterms:W3CDTF">2013-12-23T23:15:00Z</dcterms:created>
  <dcterms:modified xsi:type="dcterms:W3CDTF">2025-12-20T23:34:00Z</dcterms:modified>
  <cp:category/>
</cp:coreProperties>
</file>