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BE" w:rsidRPr="000631BE" w:rsidRDefault="000631BE" w:rsidP="000631BE">
      <w:pPr>
        <w:spacing w:line="400" w:lineRule="exact"/>
        <w:jc w:val="both"/>
        <w:rPr>
          <w:rFonts w:ascii="Times New Roman" w:eastAsia="Arial" w:hAnsi="Times New Roman" w:cs="Times New Roman"/>
          <w:b/>
          <w:u w:val="single"/>
        </w:rPr>
      </w:pPr>
      <w:r w:rsidRPr="000631BE">
        <w:rPr>
          <w:rFonts w:ascii="Times New Roman" w:eastAsia="Verdana" w:hAnsi="Times New Roman" w:cs="Times New Roman"/>
          <w:b/>
          <w:u w:val="single"/>
          <w:lang w:bidi="en-US"/>
        </w:rPr>
        <w:t>Business Scope</w:t>
      </w:r>
    </w:p>
    <w:p w:rsidR="000631BE" w:rsidRPr="000631BE" w:rsidRDefault="000631BE" w:rsidP="00D04187">
      <w:pPr>
        <w:numPr>
          <w:ilvl w:val="3"/>
          <w:numId w:val="4"/>
        </w:numPr>
        <w:spacing w:line="400" w:lineRule="exact"/>
        <w:ind w:left="426"/>
        <w:rPr>
          <w:rFonts w:ascii="Times New Roman" w:eastAsia="Verdana" w:hAnsi="Times New Roman" w:cs="Times New Roman"/>
          <w:color w:val="000000"/>
        </w:rPr>
      </w:pPr>
      <w:r w:rsidRPr="000631BE">
        <w:rPr>
          <w:rFonts w:ascii="Times New Roman" w:eastAsia="Verdana" w:hAnsi="Times New Roman" w:cs="Times New Roman"/>
          <w:lang w:bidi="en-US"/>
        </w:rPr>
        <w:t>Bills Business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</w:rPr>
      </w:pPr>
      <w:r w:rsidRPr="000631BE">
        <w:rPr>
          <w:rFonts w:ascii="Times New Roman" w:eastAsia="Verdana" w:hAnsi="Times New Roman" w:cs="Times New Roman"/>
          <w:lang w:bidi="en-US"/>
        </w:rPr>
        <w:t>Acting as an underwriter, broker or proprietary trader with respect to short-term bills</w:t>
      </w:r>
      <w:r w:rsidRPr="000631BE" w:rsidDel="00D13CB4">
        <w:rPr>
          <w:rFonts w:ascii="Times New Roman" w:eastAsia="Verdana" w:hAnsi="Times New Roman" w:cs="Times New Roman"/>
          <w:lang w:bidi="en-US"/>
        </w:rPr>
        <w:t xml:space="preserve"> </w:t>
      </w:r>
      <w:r w:rsidRPr="000631BE">
        <w:rPr>
          <w:rFonts w:ascii="Times New Roman" w:eastAsia="Verdana" w:hAnsi="Times New Roman" w:cs="Times New Roman"/>
          <w:lang w:bidi="en-US"/>
        </w:rPr>
        <w:t>(including USD bills)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</w:rPr>
      </w:pPr>
      <w:r w:rsidRPr="000631BE">
        <w:rPr>
          <w:rFonts w:ascii="Times New Roman" w:eastAsia="Verdana" w:hAnsi="Times New Roman" w:cs="Times New Roman"/>
          <w:lang w:bidi="en-US"/>
        </w:rPr>
        <w:t>Acting as a guarantor or endorser of CP2.</w:t>
      </w:r>
    </w:p>
    <w:p w:rsidR="000631BE" w:rsidRPr="000631BE" w:rsidRDefault="000631BE" w:rsidP="00D04187">
      <w:pPr>
        <w:numPr>
          <w:ilvl w:val="3"/>
          <w:numId w:val="4"/>
        </w:numPr>
        <w:spacing w:line="400" w:lineRule="exact"/>
        <w:ind w:left="426"/>
        <w:rPr>
          <w:rFonts w:ascii="Times New Roman" w:eastAsia="Verdana" w:hAnsi="Times New Roman" w:cs="Times New Roman"/>
          <w:color w:val="000000"/>
        </w:rPr>
      </w:pPr>
      <w:r w:rsidRPr="000631BE">
        <w:rPr>
          <w:rFonts w:ascii="Times New Roman" w:eastAsia="Verdana" w:hAnsi="Times New Roman" w:cs="Times New Roman"/>
          <w:lang w:bidi="en-US"/>
        </w:rPr>
        <w:t>Bonds Business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  <w:lang w:bidi="en-US"/>
        </w:rPr>
      </w:pPr>
      <w:r w:rsidRPr="000631BE">
        <w:rPr>
          <w:rFonts w:ascii="Times New Roman" w:eastAsia="Verdana" w:hAnsi="Times New Roman" w:cs="Times New Roman"/>
          <w:lang w:bidi="en-US"/>
        </w:rPr>
        <w:t>Proprietary trading of government bonds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  <w:lang w:bidi="en-US"/>
        </w:rPr>
      </w:pPr>
      <w:r w:rsidRPr="000631BE">
        <w:rPr>
          <w:rFonts w:ascii="Times New Roman" w:eastAsia="Verdana" w:hAnsi="Times New Roman" w:cs="Times New Roman"/>
          <w:lang w:bidi="en-US"/>
        </w:rPr>
        <w:t>Acting as a certifier, underwriter, broker or proprietary trader with respect to bank debentures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  <w:lang w:bidi="en-US"/>
        </w:rPr>
      </w:pPr>
      <w:r w:rsidRPr="000631BE">
        <w:rPr>
          <w:rFonts w:ascii="Times New Roman" w:eastAsia="Verdana" w:hAnsi="Times New Roman" w:cs="Times New Roman"/>
          <w:lang w:bidi="en-US"/>
        </w:rPr>
        <w:t>Proprietary trading of corporate bonds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  <w:lang w:bidi="en-US"/>
        </w:rPr>
      </w:pPr>
      <w:r w:rsidRPr="000631BE">
        <w:rPr>
          <w:rFonts w:ascii="Times New Roman" w:eastAsia="Verdana" w:hAnsi="Times New Roman" w:cs="Times New Roman"/>
          <w:lang w:bidi="en-US"/>
        </w:rPr>
        <w:t>Proprietary trading and investment of fixed income securities</w:t>
      </w:r>
    </w:p>
    <w:p w:rsidR="000631BE" w:rsidRPr="000631BE" w:rsidRDefault="000631BE" w:rsidP="00D04187">
      <w:pPr>
        <w:numPr>
          <w:ilvl w:val="4"/>
          <w:numId w:val="4"/>
        </w:numPr>
        <w:tabs>
          <w:tab w:val="left" w:pos="1834"/>
        </w:tabs>
        <w:spacing w:line="400" w:lineRule="exact"/>
        <w:ind w:left="426" w:hanging="431"/>
        <w:rPr>
          <w:rFonts w:ascii="Times New Roman" w:eastAsia="Verdana" w:hAnsi="Times New Roman" w:cs="Times New Roman"/>
          <w:lang w:bidi="en-US"/>
        </w:rPr>
      </w:pPr>
      <w:r w:rsidRPr="000631BE">
        <w:rPr>
          <w:rFonts w:ascii="Times New Roman" w:eastAsia="Verdana" w:hAnsi="Times New Roman" w:cs="Times New Roman"/>
          <w:lang w:bidi="en-US"/>
        </w:rPr>
        <w:t>Proprietary trading and investment of foreign bonds</w:t>
      </w:r>
    </w:p>
    <w:p w:rsidR="000631BE" w:rsidRPr="000631BE" w:rsidRDefault="000631BE" w:rsidP="00D04187">
      <w:pPr>
        <w:numPr>
          <w:ilvl w:val="3"/>
          <w:numId w:val="4"/>
        </w:numPr>
        <w:spacing w:line="400" w:lineRule="exact"/>
        <w:ind w:left="426"/>
        <w:rPr>
          <w:rFonts w:ascii="Times New Roman" w:eastAsia="Verdana" w:hAnsi="Times New Roman" w:cs="Times New Roman"/>
          <w:snapToGrid w:val="0"/>
          <w:color w:val="000000"/>
        </w:rPr>
      </w:pPr>
      <w:r w:rsidRPr="000631BE">
        <w:rPr>
          <w:rFonts w:ascii="Times New Roman" w:eastAsia="Verdana" w:hAnsi="Times New Roman" w:cs="Times New Roman"/>
          <w:lang w:bidi="en-US"/>
        </w:rPr>
        <w:t>Equity investment business</w:t>
      </w:r>
    </w:p>
    <w:p w:rsidR="00D04187" w:rsidRDefault="000631BE" w:rsidP="00D04187">
      <w:pPr>
        <w:numPr>
          <w:ilvl w:val="3"/>
          <w:numId w:val="4"/>
        </w:numPr>
        <w:spacing w:line="400" w:lineRule="exact"/>
        <w:ind w:left="426"/>
        <w:rPr>
          <w:rFonts w:ascii="Times New Roman" w:eastAsia="Verdana" w:hAnsi="Times New Roman" w:cs="Times New Roman"/>
          <w:lang w:bidi="en-US"/>
        </w:rPr>
      </w:pPr>
      <w:r w:rsidRPr="000631BE">
        <w:rPr>
          <w:rFonts w:ascii="Times New Roman" w:eastAsia="Verdana" w:hAnsi="Times New Roman" w:cs="Times New Roman"/>
          <w:lang w:bidi="en-US"/>
        </w:rPr>
        <w:t>Others</w:t>
      </w:r>
    </w:p>
    <w:p w:rsidR="00D04187" w:rsidRDefault="00D04187" w:rsidP="00D04187">
      <w:pPr>
        <w:spacing w:line="400" w:lineRule="exact"/>
        <w:jc w:val="both"/>
        <w:rPr>
          <w:rFonts w:ascii="Times New Roman" w:eastAsia="Verdana" w:hAnsi="Times New Roman" w:cs="Times New Roman"/>
          <w:b/>
          <w:u w:val="single"/>
          <w:lang w:bidi="en-US"/>
        </w:rPr>
      </w:pPr>
      <w:r w:rsidRPr="00D04187">
        <w:rPr>
          <w:rFonts w:ascii="Times New Roman" w:eastAsia="Verdana" w:hAnsi="Times New Roman" w:cs="Times New Roman"/>
          <w:b/>
          <w:u w:val="single"/>
          <w:lang w:bidi="en-US"/>
        </w:rPr>
        <w:t>Organizational chart</w:t>
      </w:r>
    </w:p>
    <w:p w:rsidR="0060454B" w:rsidRDefault="0060454B" w:rsidP="0060454B">
      <w:pPr>
        <w:autoSpaceDE w:val="0"/>
        <w:autoSpaceDN w:val="0"/>
        <w:adjustRightInd w:val="0"/>
        <w:rPr>
          <w:rFonts w:ascii="細明體" w:eastAsia="細明體" w:hAnsiTheme="minorHAnsi" w:cstheme="minorBidi" w:hint="eastAsia"/>
          <w:kern w:val="0"/>
          <w:lang w:eastAsia="zh-TW"/>
        </w:rPr>
      </w:pPr>
      <w:r>
        <w:rPr>
          <w:noProof/>
          <w:lang w:eastAsia="zh-TW"/>
        </w:rPr>
        <w:drawing>
          <wp:inline distT="0" distB="0" distL="0" distR="0" wp14:anchorId="0B59E542" wp14:editId="12BCDE7C">
            <wp:extent cx="3409950" cy="4824050"/>
            <wp:effectExtent l="0" t="0" r="0" b="0"/>
            <wp:docPr id="5" name="圖片 5" descr="C:\Users\000401\AppData\Local\Microsoft\Windows\INetCache\Content.Word\兆豐票券修正後英文版組織圖1100513(定稿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0401\AppData\Local\Microsoft\Windows\INetCache\Content.Word\兆豐票券修正後英文版組織圖1100513(定稿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4" cy="48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187" w:rsidRPr="00D04187" w:rsidRDefault="00D04187" w:rsidP="00D04187">
      <w:pPr>
        <w:spacing w:line="400" w:lineRule="exact"/>
        <w:jc w:val="both"/>
        <w:rPr>
          <w:rFonts w:ascii="Times New Roman" w:eastAsia="Verdana" w:hAnsi="Times New Roman" w:cs="Times New Roman"/>
          <w:b/>
          <w:u w:val="single"/>
          <w:lang w:bidi="en-US"/>
        </w:rPr>
      </w:pPr>
      <w:r w:rsidRPr="00D04187">
        <w:rPr>
          <w:rFonts w:ascii="Times New Roman" w:eastAsia="Verdana" w:hAnsi="Times New Roman" w:cs="Times New Roman"/>
          <w:b/>
          <w:u w:val="single"/>
          <w:lang w:bidi="en-US"/>
        </w:rPr>
        <w:lastRenderedPageBreak/>
        <w:t>Addresses and Telephone Numbers of the Head Office and Branches</w:t>
      </w:r>
    </w:p>
    <w:tbl>
      <w:tblPr>
        <w:tblW w:w="8788" w:type="dxa"/>
        <w:tblInd w:w="392" w:type="dxa"/>
        <w:tblLook w:val="04A0" w:firstRow="1" w:lastRow="0" w:firstColumn="1" w:lastColumn="0" w:noHBand="0" w:noVBand="1"/>
      </w:tblPr>
      <w:tblGrid>
        <w:gridCol w:w="1682"/>
        <w:gridCol w:w="1264"/>
        <w:gridCol w:w="5842"/>
      </w:tblGrid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Head</w:t>
            </w:r>
            <w:r w:rsidRPr="00403AEA">
              <w:rPr>
                <w:rFonts w:ascii="Times New Roman" w:hAnsi="Times New Roman" w:cs="Times New Roman"/>
                <w:color w:val="000000"/>
                <w:sz w:val="18"/>
                <w:szCs w:val="18"/>
                <w:lang w:eastAsia="zh-TW"/>
              </w:rPr>
              <w:t xml:space="preserve"> Office </w:t>
            </w: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2-5F, No. 91 Hengyang Road, Taipei City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(02) 2383-1616 (Representative)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(02) 2382-2878 (Administration Department)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Kaohsiung Branch</w:t>
            </w:r>
          </w:p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3F, No. 420, Cheng Kung 1st Road, Kaohsiung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(07) 282-5171(5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(07) 215-1887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Tainan Branch</w:t>
            </w:r>
          </w:p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14F-1, No. 307, Sec. 2, Minsheng Road, Tainan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(07) 228-3131(5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(06) 229-3654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Taichung Branch</w:t>
            </w:r>
          </w:p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4F-1, No.268, Sec. 1, Taiwan Blvd., Taichung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(04) 2220-2176(5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(04) 2222-5424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Hsinchu Branch</w:t>
            </w: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3F, No. 307 Peida Road, Hsinchu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(05) 526-6022(5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(03) 524-5544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Taoyuan Branch</w:t>
            </w: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3F, No. 32, Sec. 1, Cheng Kung Road, Taoyuan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(05) 335-8877(5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(03) 333-6137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Panchiao Branch</w:t>
            </w:r>
          </w:p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3F, No. 69, Zhongzhen Road, Panchiao District, New Taipei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(05) 2965-2836(5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(02) 2965-2819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Sanchong Branch</w:t>
            </w: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4F, No. 192, Sec. 3, Chongyang Road, Sanchong District, New Taipei City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(05) 2981-1931(5 Lines)</w:t>
            </w:r>
          </w:p>
          <w:p w:rsidR="0060454B" w:rsidRPr="00403AEA" w:rsidRDefault="0060454B" w:rsidP="0095463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(02) 2980-0374</w:t>
            </w:r>
          </w:p>
        </w:tc>
      </w:tr>
      <w:tr w:rsidR="0060454B" w:rsidRPr="00403AEA" w:rsidTr="00954631">
        <w:tc>
          <w:tcPr>
            <w:tcW w:w="1701" w:type="dxa"/>
          </w:tcPr>
          <w:p w:rsidR="0060454B" w:rsidRPr="00403AEA" w:rsidRDefault="0060454B" w:rsidP="00954631">
            <w:pPr>
              <w:autoSpaceDE w:val="0"/>
              <w:autoSpaceDN w:val="0"/>
              <w:adjustRightInd w:val="0"/>
              <w:snapToGrid w:val="0"/>
              <w:ind w:left="-74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Taipei Branch</w:t>
            </w:r>
          </w:p>
        </w:tc>
        <w:tc>
          <w:tcPr>
            <w:tcW w:w="1134" w:type="dxa"/>
          </w:tcPr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Address: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Tel. No.:</w:t>
            </w:r>
          </w:p>
          <w:p w:rsidR="0060454B" w:rsidRPr="00403AEA" w:rsidRDefault="0060454B" w:rsidP="00954631">
            <w:pPr>
              <w:pStyle w:val="HTML"/>
              <w:snapToGrid w:val="0"/>
              <w:ind w:left="48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Fax No.:</w:t>
            </w:r>
          </w:p>
        </w:tc>
        <w:tc>
          <w:tcPr>
            <w:tcW w:w="5953" w:type="dxa"/>
          </w:tcPr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6F, No.123, Sec 2, Zhongxiao East Road, Taipei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(02) 2356-9696(5Lines)</w:t>
            </w:r>
          </w:p>
          <w:p w:rsidR="0060454B" w:rsidRPr="00403AEA" w:rsidRDefault="0060454B" w:rsidP="00954631">
            <w:pPr>
              <w:pStyle w:val="HTML"/>
              <w:snapToGrid w:val="0"/>
              <w:ind w:left="34" w:firstLine="360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</w:pPr>
            <w:r w:rsidRPr="00403AEA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lang w:eastAsia="zh-TW"/>
              </w:rPr>
              <w:t>(02) 2391-1717</w:t>
            </w:r>
          </w:p>
        </w:tc>
      </w:tr>
    </w:tbl>
    <w:p w:rsidR="00B51F0E" w:rsidRPr="00E15CEB" w:rsidRDefault="00B51F0E" w:rsidP="00D04187">
      <w:pPr>
        <w:spacing w:line="400" w:lineRule="exact"/>
        <w:rPr>
          <w:rFonts w:ascii="Times New Roman" w:eastAsia="Verdana" w:hAnsi="Times New Roman" w:cs="Times New Roman"/>
          <w:snapToGrid w:val="0"/>
          <w:color w:val="000000"/>
        </w:rPr>
      </w:pPr>
    </w:p>
    <w:sectPr w:rsidR="00B51F0E" w:rsidRPr="00E15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187" w:rsidRDefault="00D04187" w:rsidP="00D04187">
      <w:r>
        <w:separator/>
      </w:r>
    </w:p>
  </w:endnote>
  <w:endnote w:type="continuationSeparator" w:id="0">
    <w:p w:rsidR="00D04187" w:rsidRDefault="00D04187" w:rsidP="00D0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187" w:rsidRDefault="00D04187" w:rsidP="00D04187">
      <w:r>
        <w:separator/>
      </w:r>
    </w:p>
  </w:footnote>
  <w:footnote w:type="continuationSeparator" w:id="0">
    <w:p w:rsidR="00D04187" w:rsidRDefault="00D04187" w:rsidP="00D0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569C4"/>
    <w:multiLevelType w:val="hybridMultilevel"/>
    <w:tmpl w:val="4FA035E4"/>
    <w:lvl w:ilvl="0" w:tplc="72D01C4C">
      <w:start w:val="1"/>
      <w:numFmt w:val="upperRoman"/>
      <w:lvlText w:val="(%1)"/>
      <w:lvlJc w:val="left"/>
      <w:pPr>
        <w:ind w:left="960" w:hanging="480"/>
      </w:pPr>
      <w:rPr>
        <w:rFonts w:eastAsia="Arial" w:hint="default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A0D1165"/>
    <w:multiLevelType w:val="multilevel"/>
    <w:tmpl w:val="E940BE3A"/>
    <w:lvl w:ilvl="0">
      <w:start w:val="1"/>
      <w:numFmt w:val="ideographLegalTraditional"/>
      <w:suff w:val="nothing"/>
      <w:lvlText w:val="%1、"/>
      <w:lvlJc w:val="left"/>
      <w:pPr>
        <w:ind w:left="567" w:hanging="425"/>
      </w:pPr>
      <w:rPr>
        <w:rFonts w:hint="eastAsia"/>
        <w:sz w:val="24"/>
      </w:rPr>
    </w:lvl>
    <w:lvl w:ilvl="1">
      <w:start w:val="1"/>
      <w:numFmt w:val="upperRoman"/>
      <w:lvlText w:val="%2."/>
      <w:lvlJc w:val="left"/>
      <w:pPr>
        <w:ind w:left="992" w:hanging="567"/>
      </w:pPr>
      <w:rPr>
        <w:rFonts w:eastAsia="Arial" w:hint="default"/>
      </w:rPr>
    </w:lvl>
    <w:lvl w:ilvl="2">
      <w:start w:val="1"/>
      <w:numFmt w:val="upperRoman"/>
      <w:lvlText w:val="(%3)"/>
      <w:lvlJc w:val="left"/>
      <w:pPr>
        <w:ind w:left="1418" w:hanging="567"/>
      </w:pPr>
      <w:rPr>
        <w:rFonts w:eastAsia="Arial" w:hint="default"/>
      </w:rPr>
    </w:lvl>
    <w:lvl w:ilvl="3">
      <w:start w:val="1"/>
      <w:numFmt w:val="decimal"/>
      <w:lvlText w:val="%4."/>
      <w:lvlJc w:val="left"/>
      <w:pPr>
        <w:ind w:left="1701" w:hanging="424"/>
      </w:pPr>
      <w:rPr>
        <w:rFonts w:eastAsia="Arial" w:hint="default"/>
        <w:color w:val="auto"/>
      </w:rPr>
    </w:lvl>
    <w:lvl w:ilvl="4">
      <w:start w:val="1"/>
      <w:numFmt w:val="decimal"/>
      <w:lvlText w:val="(%5)"/>
      <w:lvlJc w:val="left"/>
      <w:pPr>
        <w:tabs>
          <w:tab w:val="num" w:pos="2268"/>
        </w:tabs>
        <w:ind w:left="2268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2553"/>
        </w:tabs>
        <w:ind w:left="2155" w:hanging="284"/>
      </w:pPr>
      <w:rPr>
        <w:rFonts w:hint="eastAsia"/>
        <w:b w:val="0"/>
        <w:color w:val="auto"/>
      </w:rPr>
    </w:lvl>
    <w:lvl w:ilvl="6">
      <w:start w:val="1"/>
      <w:numFmt w:val="upperRoman"/>
      <w:lvlText w:val="%7"/>
      <w:lvlJc w:val="left"/>
      <w:pPr>
        <w:tabs>
          <w:tab w:val="num" w:pos="3827"/>
        </w:tabs>
        <w:ind w:left="3459" w:hanging="851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4394"/>
        </w:tabs>
        <w:ind w:left="4139" w:hanging="964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5102"/>
        </w:tabs>
        <w:ind w:left="4593" w:hanging="964"/>
      </w:pPr>
      <w:rPr>
        <w:rFonts w:hint="eastAsia"/>
      </w:rPr>
    </w:lvl>
  </w:abstractNum>
  <w:abstractNum w:abstractNumId="2" w15:restartNumberingAfterBreak="0">
    <w:nsid w:val="4DA871B1"/>
    <w:multiLevelType w:val="multilevel"/>
    <w:tmpl w:val="18C4603C"/>
    <w:lvl w:ilvl="0">
      <w:start w:val="1"/>
      <w:numFmt w:val="ideographLegalTraditional"/>
      <w:lvlText w:val="%1、"/>
      <w:lvlJc w:val="left"/>
      <w:pPr>
        <w:ind w:left="482" w:hanging="482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822" w:hanging="482"/>
      </w:pPr>
      <w:rPr>
        <w:rFonts w:eastAsia="Arial" w:hint="default"/>
      </w:rPr>
    </w:lvl>
    <w:lvl w:ilvl="2">
      <w:start w:val="1"/>
      <w:numFmt w:val="upperRoman"/>
      <w:lvlText w:val="(%3)"/>
      <w:lvlJc w:val="left"/>
      <w:pPr>
        <w:tabs>
          <w:tab w:val="num" w:pos="1163"/>
        </w:tabs>
        <w:ind w:left="1304" w:hanging="453"/>
      </w:pPr>
      <w:rPr>
        <w:rFonts w:eastAsia="Arial" w:hint="default"/>
        <w:color w:val="000000"/>
      </w:rPr>
    </w:lvl>
    <w:lvl w:ilvl="3">
      <w:start w:val="1"/>
      <w:numFmt w:val="decimal"/>
      <w:lvlText w:val="%4."/>
      <w:lvlJc w:val="left"/>
      <w:pPr>
        <w:ind w:left="1502" w:hanging="198"/>
      </w:pPr>
      <w:rPr>
        <w:rFonts w:hint="eastAsia"/>
      </w:rPr>
    </w:lvl>
    <w:lvl w:ilvl="4">
      <w:start w:val="1"/>
      <w:numFmt w:val="none"/>
      <w:lvlText w:val="(1)"/>
      <w:lvlJc w:val="left"/>
      <w:pPr>
        <w:ind w:left="1842" w:hanging="595"/>
      </w:pPr>
      <w:rPr>
        <w:rFonts w:hint="eastAsia"/>
      </w:rPr>
    </w:lvl>
    <w:lvl w:ilvl="5">
      <w:start w:val="1"/>
      <w:numFmt w:val="none"/>
      <w:lvlText w:val="1)"/>
      <w:lvlJc w:val="right"/>
      <w:pPr>
        <w:ind w:left="2182" w:hanging="84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2522" w:hanging="482"/>
      </w:pPr>
      <w:rPr>
        <w:rFonts w:hint="eastAsia"/>
      </w:rPr>
    </w:lvl>
    <w:lvl w:ilvl="7">
      <w:start w:val="1"/>
      <w:numFmt w:val="upperLetter"/>
      <w:lvlText w:val="%8、"/>
      <w:lvlJc w:val="left"/>
      <w:pPr>
        <w:ind w:left="2862" w:hanging="482"/>
      </w:pPr>
      <w:rPr>
        <w:rFonts w:hint="eastAsia"/>
      </w:rPr>
    </w:lvl>
    <w:lvl w:ilvl="8">
      <w:start w:val="1"/>
      <w:numFmt w:val="lowerLetter"/>
      <w:lvlText w:val="%9."/>
      <w:lvlJc w:val="right"/>
      <w:pPr>
        <w:ind w:left="3202" w:hanging="140"/>
      </w:pPr>
      <w:rPr>
        <w:rFonts w:hint="eastAsia"/>
      </w:rPr>
    </w:lvl>
  </w:abstractNum>
  <w:abstractNum w:abstractNumId="3" w15:restartNumberingAfterBreak="0">
    <w:nsid w:val="6C1E179F"/>
    <w:multiLevelType w:val="hybridMultilevel"/>
    <w:tmpl w:val="2076B0A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color w:val="auto"/>
      </w:rPr>
    </w:lvl>
    <w:lvl w:ilvl="1" w:tplc="E8769722">
      <w:start w:val="1"/>
      <w:numFmt w:val="upperRoman"/>
      <w:lvlText w:val="%2."/>
      <w:lvlJc w:val="left"/>
      <w:pPr>
        <w:tabs>
          <w:tab w:val="num" w:pos="1104"/>
        </w:tabs>
        <w:ind w:left="1104" w:hanging="624"/>
      </w:pPr>
      <w:rPr>
        <w:rFonts w:eastAsia="Arial" w:hint="default"/>
        <w:color w:val="auto"/>
        <w:sz w:val="24"/>
      </w:rPr>
    </w:lvl>
    <w:lvl w:ilvl="2" w:tplc="9F3AE08A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5A94788C">
      <w:start w:val="1"/>
      <w:numFmt w:val="decimal"/>
      <w:lvlText w:val="(%4)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94"/>
    <w:rsid w:val="000631BE"/>
    <w:rsid w:val="00133F7E"/>
    <w:rsid w:val="0060454B"/>
    <w:rsid w:val="00B51F0E"/>
    <w:rsid w:val="00D04187"/>
    <w:rsid w:val="00D76994"/>
    <w:rsid w:val="00E1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77E44"/>
  <w15:chartTrackingRefBased/>
  <w15:docId w15:val="{B0CA241C-94CA-4C54-B0E2-93896BF9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994"/>
    <w:pPr>
      <w:widowControl w:val="0"/>
    </w:pPr>
    <w:rPr>
      <w:rFonts w:ascii="華康粗明體" w:eastAsia="新細明體" w:hAnsi="華康粗明體" w:cs="華康粗明體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D76994"/>
    <w:pPr>
      <w:spacing w:line="400" w:lineRule="exact"/>
      <w:ind w:firstLineChars="200" w:firstLine="560"/>
      <w:jc w:val="both"/>
    </w:pPr>
    <w:rPr>
      <w:rFonts w:eastAsia="Verdana"/>
      <w:sz w:val="28"/>
      <w:szCs w:val="20"/>
    </w:rPr>
  </w:style>
  <w:style w:type="character" w:customStyle="1" w:styleId="30">
    <w:name w:val="本文縮排 3 字元"/>
    <w:basedOn w:val="a0"/>
    <w:link w:val="3"/>
    <w:rsid w:val="00D76994"/>
    <w:rPr>
      <w:rFonts w:ascii="華康粗明體" w:eastAsia="Verdana" w:hAnsi="華康粗明體" w:cs="華康粗明體"/>
      <w:sz w:val="28"/>
      <w:szCs w:val="20"/>
      <w:lang w:eastAsia="en-US"/>
    </w:rPr>
  </w:style>
  <w:style w:type="paragraph" w:styleId="HTML">
    <w:name w:val="HTML Preformatted"/>
    <w:basedOn w:val="a"/>
    <w:link w:val="HTML0"/>
    <w:uiPriority w:val="99"/>
    <w:rsid w:val="0006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華康中楷體" w:eastAsia="華康中楷體" w:hAnsi="華康中楷體"/>
      <w:sz w:val="20"/>
    </w:rPr>
  </w:style>
  <w:style w:type="character" w:customStyle="1" w:styleId="HTML0">
    <w:name w:val="HTML 預設格式 字元"/>
    <w:basedOn w:val="a0"/>
    <w:link w:val="HTML"/>
    <w:uiPriority w:val="99"/>
    <w:rsid w:val="000631BE"/>
    <w:rPr>
      <w:rFonts w:ascii="華康中楷體" w:eastAsia="華康中楷體" w:hAnsi="華康中楷體" w:cs="華康粗明體"/>
      <w:sz w:val="20"/>
      <w:szCs w:val="24"/>
      <w:lang w:eastAsia="en-US"/>
    </w:rPr>
  </w:style>
  <w:style w:type="paragraph" w:styleId="a3">
    <w:name w:val="List Paragraph"/>
    <w:basedOn w:val="a"/>
    <w:uiPriority w:val="34"/>
    <w:qFormat/>
    <w:rsid w:val="000631B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4187"/>
    <w:rPr>
      <w:rFonts w:ascii="華康粗明體" w:eastAsia="新細明體" w:hAnsi="華康粗明體" w:cs="華康粗明體"/>
      <w:sz w:val="20"/>
      <w:szCs w:val="20"/>
      <w:lang w:eastAsia="en-US"/>
    </w:rPr>
  </w:style>
  <w:style w:type="paragraph" w:styleId="a6">
    <w:name w:val="footer"/>
    <w:basedOn w:val="a"/>
    <w:link w:val="a7"/>
    <w:uiPriority w:val="99"/>
    <w:unhideWhenUsed/>
    <w:rsid w:val="00D0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4187"/>
    <w:rPr>
      <w:rFonts w:ascii="華康粗明體" w:eastAsia="新細明體" w:hAnsi="華康粗明體" w:cs="華康粗明體"/>
      <w:sz w:val="20"/>
      <w:szCs w:val="20"/>
      <w:lang w:eastAsia="en-US"/>
    </w:rPr>
  </w:style>
  <w:style w:type="table" w:styleId="a8">
    <w:name w:val="Table Grid"/>
    <w:basedOn w:val="a1"/>
    <w:uiPriority w:val="39"/>
    <w:rsid w:val="00D0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湯芸瑋</dc:creator>
  <cp:keywords/>
  <dc:description/>
  <cp:lastModifiedBy>陳郁喬</cp:lastModifiedBy>
  <cp:revision>2</cp:revision>
  <dcterms:created xsi:type="dcterms:W3CDTF">2022-03-31T08:42:00Z</dcterms:created>
  <dcterms:modified xsi:type="dcterms:W3CDTF">2022-03-31T08:42:00Z</dcterms:modified>
</cp:coreProperties>
</file>