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11827"/>
          <w:sz w:val="44"/>
        </w:rPr>
        <w:t>Forg3t Protocol Avalanche Grant Phase 2</w:t>
      </w:r>
    </w:p>
    <w:p>
      <w:pPr>
        <w:jc w:val="center"/>
      </w:pPr>
      <w:r>
        <w:rPr>
          <w:i/>
        </w:rPr>
        <w:t>Grant Manager Review Packet | Code-Side Evidence and Live Demo Access</w:t>
      </w:r>
    </w:p>
    <w:p>
      <w:pPr>
        <w:jc w:val="center"/>
      </w:pPr>
      <w:r>
        <w:t>Prepared: 2026-05-24 | Network: Avalanche C-Chain mainnet | Status: code-side review ready</w:t>
      </w:r>
    </w:p>
    <w:p>
      <w:pPr>
        <w:pStyle w:val="Heading1"/>
      </w:pPr>
      <w:r>
        <w:t>Executive Summary</w:t>
      </w:r>
    </w:p>
    <w:p>
      <w:r>
        <w:t>Forg3t Protocol now has a reviewable Phase 2 product implementation for black-box AI suppression/unlearning evidence workflows. The repository-controlled milestones have been implemented or strengthened across the frontend, Supabase backend, database/RBAC, Avalanche anchoring, reports, pipelines, API integrations, tests, documentation, and dependency audit posture.</w:t>
      </w:r>
    </w:p>
    <w:p>
      <w:r>
        <w:t>This packet intentionally does not claim enterprise pilot approval, customer attestation, real customer usage, founder sales material, or recorded demo completion. Those items require external human evidence and should be supplied separately.</w:t>
      </w:r>
    </w:p>
    <w:p>
      <w:pPr>
        <w:pStyle w:val="Heading1"/>
      </w:pPr>
      <w:r>
        <w:t>Live Review Access</w:t>
      </w:r>
    </w:p>
    <w:tbl>
      <w:tblPr>
        <w:tblStyle w:val="TableGrid"/>
        <w:tblW w:type="auto" w:w="0"/>
        <w:jc w:val="left"/>
        <w:tblLook w:firstColumn="1" w:firstRow="1" w:lastColumn="0" w:lastRow="0" w:noHBand="0" w:noVBand="1" w:val="04A0"/>
      </w:tblPr>
      <w:tblGrid>
        <w:gridCol w:w="5040"/>
        <w:gridCol w:w="5040"/>
      </w:tblGrid>
      <w:tr>
        <w:tc>
          <w:tcPr>
            <w:tcW w:type="dxa" w:w="2880"/>
            <w:vAlign w:val="center"/>
          </w:tcPr>
          <w:p>
            <w:pPr>
              <w:spacing w:after="0"/>
            </w:pPr>
            <w:r/>
            <w:r>
              <w:rPr>
                <w:b/>
                <w:color w:val="1F2937"/>
                <w:sz w:val="17"/>
              </w:rPr>
              <w:t>Production app</w:t>
            </w:r>
          </w:p>
        </w:tc>
        <w:tc>
          <w:tcPr>
            <w:tcW w:type="dxa" w:w="6048"/>
            <w:vAlign w:val="center"/>
          </w:tcPr>
          <w:p>
            <w:pPr>
              <w:spacing w:after="0"/>
            </w:pPr>
            <w:r/>
            <w:r>
              <w:rPr>
                <w:b w:val="0"/>
                <w:sz w:val="17"/>
              </w:rPr>
              <w:t>https://buildgames.forg3t.io</w:t>
            </w:r>
          </w:p>
        </w:tc>
      </w:tr>
      <w:tr>
        <w:tc>
          <w:tcPr>
            <w:tcW w:type="dxa" w:w="2880"/>
            <w:vAlign w:val="center"/>
          </w:tcPr>
          <w:p>
            <w:pPr>
              <w:spacing w:after="0"/>
            </w:pPr>
            <w:r/>
            <w:r>
              <w:rPr>
                <w:b/>
                <w:color w:val="1F2937"/>
                <w:sz w:val="17"/>
              </w:rPr>
              <w:t>Reviewer email</w:t>
            </w:r>
          </w:p>
        </w:tc>
        <w:tc>
          <w:tcPr>
            <w:tcW w:type="dxa" w:w="6048"/>
            <w:vAlign w:val="center"/>
          </w:tcPr>
          <w:p>
            <w:pPr>
              <w:spacing w:after="0"/>
            </w:pPr>
            <w:r/>
            <w:r>
              <w:rPr>
                <w:b w:val="0"/>
                <w:sz w:val="17"/>
              </w:rPr>
              <w:t>grant-reviewer@forg3t.io</w:t>
            </w:r>
          </w:p>
        </w:tc>
      </w:tr>
      <w:tr>
        <w:tc>
          <w:tcPr>
            <w:tcW w:type="dxa" w:w="2880"/>
            <w:vAlign w:val="center"/>
          </w:tcPr>
          <w:p>
            <w:pPr>
              <w:spacing w:after="0"/>
            </w:pPr>
            <w:r/>
            <w:r>
              <w:rPr>
                <w:b/>
                <w:color w:val="1F2937"/>
                <w:sz w:val="17"/>
              </w:rPr>
              <w:t>Reviewer password</w:t>
            </w:r>
          </w:p>
        </w:tc>
        <w:tc>
          <w:tcPr>
            <w:tcW w:type="dxa" w:w="6048"/>
            <w:vAlign w:val="center"/>
          </w:tcPr>
          <w:p>
            <w:pPr>
              <w:spacing w:after="0"/>
            </w:pPr>
            <w:r/>
            <w:r>
              <w:rPr>
                <w:b w:val="0"/>
                <w:sz w:val="17"/>
              </w:rPr>
              <w:t>Share separately via a secure channel; do not commit or embed.</w:t>
            </w:r>
          </w:p>
        </w:tc>
      </w:tr>
      <w:tr>
        <w:tc>
          <w:tcPr>
            <w:tcW w:type="dxa" w:w="2880"/>
            <w:vAlign w:val="center"/>
          </w:tcPr>
          <w:p>
            <w:pPr>
              <w:spacing w:after="0"/>
            </w:pPr>
            <w:r/>
            <w:r>
              <w:rPr>
                <w:b/>
                <w:color w:val="1F2937"/>
                <w:sz w:val="17"/>
              </w:rPr>
              <w:t>Reviewer role</w:t>
            </w:r>
          </w:p>
        </w:tc>
        <w:tc>
          <w:tcPr>
            <w:tcW w:type="dxa" w:w="6048"/>
            <w:vAlign w:val="center"/>
          </w:tcPr>
          <w:p>
            <w:pPr>
              <w:spacing w:after="0"/>
            </w:pPr>
            <w:r/>
            <w:r>
              <w:rPr>
                <w:b w:val="0"/>
                <w:sz w:val="17"/>
              </w:rPr>
              <w:t>admin on the Phase 2 review project</w:t>
            </w:r>
          </w:p>
        </w:tc>
      </w:tr>
      <w:tr>
        <w:tc>
          <w:tcPr>
            <w:tcW w:type="dxa" w:w="2880"/>
            <w:vAlign w:val="center"/>
          </w:tcPr>
          <w:p>
            <w:pPr>
              <w:spacing w:after="0"/>
            </w:pPr>
            <w:r/>
            <w:r>
              <w:rPr>
                <w:b/>
                <w:color w:val="1F2937"/>
                <w:sz w:val="17"/>
              </w:rPr>
              <w:t>Public verify route</w:t>
            </w:r>
          </w:p>
        </w:tc>
        <w:tc>
          <w:tcPr>
            <w:tcW w:type="dxa" w:w="6048"/>
            <w:vAlign w:val="center"/>
          </w:tcPr>
          <w:p>
            <w:pPr>
              <w:spacing w:after="0"/>
            </w:pPr>
            <w:r/>
            <w:r>
              <w:rPr>
                <w:b w:val="0"/>
                <w:sz w:val="17"/>
              </w:rPr>
              <w:t>https://buildgames.forg3t.io/verify/212a028eabcac5e2c3458cc9f219259d</w:t>
            </w:r>
          </w:p>
        </w:tc>
      </w:tr>
      <w:tr>
        <w:tc>
          <w:tcPr>
            <w:tcW w:type="dxa" w:w="2880"/>
            <w:vAlign w:val="center"/>
          </w:tcPr>
          <w:p>
            <w:pPr>
              <w:spacing w:after="0"/>
            </w:pPr>
            <w:r/>
            <w:r>
              <w:rPr>
                <w:b/>
                <w:color w:val="1F2937"/>
                <w:sz w:val="17"/>
              </w:rPr>
              <w:t>Public API verify</w:t>
            </w:r>
          </w:p>
        </w:tc>
        <w:tc>
          <w:tcPr>
            <w:tcW w:type="dxa" w:w="6048"/>
            <w:vAlign w:val="center"/>
          </w:tcPr>
          <w:p>
            <w:pPr>
              <w:spacing w:after="0"/>
            </w:pPr>
            <w:r/>
            <w:r>
              <w:rPr>
                <w:b w:val="0"/>
                <w:sz w:val="17"/>
              </w:rPr>
              <w:t>https://xewxfsdrtqpthkpbhbzp.supabase.co/functions/v1/verify-evidence?token=212a028eabcac5e2c3458cc9f219259d</w:t>
            </w:r>
          </w:p>
        </w:tc>
      </w:tr>
      <w:tr>
        <w:tc>
          <w:tcPr>
            <w:tcW w:type="dxa" w:w="2880"/>
            <w:vAlign w:val="center"/>
          </w:tcPr>
          <w:p>
            <w:pPr>
              <w:spacing w:after="0"/>
            </w:pPr>
            <w:r/>
            <w:r>
              <w:rPr>
                <w:b/>
                <w:color w:val="1F2937"/>
                <w:sz w:val="17"/>
              </w:rPr>
              <w:t>Snowtrace transaction</w:t>
            </w:r>
          </w:p>
        </w:tc>
        <w:tc>
          <w:tcPr>
            <w:tcW w:type="dxa" w:w="6048"/>
            <w:vAlign w:val="center"/>
          </w:tcPr>
          <w:p>
            <w:pPr>
              <w:spacing w:after="0"/>
            </w:pPr>
            <w:r/>
            <w:r>
              <w:rPr>
                <w:b w:val="0"/>
                <w:sz w:val="17"/>
              </w:rPr>
              <w:t>https://snowtrace.io/tx/0x7af8b0376079571f2a4ff46ff76e6cdfb27f710ea4b2434c41bfdf25a167e7be</w:t>
            </w:r>
          </w:p>
        </w:tc>
      </w:tr>
    </w:tbl>
    <w:p>
      <w:r>
        <w:t>Security note: this reviewer account is intended only for grant review. Rotate or delete it after the review window.</w:t>
      </w:r>
    </w:p>
    <w:p>
      <w:pPr>
        <w:pStyle w:val="Heading1"/>
      </w:pPr>
      <w:r>
        <w:t>Primary Evidence Record</w:t>
      </w:r>
    </w:p>
    <w:tbl>
      <w:tblPr>
        <w:tblStyle w:val="TableGrid"/>
        <w:tblW w:type="auto" w:w="0"/>
        <w:jc w:val="left"/>
        <w:tblLook w:firstColumn="1" w:firstRow="1" w:lastColumn="0" w:lastRow="0" w:noHBand="0" w:noVBand="1" w:val="04A0"/>
      </w:tblPr>
      <w:tblGrid>
        <w:gridCol w:w="5040"/>
        <w:gridCol w:w="5040"/>
      </w:tblGrid>
      <w:tr>
        <w:tc>
          <w:tcPr>
            <w:tcW w:type="dxa" w:w="2232"/>
            <w:vAlign w:val="center"/>
          </w:tcPr>
          <w:p>
            <w:pPr>
              <w:spacing w:after="0"/>
            </w:pPr>
            <w:r/>
            <w:r>
              <w:rPr>
                <w:b/>
                <w:color w:val="1F2937"/>
                <w:sz w:val="17"/>
              </w:rPr>
              <w:t>Job ID</w:t>
            </w:r>
          </w:p>
        </w:tc>
        <w:tc>
          <w:tcPr>
            <w:tcW w:type="dxa" w:w="6840"/>
            <w:vAlign w:val="center"/>
          </w:tcPr>
          <w:p>
            <w:pPr>
              <w:spacing w:after="0"/>
            </w:pPr>
            <w:r/>
            <w:r>
              <w:rPr>
                <w:b w:val="0"/>
                <w:sz w:val="17"/>
              </w:rPr>
              <w:t>9a2a77cf-4b09-4f59-be04-c18b08b137bd</w:t>
            </w:r>
          </w:p>
        </w:tc>
      </w:tr>
      <w:tr>
        <w:tc>
          <w:tcPr>
            <w:tcW w:type="dxa" w:w="2232"/>
            <w:vAlign w:val="center"/>
          </w:tcPr>
          <w:p>
            <w:pPr>
              <w:spacing w:after="0"/>
            </w:pPr>
            <w:r/>
            <w:r>
              <w:rPr>
                <w:b/>
                <w:color w:val="1F2937"/>
                <w:sz w:val="17"/>
              </w:rPr>
              <w:t>Evidence ID</w:t>
            </w:r>
          </w:p>
        </w:tc>
        <w:tc>
          <w:tcPr>
            <w:tcW w:type="dxa" w:w="6840"/>
            <w:vAlign w:val="center"/>
          </w:tcPr>
          <w:p>
            <w:pPr>
              <w:spacing w:after="0"/>
            </w:pPr>
            <w:r/>
            <w:r>
              <w:rPr>
                <w:b w:val="0"/>
                <w:sz w:val="17"/>
              </w:rPr>
              <w:t>608a427f-25c1-4f43-b3e7-d9a86ff33801</w:t>
            </w:r>
          </w:p>
        </w:tc>
      </w:tr>
      <w:tr>
        <w:tc>
          <w:tcPr>
            <w:tcW w:type="dxa" w:w="2232"/>
            <w:vAlign w:val="center"/>
          </w:tcPr>
          <w:p>
            <w:pPr>
              <w:spacing w:after="0"/>
            </w:pPr>
            <w:r/>
            <w:r>
              <w:rPr>
                <w:b/>
                <w:color w:val="1F2937"/>
                <w:sz w:val="17"/>
              </w:rPr>
              <w:t>Evidence hash</w:t>
            </w:r>
          </w:p>
        </w:tc>
        <w:tc>
          <w:tcPr>
            <w:tcW w:type="dxa" w:w="6840"/>
            <w:vAlign w:val="center"/>
          </w:tcPr>
          <w:p>
            <w:pPr>
              <w:spacing w:after="0"/>
            </w:pPr>
            <w:r/>
            <w:r>
              <w:rPr>
                <w:b w:val="0"/>
                <w:sz w:val="17"/>
              </w:rPr>
              <w:t>0x1c01887f16bc967d3e53042db25c8cfe2ad9611222a1b7a2f8326190061b4b0b</w:t>
            </w:r>
          </w:p>
        </w:tc>
      </w:tr>
      <w:tr>
        <w:tc>
          <w:tcPr>
            <w:tcW w:type="dxa" w:w="2232"/>
            <w:vAlign w:val="center"/>
          </w:tcPr>
          <w:p>
            <w:pPr>
              <w:spacing w:after="0"/>
            </w:pPr>
            <w:r/>
            <w:r>
              <w:rPr>
                <w:b/>
                <w:color w:val="1F2937"/>
                <w:sz w:val="17"/>
              </w:rPr>
              <w:t>Job hash</w:t>
            </w:r>
          </w:p>
        </w:tc>
        <w:tc>
          <w:tcPr>
            <w:tcW w:type="dxa" w:w="6840"/>
            <w:vAlign w:val="center"/>
          </w:tcPr>
          <w:p>
            <w:pPr>
              <w:spacing w:after="0"/>
            </w:pPr>
            <w:r/>
            <w:r>
              <w:rPr>
                <w:b w:val="0"/>
                <w:sz w:val="17"/>
              </w:rPr>
              <w:t>0x9b7077f20c7a481b176684181bc7c28cab90a96d93ce73463dccfe12ccef649e</w:t>
            </w:r>
          </w:p>
        </w:tc>
      </w:tr>
      <w:tr>
        <w:tc>
          <w:tcPr>
            <w:tcW w:type="dxa" w:w="2232"/>
            <w:vAlign w:val="center"/>
          </w:tcPr>
          <w:p>
            <w:pPr>
              <w:spacing w:after="0"/>
            </w:pPr>
            <w:r/>
            <w:r>
              <w:rPr>
                <w:b/>
                <w:color w:val="1F2937"/>
                <w:sz w:val="17"/>
              </w:rPr>
              <w:t>Anchor status</w:t>
            </w:r>
          </w:p>
        </w:tc>
        <w:tc>
          <w:tcPr>
            <w:tcW w:type="dxa" w:w="6840"/>
            <w:vAlign w:val="center"/>
          </w:tcPr>
          <w:p>
            <w:pPr>
              <w:spacing w:after="0"/>
            </w:pPr>
            <w:r/>
            <w:r>
              <w:rPr>
                <w:b w:val="0"/>
                <w:sz w:val="17"/>
              </w:rPr>
              <w:t>confirmed</w:t>
            </w:r>
          </w:p>
        </w:tc>
      </w:tr>
      <w:tr>
        <w:tc>
          <w:tcPr>
            <w:tcW w:type="dxa" w:w="2232"/>
            <w:vAlign w:val="center"/>
          </w:tcPr>
          <w:p>
            <w:pPr>
              <w:spacing w:after="0"/>
            </w:pPr>
            <w:r/>
            <w:r>
              <w:rPr>
                <w:b/>
                <w:color w:val="1F2937"/>
                <w:sz w:val="17"/>
              </w:rPr>
              <w:t>Network</w:t>
            </w:r>
          </w:p>
        </w:tc>
        <w:tc>
          <w:tcPr>
            <w:tcW w:type="dxa" w:w="6840"/>
            <w:vAlign w:val="center"/>
          </w:tcPr>
          <w:p>
            <w:pPr>
              <w:spacing w:after="0"/>
            </w:pPr>
            <w:r/>
            <w:r>
              <w:rPr>
                <w:b w:val="0"/>
                <w:sz w:val="17"/>
              </w:rPr>
              <w:t>mainnet</w:t>
            </w:r>
          </w:p>
        </w:tc>
      </w:tr>
      <w:tr>
        <w:tc>
          <w:tcPr>
            <w:tcW w:type="dxa" w:w="2232"/>
            <w:vAlign w:val="center"/>
          </w:tcPr>
          <w:p>
            <w:pPr>
              <w:spacing w:after="0"/>
            </w:pPr>
            <w:r/>
            <w:r>
              <w:rPr>
                <w:b/>
                <w:color w:val="1F2937"/>
                <w:sz w:val="17"/>
              </w:rPr>
              <w:t>Chain ID</w:t>
            </w:r>
          </w:p>
        </w:tc>
        <w:tc>
          <w:tcPr>
            <w:tcW w:type="dxa" w:w="6840"/>
            <w:vAlign w:val="center"/>
          </w:tcPr>
          <w:p>
            <w:pPr>
              <w:spacing w:after="0"/>
            </w:pPr>
            <w:r/>
            <w:r>
              <w:rPr>
                <w:b w:val="0"/>
                <w:sz w:val="17"/>
              </w:rPr>
              <w:t>43114</w:t>
            </w:r>
          </w:p>
        </w:tc>
      </w:tr>
      <w:tr>
        <w:tc>
          <w:tcPr>
            <w:tcW w:type="dxa" w:w="2232"/>
            <w:vAlign w:val="center"/>
          </w:tcPr>
          <w:p>
            <w:pPr>
              <w:spacing w:after="0"/>
            </w:pPr>
            <w:r/>
            <w:r>
              <w:rPr>
                <w:b/>
                <w:color w:val="1F2937"/>
                <w:sz w:val="17"/>
              </w:rPr>
              <w:t>Block number</w:t>
            </w:r>
          </w:p>
        </w:tc>
        <w:tc>
          <w:tcPr>
            <w:tcW w:type="dxa" w:w="6840"/>
            <w:vAlign w:val="center"/>
          </w:tcPr>
          <w:p>
            <w:pPr>
              <w:spacing w:after="0"/>
            </w:pPr>
            <w:r/>
            <w:r>
              <w:rPr>
                <w:b w:val="0"/>
                <w:sz w:val="17"/>
              </w:rPr>
              <w:t>86276105</w:t>
            </w:r>
          </w:p>
        </w:tc>
      </w:tr>
      <w:tr>
        <w:tc>
          <w:tcPr>
            <w:tcW w:type="dxa" w:w="2232"/>
            <w:vAlign w:val="center"/>
          </w:tcPr>
          <w:p>
            <w:pPr>
              <w:spacing w:after="0"/>
            </w:pPr>
            <w:r/>
            <w:r>
              <w:rPr>
                <w:b/>
                <w:color w:val="1F2937"/>
                <w:sz w:val="17"/>
              </w:rPr>
              <w:t>Contract</w:t>
            </w:r>
          </w:p>
        </w:tc>
        <w:tc>
          <w:tcPr>
            <w:tcW w:type="dxa" w:w="6840"/>
            <w:vAlign w:val="center"/>
          </w:tcPr>
          <w:p>
            <w:pPr>
              <w:spacing w:after="0"/>
            </w:pPr>
            <w:r/>
            <w:r>
              <w:rPr>
                <w:b w:val="0"/>
                <w:sz w:val="17"/>
              </w:rPr>
              <w:t>0x20E772a60CEE7D8E6706E698B129FD917c3936bf</w:t>
            </w:r>
          </w:p>
        </w:tc>
      </w:tr>
      <w:tr>
        <w:tc>
          <w:tcPr>
            <w:tcW w:type="dxa" w:w="2232"/>
            <w:vAlign w:val="center"/>
          </w:tcPr>
          <w:p>
            <w:pPr>
              <w:spacing w:after="0"/>
            </w:pPr>
            <w:r/>
            <w:r>
              <w:rPr>
                <w:b/>
                <w:color w:val="1F2937"/>
                <w:sz w:val="17"/>
              </w:rPr>
              <w:t>Transaction</w:t>
            </w:r>
          </w:p>
        </w:tc>
        <w:tc>
          <w:tcPr>
            <w:tcW w:type="dxa" w:w="6840"/>
            <w:vAlign w:val="center"/>
          </w:tcPr>
          <w:p>
            <w:pPr>
              <w:spacing w:after="0"/>
            </w:pPr>
            <w:r/>
            <w:r>
              <w:rPr>
                <w:b w:val="0"/>
                <w:sz w:val="17"/>
              </w:rPr>
              <w:t>0x7af8b0376079571f2a4ff46ff76e6cdfb27f710ea4b2434c41bfdf25a167e7be</w:t>
            </w:r>
          </w:p>
        </w:tc>
      </w:tr>
    </w:tbl>
    <w:p>
      <w:pPr>
        <w:pStyle w:val="Heading1"/>
      </w:pPr>
      <w:r>
        <w:t>Milestone Completion Matrix</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1F2937"/>
          </w:tcPr>
          <w:p>
            <w:pPr>
              <w:spacing w:after="0"/>
            </w:pPr>
            <w:r/>
            <w:r>
              <w:rPr>
                <w:b/>
                <w:color w:val="FFFFFF"/>
                <w:sz w:val="17"/>
              </w:rPr>
              <w:t>Milestone</w:t>
            </w:r>
          </w:p>
        </w:tc>
        <w:tc>
          <w:tcPr>
            <w:tcW w:type="dxa" w:w="1440"/>
            <w:vAlign w:val="center"/>
            <w:shd w:fill="1F2937"/>
          </w:tcPr>
          <w:p>
            <w:pPr>
              <w:spacing w:after="0"/>
            </w:pPr>
            <w:r/>
            <w:r>
              <w:rPr>
                <w:b/>
                <w:color w:val="FFFFFF"/>
                <w:sz w:val="17"/>
              </w:rPr>
              <w:t>Status</w:t>
            </w:r>
          </w:p>
        </w:tc>
        <w:tc>
          <w:tcPr>
            <w:tcW w:type="dxa" w:w="5544"/>
            <w:vAlign w:val="center"/>
            <w:shd w:fill="1F2937"/>
          </w:tcPr>
          <w:p>
            <w:pPr>
              <w:spacing w:after="0"/>
            </w:pPr>
            <w:r/>
            <w:r>
              <w:rPr>
                <w:b/>
                <w:color w:val="FFFFFF"/>
                <w:sz w:val="17"/>
              </w:rPr>
              <w:t>Evidence</w:t>
            </w:r>
          </w:p>
        </w:tc>
      </w:tr>
      <w:tr>
        <w:tc>
          <w:tcPr>
            <w:tcW w:type="dxa" w:w="2232"/>
            <w:vAlign w:val="center"/>
          </w:tcPr>
          <w:p>
            <w:pPr>
              <w:spacing w:after="0"/>
            </w:pPr>
            <w:r/>
            <w:r>
              <w:rPr>
                <w:b w:val="0"/>
                <w:sz w:val="17"/>
              </w:rPr>
              <w:t>Evidence anchoring</w:t>
            </w:r>
          </w:p>
        </w:tc>
        <w:tc>
          <w:tcPr>
            <w:tcW w:type="dxa" w:w="1440"/>
            <w:vAlign w:val="center"/>
          </w:tcPr>
          <w:p>
            <w:pPr>
              <w:spacing w:after="0"/>
            </w:pPr>
            <w:r/>
            <w:r>
              <w:rPr>
                <w:b w:val="0"/>
                <w:sz w:val="17"/>
              </w:rPr>
              <w:t>Completed</w:t>
            </w:r>
          </w:p>
        </w:tc>
        <w:tc>
          <w:tcPr>
            <w:tcW w:type="dxa" w:w="5544"/>
            <w:vAlign w:val="center"/>
          </w:tcPr>
          <w:p>
            <w:pPr>
              <w:spacing w:after="0"/>
            </w:pPr>
            <w:r/>
            <w:r>
              <w:rPr>
                <w:b w:val="0"/>
                <w:sz w:val="17"/>
              </w:rPr>
              <w:t>Job to evidence hash to Avalanche mainnet anchor to verification result. Tx hash, network, block, contract, and Snowtrace link are visible.</w:t>
            </w:r>
          </w:p>
        </w:tc>
      </w:tr>
      <w:tr>
        <w:tc>
          <w:tcPr>
            <w:tcW w:type="dxa" w:w="2232"/>
            <w:vAlign w:val="center"/>
          </w:tcPr>
          <w:p>
            <w:pPr>
              <w:spacing w:after="0"/>
            </w:pPr>
            <w:r/>
            <w:r>
              <w:rPr>
                <w:b w:val="0"/>
                <w:sz w:val="17"/>
              </w:rPr>
              <w:t>Drag-and-drop verification</w:t>
            </w:r>
          </w:p>
        </w:tc>
        <w:tc>
          <w:tcPr>
            <w:tcW w:type="dxa" w:w="1440"/>
            <w:vAlign w:val="center"/>
          </w:tcPr>
          <w:p>
            <w:pPr>
              <w:spacing w:after="0"/>
            </w:pPr>
            <w:r/>
            <w:r>
              <w:rPr>
                <w:b w:val="0"/>
                <w:sz w:val="17"/>
              </w:rPr>
              <w:t>Completed</w:t>
            </w:r>
          </w:p>
        </w:tc>
        <w:tc>
          <w:tcPr>
            <w:tcW w:type="dxa" w:w="5544"/>
            <w:vAlign w:val="center"/>
          </w:tcPr>
          <w:p>
            <w:pPr>
              <w:spacing w:after="0"/>
            </w:pPr>
            <w:r/>
            <w:r>
              <w:rPr>
                <w:b w:val="0"/>
                <w:sz w:val="17"/>
              </w:rPr>
              <w:t>Dashboard verify flow supports JSON/PDF-style evidence checks and states: valid, mismatch, pending, confirmed, failed.</w:t>
            </w:r>
          </w:p>
        </w:tc>
      </w:tr>
      <w:tr>
        <w:tc>
          <w:tcPr>
            <w:tcW w:type="dxa" w:w="2232"/>
            <w:vAlign w:val="center"/>
          </w:tcPr>
          <w:p>
            <w:pPr>
              <w:spacing w:after="0"/>
            </w:pPr>
            <w:r/>
            <w:r>
              <w:rPr>
                <w:b w:val="0"/>
                <w:sz w:val="17"/>
              </w:rPr>
              <w:t>Job history and evidence UX</w:t>
            </w:r>
          </w:p>
        </w:tc>
        <w:tc>
          <w:tcPr>
            <w:tcW w:type="dxa" w:w="1440"/>
            <w:vAlign w:val="center"/>
          </w:tcPr>
          <w:p>
            <w:pPr>
              <w:spacing w:after="0"/>
            </w:pPr>
            <w:r/>
            <w:r>
              <w:rPr>
                <w:b w:val="0"/>
                <w:sz w:val="17"/>
              </w:rPr>
              <w:t>Completed</w:t>
            </w:r>
          </w:p>
        </w:tc>
        <w:tc>
          <w:tcPr>
            <w:tcW w:type="dxa" w:w="5544"/>
            <w:vAlign w:val="center"/>
          </w:tcPr>
          <w:p>
            <w:pPr>
              <w:spacing w:after="0"/>
            </w:pPr>
            <w:r/>
            <w:r>
              <w:rPr>
                <w:b w:val="0"/>
                <w:sz w:val="17"/>
              </w:rPr>
              <w:t>Job list/detail, evidence detail, public verify links, anchor visibility, and report access were strengthened for reviewer navigation.</w:t>
            </w:r>
          </w:p>
        </w:tc>
      </w:tr>
      <w:tr>
        <w:tc>
          <w:tcPr>
            <w:tcW w:type="dxa" w:w="2232"/>
            <w:vAlign w:val="center"/>
          </w:tcPr>
          <w:p>
            <w:pPr>
              <w:spacing w:after="0"/>
            </w:pPr>
            <w:r/>
            <w:r>
              <w:rPr>
                <w:b w:val="0"/>
                <w:sz w:val="17"/>
              </w:rPr>
              <w:t>Reporting exports and RBAC</w:t>
            </w:r>
          </w:p>
        </w:tc>
        <w:tc>
          <w:tcPr>
            <w:tcW w:type="dxa" w:w="1440"/>
            <w:vAlign w:val="center"/>
          </w:tcPr>
          <w:p>
            <w:pPr>
              <w:spacing w:after="0"/>
            </w:pPr>
            <w:r/>
            <w:r>
              <w:rPr>
                <w:b w:val="0"/>
                <w:sz w:val="17"/>
              </w:rPr>
              <w:t>Completed</w:t>
            </w:r>
          </w:p>
        </w:tc>
        <w:tc>
          <w:tcPr>
            <w:tcW w:type="dxa" w:w="5544"/>
            <w:vAlign w:val="center"/>
          </w:tcPr>
          <w:p>
            <w:pPr>
              <w:spacing w:after="0"/>
            </w:pPr>
            <w:r/>
            <w:r>
              <w:rPr>
                <w:b w:val="0"/>
                <w:sz w:val="17"/>
              </w:rPr>
              <w:t>JSON, CSV, and PDF exports are available from job/evidence records. RBAC behavior covers owner, admin, compliance, auditor, developer, viewer.</w:t>
            </w:r>
          </w:p>
        </w:tc>
      </w:tr>
      <w:tr>
        <w:tc>
          <w:tcPr>
            <w:tcW w:type="dxa" w:w="2232"/>
            <w:vAlign w:val="center"/>
          </w:tcPr>
          <w:p>
            <w:pPr>
              <w:spacing w:after="0"/>
            </w:pPr>
            <w:r/>
            <w:r>
              <w:rPr>
                <w:b w:val="0"/>
                <w:sz w:val="17"/>
              </w:rPr>
              <w:t>Repeatable pipelines</w:t>
            </w:r>
          </w:p>
        </w:tc>
        <w:tc>
          <w:tcPr>
            <w:tcW w:type="dxa" w:w="1440"/>
            <w:vAlign w:val="center"/>
          </w:tcPr>
          <w:p>
            <w:pPr>
              <w:spacing w:after="0"/>
            </w:pPr>
            <w:r/>
            <w:r>
              <w:rPr>
                <w:b w:val="0"/>
                <w:sz w:val="17"/>
              </w:rPr>
              <w:t>Completed</w:t>
            </w:r>
          </w:p>
        </w:tc>
        <w:tc>
          <w:tcPr>
            <w:tcW w:type="dxa" w:w="5544"/>
            <w:vAlign w:val="center"/>
          </w:tcPr>
          <w:p>
            <w:pPr>
              <w:spacing w:after="0"/>
            </w:pPr>
            <w:r/>
            <w:r>
              <w:rPr>
                <w:b w:val="0"/>
                <w:sz w:val="17"/>
              </w:rPr>
              <w:t>Pipeline runs can create multiple jobs and move them through evidence generation, optional anchoring, verification, and report export where configured.</w:t>
            </w:r>
          </w:p>
        </w:tc>
      </w:tr>
      <w:tr>
        <w:tc>
          <w:tcPr>
            <w:tcW w:type="dxa" w:w="2232"/>
            <w:vAlign w:val="center"/>
          </w:tcPr>
          <w:p>
            <w:pPr>
              <w:spacing w:after="0"/>
            </w:pPr>
            <w:r/>
            <w:r>
              <w:rPr>
                <w:b w:val="0"/>
                <w:sz w:val="17"/>
              </w:rPr>
              <w:t>API-based AI integrations</w:t>
            </w:r>
          </w:p>
        </w:tc>
        <w:tc>
          <w:tcPr>
            <w:tcW w:type="dxa" w:w="1440"/>
            <w:vAlign w:val="center"/>
          </w:tcPr>
          <w:p>
            <w:pPr>
              <w:spacing w:after="0"/>
            </w:pPr>
            <w:r/>
            <w:r>
              <w:rPr>
                <w:b w:val="0"/>
                <w:sz w:val="17"/>
              </w:rPr>
              <w:t>Completed</w:t>
            </w:r>
          </w:p>
        </w:tc>
        <w:tc>
          <w:tcPr>
            <w:tcW w:type="dxa" w:w="5544"/>
            <w:vAlign w:val="center"/>
          </w:tcPr>
          <w:p>
            <w:pPr>
              <w:spacing w:after="0"/>
            </w:pPr>
            <w:r/>
            <w:r>
              <w:rPr>
                <w:b w:val="0"/>
                <w:sz w:val="17"/>
              </w:rPr>
              <w:t>OpenAI-compatible and generic HTTP integration flows are documented with lifecycle examples from setup to job/evidence retrieval.</w:t>
            </w:r>
          </w:p>
        </w:tc>
      </w:tr>
      <w:tr>
        <w:tc>
          <w:tcPr>
            <w:tcW w:type="dxa" w:w="2232"/>
            <w:vAlign w:val="center"/>
          </w:tcPr>
          <w:p>
            <w:pPr>
              <w:spacing w:after="0"/>
            </w:pPr>
            <w:r/>
            <w:r>
              <w:rPr>
                <w:b w:val="0"/>
                <w:sz w:val="17"/>
              </w:rPr>
              <w:t>Documentation</w:t>
            </w:r>
          </w:p>
        </w:tc>
        <w:tc>
          <w:tcPr>
            <w:tcW w:type="dxa" w:w="1440"/>
            <w:vAlign w:val="center"/>
          </w:tcPr>
          <w:p>
            <w:pPr>
              <w:spacing w:after="0"/>
            </w:pPr>
            <w:r/>
            <w:r>
              <w:rPr>
                <w:b w:val="0"/>
                <w:sz w:val="17"/>
              </w:rPr>
              <w:t>Completed</w:t>
            </w:r>
          </w:p>
        </w:tc>
        <w:tc>
          <w:tcPr>
            <w:tcW w:type="dxa" w:w="5544"/>
            <w:vAlign w:val="center"/>
          </w:tcPr>
          <w:p>
            <w:pPr>
              <w:spacing w:after="0"/>
            </w:pPr>
            <w:r/>
            <w:r>
              <w:rPr>
                <w:b w:val="0"/>
                <w:sz w:val="17"/>
              </w:rPr>
              <w:t>README and Phase 2 readiness docs include commands, routes, expected outputs, and non-code exclusions.</w:t>
            </w:r>
          </w:p>
        </w:tc>
      </w:tr>
      <w:tr>
        <w:tc>
          <w:tcPr>
            <w:tcW w:type="dxa" w:w="2232"/>
            <w:vAlign w:val="center"/>
          </w:tcPr>
          <w:p>
            <w:pPr>
              <w:spacing w:after="0"/>
            </w:pPr>
            <w:r/>
            <w:r>
              <w:rPr>
                <w:b w:val="0"/>
                <w:sz w:val="17"/>
              </w:rPr>
              <w:t>Dependency audit</w:t>
            </w:r>
          </w:p>
        </w:tc>
        <w:tc>
          <w:tcPr>
            <w:tcW w:type="dxa" w:w="1440"/>
            <w:vAlign w:val="center"/>
          </w:tcPr>
          <w:p>
            <w:pPr>
              <w:spacing w:after="0"/>
            </w:pPr>
            <w:r/>
            <w:r>
              <w:rPr>
                <w:b w:val="0"/>
                <w:sz w:val="17"/>
              </w:rPr>
              <w:t>Completed</w:t>
            </w:r>
          </w:p>
        </w:tc>
        <w:tc>
          <w:tcPr>
            <w:tcW w:type="dxa" w:w="5544"/>
            <w:vAlign w:val="center"/>
          </w:tcPr>
          <w:p>
            <w:pPr>
              <w:spacing w:after="0"/>
            </w:pPr>
            <w:r/>
            <w:r>
              <w:rPr>
                <w:b w:val="0"/>
                <w:sz w:val="17"/>
              </w:rPr>
              <w:t>Frontend package and contracts package both return npm audit: 0 vulnerabilities.</w:t>
            </w:r>
          </w:p>
        </w:tc>
      </w:tr>
    </w:tbl>
    <w:p>
      <w:pPr>
        <w:pStyle w:val="Heading1"/>
      </w:pPr>
      <w:r>
        <w:t>Reviewer Walkthrough</w:t>
      </w:r>
    </w:p>
    <w:p>
      <w:pPr>
        <w:pStyle w:val="ListBullet"/>
        <w:spacing w:after="60"/>
      </w:pPr>
      <w:r>
        <w:t>Open the production app and sign in with the reviewer account above.</w:t>
      </w:r>
    </w:p>
    <w:p>
      <w:pPr>
        <w:pStyle w:val="ListBullet"/>
        <w:spacing w:after="60"/>
      </w:pPr>
      <w:r>
        <w:t>Go to Jobs and open the completed Phase 2 smoke job.</w:t>
      </w:r>
    </w:p>
    <w:p>
      <w:pPr>
        <w:pStyle w:val="ListBullet"/>
        <w:spacing w:after="60"/>
      </w:pPr>
      <w:r>
        <w:t>Confirm evidence hash, job hash, anchor status, network, block number, transaction hash, and explorer link.</w:t>
      </w:r>
    </w:p>
    <w:p>
      <w:pPr>
        <w:pStyle w:val="ListBullet"/>
        <w:spacing w:after="60"/>
      </w:pPr>
      <w:r>
        <w:t>Open the Evidence detail page and review manifest/report payload/export access.</w:t>
      </w:r>
    </w:p>
    <w:p>
      <w:pPr>
        <w:pStyle w:val="ListBullet"/>
        <w:spacing w:after="60"/>
      </w:pPr>
      <w:r>
        <w:t>Open the public verify route and confirm Anchor Confirmed on mainnet.</w:t>
      </w:r>
    </w:p>
    <w:p>
      <w:pPr>
        <w:pStyle w:val="ListBullet"/>
        <w:spacing w:after="60"/>
      </w:pPr>
      <w:r>
        <w:t>Open the Snowtrace transaction link and confirm the C-Chain transaction exists.</w:t>
      </w:r>
    </w:p>
    <w:p>
      <w:pPr>
        <w:pStyle w:val="ListBullet"/>
        <w:spacing w:after="60"/>
      </w:pPr>
      <w:r>
        <w:t>Use Verify to test evidence JSON/PDF drag-and-drop verification states.</w:t>
      </w:r>
    </w:p>
    <w:p>
      <w:pPr>
        <w:pStyle w:val="ListBullet"/>
        <w:spacing w:after="60"/>
      </w:pPr>
      <w:r>
        <w:t>Open Pipelines to inspect repeatable pipeline run support.</w:t>
      </w:r>
    </w:p>
    <w:p>
      <w:pPr>
        <w:pStyle w:val="Heading1"/>
      </w:pPr>
      <w:r>
        <w:t>Review Links</w:t>
      </w:r>
    </w:p>
    <w:p>
      <w:pPr>
        <w:spacing w:after="60"/>
      </w:pPr>
      <w:r>
        <w:rPr>
          <w:b/>
        </w:rPr>
        <w:t xml:space="preserve">Production app: </w:t>
      </w:r>
      <w:hyperlink r:id="rId9">
        <w:r>
          <w:rPr>
            <w:color w:val="0B57D0"/>
            <w:u w:val="single"/>
          </w:rPr>
          <w:t>https://buildgames.forg3t.io</w:t>
        </w:r>
      </w:hyperlink>
    </w:p>
    <w:p>
      <w:pPr>
        <w:spacing w:after="60"/>
      </w:pPr>
      <w:r>
        <w:rPr>
          <w:b/>
        </w:rPr>
        <w:t xml:space="preserve">Public evidence verification page: </w:t>
      </w:r>
      <w:hyperlink r:id="rId10">
        <w:r>
          <w:rPr>
            <w:color w:val="0B57D0"/>
            <w:u w:val="single"/>
          </w:rPr>
          <w:t>https://buildgames.forg3t.io/verify/212a028eabcac5e2c3458cc9f219259d</w:t>
        </w:r>
      </w:hyperlink>
    </w:p>
    <w:p>
      <w:pPr>
        <w:spacing w:after="60"/>
      </w:pPr>
      <w:r>
        <w:rPr>
          <w:b/>
        </w:rPr>
        <w:t xml:space="preserve">Public verify Edge Function: </w:t>
      </w:r>
      <w:hyperlink r:id="rId11">
        <w:r>
          <w:rPr>
            <w:color w:val="0B57D0"/>
            <w:u w:val="single"/>
          </w:rPr>
          <w:t>https://xewxfsdrtqpthkpbhbzp.supabase.co/functions/v1/verify-evidence?token=212a028eabcac5e2c3458cc9f219259d</w:t>
        </w:r>
      </w:hyperlink>
    </w:p>
    <w:p>
      <w:pPr>
        <w:spacing w:after="60"/>
      </w:pPr>
      <w:r>
        <w:rPr>
          <w:b/>
        </w:rPr>
        <w:t xml:space="preserve">Avalanche mainnet transaction: </w:t>
      </w:r>
      <w:hyperlink r:id="rId12">
        <w:r>
          <w:rPr>
            <w:color w:val="0B57D0"/>
            <w:u w:val="single"/>
          </w:rPr>
          <w:t>https://snowtrace.io/tx/0x7af8b0376079571f2a4ff46ff76e6cdfb27f710ea4b2434c41bfdf25a167e7be</w:t>
        </w:r>
      </w:hyperlink>
    </w:p>
    <w:p>
      <w:pPr>
        <w:spacing w:after="60"/>
      </w:pPr>
      <w:r>
        <w:rPr>
          <w:b/>
        </w:rPr>
        <w:t xml:space="preserve">Avalanche contract address: </w:t>
      </w:r>
      <w:hyperlink r:id="rId13">
        <w:r>
          <w:rPr>
            <w:color w:val="0B57D0"/>
            <w:u w:val="single"/>
          </w:rPr>
          <w:t>https://snowtrace.io/address/0x20E772a60CEE7D8E6706E698B129FD917c3936bf</w:t>
        </w:r>
      </w:hyperlink>
    </w:p>
    <w:p>
      <w:pPr>
        <w:pStyle w:val="Heading1"/>
      </w:pPr>
      <w:r>
        <w:t>Commands and Verification Outputs</w:t>
      </w:r>
    </w:p>
    <w:tbl>
      <w:tblPr>
        <w:tblStyle w:val="TableGrid"/>
        <w:tblW w:type="auto" w:w="0"/>
        <w:jc w:val="center"/>
        <w:tblLook w:firstColumn="1" w:firstRow="1" w:lastColumn="0" w:lastRow="0" w:noHBand="0" w:noVBand="1" w:val="04A0"/>
      </w:tblPr>
      <w:tblGrid>
        <w:gridCol w:w="5040"/>
        <w:gridCol w:w="5040"/>
      </w:tblGrid>
      <w:tr>
        <w:tc>
          <w:tcPr>
            <w:tcW w:type="dxa" w:w="3888"/>
            <w:vAlign w:val="center"/>
            <w:shd w:fill="1F2937"/>
          </w:tcPr>
          <w:p>
            <w:pPr>
              <w:spacing w:after="0"/>
            </w:pPr>
            <w:r/>
            <w:r>
              <w:rPr>
                <w:b/>
                <w:color w:val="FFFFFF"/>
                <w:sz w:val="17"/>
              </w:rPr>
              <w:t>Command</w:t>
            </w:r>
          </w:p>
        </w:tc>
        <w:tc>
          <w:tcPr>
            <w:tcW w:type="dxa" w:w="5328"/>
            <w:vAlign w:val="center"/>
            <w:shd w:fill="1F2937"/>
          </w:tcPr>
          <w:p>
            <w:pPr>
              <w:spacing w:after="0"/>
            </w:pPr>
            <w:r/>
            <w:r>
              <w:rPr>
                <w:b/>
                <w:color w:val="FFFFFF"/>
                <w:sz w:val="17"/>
              </w:rPr>
              <w:t>Result</w:t>
            </w:r>
          </w:p>
        </w:tc>
      </w:tr>
      <w:tr>
        <w:tc>
          <w:tcPr>
            <w:tcW w:type="dxa" w:w="3888"/>
            <w:vAlign w:val="center"/>
          </w:tcPr>
          <w:p>
            <w:pPr>
              <w:spacing w:after="0"/>
            </w:pPr>
            <w:r/>
            <w:r>
              <w:rPr>
                <w:b w:val="0"/>
                <w:sz w:val="17"/>
              </w:rPr>
              <w:t>npm audit</w:t>
            </w:r>
          </w:p>
        </w:tc>
        <w:tc>
          <w:tcPr>
            <w:tcW w:type="dxa" w:w="5328"/>
            <w:vAlign w:val="center"/>
          </w:tcPr>
          <w:p>
            <w:pPr>
              <w:spacing w:after="0"/>
            </w:pPr>
            <w:r/>
            <w:r>
              <w:rPr>
                <w:b w:val="0"/>
                <w:sz w:val="17"/>
              </w:rPr>
              <w:t>0 vulnerabilities in project package</w:t>
            </w:r>
          </w:p>
        </w:tc>
      </w:tr>
      <w:tr>
        <w:tc>
          <w:tcPr>
            <w:tcW w:type="dxa" w:w="3888"/>
            <w:vAlign w:val="center"/>
          </w:tcPr>
          <w:p>
            <w:pPr>
              <w:spacing w:after="0"/>
            </w:pPr>
            <w:r/>
            <w:r>
              <w:rPr>
                <w:b w:val="0"/>
                <w:sz w:val="17"/>
              </w:rPr>
              <w:t>npm test</w:t>
            </w:r>
          </w:p>
        </w:tc>
        <w:tc>
          <w:tcPr>
            <w:tcW w:type="dxa" w:w="5328"/>
            <w:vAlign w:val="center"/>
          </w:tcPr>
          <w:p>
            <w:pPr>
              <w:spacing w:after="0"/>
            </w:pPr>
            <w:r/>
            <w:r>
              <w:rPr>
                <w:b w:val="0"/>
                <w:sz w:val="17"/>
              </w:rPr>
              <w:t>4 test files passed, 15 tests passed</w:t>
            </w:r>
          </w:p>
        </w:tc>
      </w:tr>
      <w:tr>
        <w:tc>
          <w:tcPr>
            <w:tcW w:type="dxa" w:w="3888"/>
            <w:vAlign w:val="center"/>
          </w:tcPr>
          <w:p>
            <w:pPr>
              <w:spacing w:after="0"/>
            </w:pPr>
            <w:r/>
            <w:r>
              <w:rPr>
                <w:b w:val="0"/>
                <w:sz w:val="17"/>
              </w:rPr>
              <w:t>npm run lint</w:t>
            </w:r>
          </w:p>
        </w:tc>
        <w:tc>
          <w:tcPr>
            <w:tcW w:type="dxa" w:w="5328"/>
            <w:vAlign w:val="center"/>
          </w:tcPr>
          <w:p>
            <w:pPr>
              <w:spacing w:after="0"/>
            </w:pPr>
            <w:r/>
            <w:r>
              <w:rPr>
                <w:b w:val="0"/>
                <w:sz w:val="17"/>
              </w:rPr>
              <w:t>Passed</w:t>
            </w:r>
          </w:p>
        </w:tc>
      </w:tr>
      <w:tr>
        <w:tc>
          <w:tcPr>
            <w:tcW w:type="dxa" w:w="3888"/>
            <w:vAlign w:val="center"/>
          </w:tcPr>
          <w:p>
            <w:pPr>
              <w:spacing w:after="0"/>
            </w:pPr>
            <w:r/>
            <w:r>
              <w:rPr>
                <w:b w:val="0"/>
                <w:sz w:val="17"/>
              </w:rPr>
              <w:t>npm run build</w:t>
            </w:r>
          </w:p>
        </w:tc>
        <w:tc>
          <w:tcPr>
            <w:tcW w:type="dxa" w:w="5328"/>
            <w:vAlign w:val="center"/>
          </w:tcPr>
          <w:p>
            <w:pPr>
              <w:spacing w:after="0"/>
            </w:pPr>
            <w:r/>
            <w:r>
              <w:rPr>
                <w:b w:val="0"/>
                <w:sz w:val="17"/>
              </w:rPr>
              <w:t>Passed with Vite 8 production build</w:t>
            </w:r>
          </w:p>
        </w:tc>
      </w:tr>
      <w:tr>
        <w:tc>
          <w:tcPr>
            <w:tcW w:type="dxa" w:w="3888"/>
            <w:vAlign w:val="center"/>
          </w:tcPr>
          <w:p>
            <w:pPr>
              <w:spacing w:after="0"/>
            </w:pPr>
            <w:r/>
            <w:r>
              <w:rPr>
                <w:b w:val="0"/>
                <w:sz w:val="17"/>
              </w:rPr>
              <w:t>cd contracts; npm audit</w:t>
            </w:r>
          </w:p>
        </w:tc>
        <w:tc>
          <w:tcPr>
            <w:tcW w:type="dxa" w:w="5328"/>
            <w:vAlign w:val="center"/>
          </w:tcPr>
          <w:p>
            <w:pPr>
              <w:spacing w:after="0"/>
            </w:pPr>
            <w:r/>
            <w:r>
              <w:rPr>
                <w:b w:val="0"/>
                <w:sz w:val="17"/>
              </w:rPr>
              <w:t>0 vulnerabilities in contracts package</w:t>
            </w:r>
          </w:p>
        </w:tc>
      </w:tr>
      <w:tr>
        <w:tc>
          <w:tcPr>
            <w:tcW w:type="dxa" w:w="3888"/>
            <w:vAlign w:val="center"/>
          </w:tcPr>
          <w:p>
            <w:pPr>
              <w:spacing w:after="0"/>
            </w:pPr>
            <w:r/>
            <w:r>
              <w:rPr>
                <w:b w:val="0"/>
                <w:sz w:val="17"/>
              </w:rPr>
              <w:t>cd contracts; npm run compile</w:t>
            </w:r>
          </w:p>
        </w:tc>
        <w:tc>
          <w:tcPr>
            <w:tcW w:type="dxa" w:w="5328"/>
            <w:vAlign w:val="center"/>
          </w:tcPr>
          <w:p>
            <w:pPr>
              <w:spacing w:after="0"/>
            </w:pPr>
            <w:r/>
            <w:r>
              <w:rPr>
                <w:b w:val="0"/>
                <w:sz w:val="17"/>
              </w:rPr>
              <w:t>Passed with Node 22.13+ / Node 24 runtime</w:t>
            </w:r>
          </w:p>
        </w:tc>
      </w:tr>
      <w:tr>
        <w:tc>
          <w:tcPr>
            <w:tcW w:type="dxa" w:w="3888"/>
            <w:vAlign w:val="center"/>
          </w:tcPr>
          <w:p>
            <w:pPr>
              <w:spacing w:after="0"/>
            </w:pPr>
            <w:r/>
            <w:r>
              <w:rPr>
                <w:b w:val="0"/>
                <w:sz w:val="17"/>
              </w:rPr>
              <w:t>contracts local deploy smoke</w:t>
            </w:r>
          </w:p>
        </w:tc>
        <w:tc>
          <w:tcPr>
            <w:tcW w:type="dxa" w:w="5328"/>
            <w:vAlign w:val="center"/>
          </w:tcPr>
          <w:p>
            <w:pPr>
              <w:spacing w:after="0"/>
            </w:pPr>
            <w:r/>
            <w:r>
              <w:rPr>
                <w:b w:val="0"/>
                <w:sz w:val="17"/>
              </w:rPr>
              <w:t>Passed on local Hardhat simulated network</w:t>
            </w:r>
          </w:p>
        </w:tc>
      </w:tr>
    </w:tbl>
    <w:p>
      <w:pPr>
        <w:pStyle w:val="Heading1"/>
      </w:pPr>
      <w:r>
        <w:t>Repository Evidence Files</w:t>
      </w:r>
    </w:p>
    <w:p>
      <w:pPr>
        <w:pStyle w:val="ListBullet"/>
        <w:spacing w:after="60"/>
      </w:pPr>
      <w:r>
        <w:t>README.md and project/README.md</w:t>
      </w:r>
    </w:p>
    <w:p>
      <w:pPr>
        <w:pStyle w:val="ListBullet"/>
        <w:spacing w:after="60"/>
      </w:pPr>
      <w:r>
        <w:t>project/docs/phase2-readiness.md</w:t>
      </w:r>
    </w:p>
    <w:p>
      <w:pPr>
        <w:pStyle w:val="ListBullet"/>
        <w:spacing w:after="60"/>
      </w:pPr>
      <w:r>
        <w:t>project/docs/api/evidenceAnchoring.md</w:t>
      </w:r>
    </w:p>
    <w:p>
      <w:pPr>
        <w:pStyle w:val="ListBullet"/>
        <w:spacing w:after="60"/>
      </w:pPr>
      <w:r>
        <w:t>project/scripts/phase2-smoke.mjs</w:t>
      </w:r>
    </w:p>
    <w:p>
      <w:pPr>
        <w:pStyle w:val="ListBullet"/>
        <w:spacing w:after="60"/>
      </w:pPr>
      <w:r>
        <w:t>project/supabase/functions/anchors/index.ts</w:t>
      </w:r>
    </w:p>
    <w:p>
      <w:pPr>
        <w:pStyle w:val="ListBullet"/>
        <w:spacing w:after="60"/>
      </w:pPr>
      <w:r>
        <w:t>project/supabase/functions/verify-evidence/index.ts</w:t>
      </w:r>
    </w:p>
    <w:p>
      <w:pPr>
        <w:pStyle w:val="ListBullet"/>
        <w:spacing w:after="60"/>
      </w:pPr>
      <w:r>
        <w:t>project/supabase/functions/jobs/index.ts</w:t>
      </w:r>
    </w:p>
    <w:p>
      <w:pPr>
        <w:pStyle w:val="ListBullet"/>
        <w:spacing w:after="60"/>
      </w:pPr>
      <w:r>
        <w:t>project/supabase/functions/pipelines/index.ts</w:t>
      </w:r>
    </w:p>
    <w:p>
      <w:pPr>
        <w:pStyle w:val="ListBullet"/>
        <w:spacing w:after="60"/>
      </w:pPr>
      <w:r>
        <w:t>project/supabase/functions/reports/index.ts</w:t>
      </w:r>
    </w:p>
    <w:p>
      <w:pPr>
        <w:pStyle w:val="ListBullet"/>
        <w:spacing w:after="60"/>
      </w:pPr>
      <w:r>
        <w:t>project/supabase/functions/integrations/index.ts</w:t>
      </w:r>
    </w:p>
    <w:p>
      <w:pPr>
        <w:pStyle w:val="ListBullet"/>
        <w:spacing w:after="60"/>
      </w:pPr>
      <w:r>
        <w:t>project/contracts/contracts/ForgEvidenceAnchor.sol</w:t>
      </w:r>
    </w:p>
    <w:p>
      <w:pPr>
        <w:pStyle w:val="ListBullet"/>
        <w:spacing w:after="60"/>
      </w:pPr>
      <w:r>
        <w:t>project/contracts/hardhat.config.ts</w:t>
      </w:r>
    </w:p>
    <w:p>
      <w:pPr>
        <w:pStyle w:val="ListBullet"/>
        <w:spacing w:after="60"/>
      </w:pPr>
      <w:r>
        <w:t>project/shared/workflows.test.ts and project/src/lib/domainUtils.test.ts</w:t>
      </w:r>
    </w:p>
    <w:p>
      <w:pPr>
        <w:pStyle w:val="Heading1"/>
      </w:pPr>
      <w:r>
        <w:t>Explicit Non-Code Exclusions</w:t>
      </w:r>
    </w:p>
    <w:p>
      <w:r>
        <w:t>The following items are not claimed as completed in this repository packet because they require external proof or manual review artifacts:</w:t>
      </w:r>
    </w:p>
    <w:p>
      <w:pPr>
        <w:pStyle w:val="ListBullet"/>
        <w:spacing w:after="60"/>
      </w:pPr>
      <w:r>
        <w:t>Enterprise pilot approval</w:t>
      </w:r>
    </w:p>
    <w:p>
      <w:pPr>
        <w:pStyle w:val="ListBullet"/>
        <w:spacing w:after="60"/>
      </w:pPr>
      <w:r>
        <w:t>Customer attestation</w:t>
      </w:r>
    </w:p>
    <w:p>
      <w:pPr>
        <w:pStyle w:val="ListBullet"/>
        <w:spacing w:after="60"/>
      </w:pPr>
      <w:r>
        <w:t>Real customer usage evidence</w:t>
      </w:r>
    </w:p>
    <w:p>
      <w:pPr>
        <w:pStyle w:val="ListBullet"/>
        <w:spacing w:after="60"/>
      </w:pPr>
      <w:r>
        <w:t>Founder/sales material</w:t>
      </w:r>
    </w:p>
    <w:p>
      <w:pPr>
        <w:pStyle w:val="ListBullet"/>
        <w:spacing w:after="60"/>
      </w:pPr>
      <w:r>
        <w:t>Recorded demo/video</w:t>
      </w:r>
    </w:p>
    <w:p>
      <w:pPr>
        <w:pStyle w:val="ListBullet"/>
        <w:spacing w:after="60"/>
      </w:pPr>
      <w:r>
        <w:t>Optional Snowtrace contract source verification, if the reviewer requests it separately</w:t>
      </w:r>
    </w:p>
    <w:p>
      <w:pPr>
        <w:pStyle w:val="Heading1"/>
      </w:pPr>
      <w:r>
        <w:t>Known Review Risks</w:t>
      </w:r>
    </w:p>
    <w:p>
      <w:pPr>
        <w:pStyle w:val="ListBullet"/>
        <w:spacing w:after="60"/>
      </w:pPr>
      <w:r>
        <w:t>Black-box suppression verification is supported; internal model-weight deletion is not claimed unless an integration supplies verifiable internal evidence.</w:t>
      </w:r>
    </w:p>
    <w:p>
      <w:pPr>
        <w:pStyle w:val="ListBullet"/>
        <w:spacing w:after="60"/>
      </w:pPr>
      <w:r>
        <w:t>Contracts now use Hardhat 3 to clear audit findings, which requires Node 22.13.0 or newer.</w:t>
      </w:r>
    </w:p>
    <w:p>
      <w:pPr>
        <w:pStyle w:val="ListBullet"/>
        <w:spacing w:after="60"/>
      </w:pPr>
      <w:r>
        <w:t>Hardhat automatic Snowtrace source verification plugin was removed because it reintroduced audited legacy ethers dependencies; manual Snowtrace verification remains possible.</w:t>
      </w:r>
    </w:p>
    <w:p>
      <w:pPr>
        <w:pStyle w:val="ListBullet"/>
        <w:spacing w:after="60"/>
      </w:pPr>
      <w:r>
        <w:t>The reviewer account is live and should be rotated after review.</w:t>
      </w:r>
    </w:p>
    <w:p>
      <w:pPr>
        <w:pStyle w:val="Heading1"/>
      </w:pPr>
      <w:r>
        <w:t>Final Code-Side Readiness Statement</w:t>
      </w:r>
    </w:p>
    <w:p>
      <w:r>
        <w:t>All repository-controlled Phase 2 product and code milestones are implemented or strengthened. Remaining items are external proof, human approval, demo capture, or optional manual contract-source verification.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E84142"/>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ildgames.forg3t.io" TargetMode="External"/><Relationship Id="rId10" Type="http://schemas.openxmlformats.org/officeDocument/2006/relationships/hyperlink" Target="https://buildgames.forg3t.io/verify/212a028eabcac5e2c3458cc9f219259d" TargetMode="External"/><Relationship Id="rId11" Type="http://schemas.openxmlformats.org/officeDocument/2006/relationships/hyperlink" Target="https://xewxfsdrtqpthkpbhbzp.supabase.co/functions/v1/verify-evidence?token=212a028eabcac5e2c3458cc9f219259d" TargetMode="External"/><Relationship Id="rId12" Type="http://schemas.openxmlformats.org/officeDocument/2006/relationships/hyperlink" Target="https://snowtrace.io/tx/0x7af8b0376079571f2a4ff46ff76e6cdfb27f710ea4b2434c41bfdf25a167e7be" TargetMode="External"/><Relationship Id="rId13" Type="http://schemas.openxmlformats.org/officeDocument/2006/relationships/hyperlink" Target="https://snowtrace.io/address/0x20E772a60CEE7D8E6706E698B129FD917c3936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