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Calibri" w:hAnsi="Calibri"/>
          <w:b/>
          <w:color w:val="111111"/>
          <w:sz w:val="48"/>
        </w:rPr>
        <w:t>Forg3t Protocol</w:t>
      </w:r>
    </w:p>
    <w:p>
      <w:pPr>
        <w:spacing w:before="0" w:after="360" w:line="264" w:lineRule="auto"/>
        <w:jc w:val="center"/>
      </w:pPr>
      <w:r>
        <w:rPr>
          <w:rFonts w:ascii="Calibri" w:hAnsi="Calibri"/>
          <w:color w:val="4B5563"/>
          <w:sz w:val="24"/>
        </w:rPr>
        <w:t>Avalanche Grant Phase 2 Completion Packet</w:t>
      </w:r>
    </w:p>
    <w:p>
      <w:pPr>
        <w:spacing w:before="0" w:after="140" w:line="264" w:lineRule="auto"/>
      </w:pPr>
      <w:r>
        <w:rPr>
          <w:rFonts w:ascii="Calibri" w:hAnsi="Calibri"/>
          <w:color w:val="111111"/>
          <w:sz w:val="21"/>
        </w:rPr>
        <w:t>This packet is prepared for Avalanche review and documents completion evidence across production Avalanche anchoring, auditor verification, job and evidence UX, documentation, pilot evidence, RBAC and exports, repeatable pipelines, and API-based AI integrations.</w:t>
      </w:r>
    </w:p>
    <w:p>
      <w:pPr>
        <w:spacing w:before="0" w:after="40" w:line="259" w:lineRule="auto"/>
      </w:pPr>
      <w:r>
        <w:rPr>
          <w:rFonts w:ascii="Calibri" w:hAnsi="Calibri"/>
          <w:b/>
          <w:color w:val="111111"/>
          <w:sz w:val="20"/>
        </w:rPr>
        <w:t xml:space="preserve">Prepared for: </w:t>
      </w:r>
      <w:r>
        <w:rPr>
          <w:rFonts w:ascii="Calibri" w:hAnsi="Calibri"/>
          <w:color w:val="111111"/>
          <w:sz w:val="20"/>
        </w:rPr>
        <w:t>Avalanche Grant Review</w:t>
      </w:r>
    </w:p>
    <w:p>
      <w:pPr>
        <w:spacing w:before="0" w:after="40" w:line="259" w:lineRule="auto"/>
      </w:pPr>
      <w:r>
        <w:rPr>
          <w:rFonts w:ascii="Calibri" w:hAnsi="Calibri"/>
          <w:b/>
          <w:color w:val="111111"/>
          <w:sz w:val="20"/>
        </w:rPr>
        <w:t xml:space="preserve">Prepared date: </w:t>
      </w:r>
      <w:r>
        <w:rPr>
          <w:rFonts w:ascii="Calibri" w:hAnsi="Calibri"/>
          <w:color w:val="111111"/>
          <w:sz w:val="20"/>
        </w:rPr>
        <w:t>June 4, 2026</w:t>
      </w:r>
    </w:p>
    <w:p>
      <w:pPr>
        <w:spacing w:before="0" w:after="40" w:line="259" w:lineRule="auto"/>
      </w:pPr>
      <w:r>
        <w:rPr>
          <w:rFonts w:ascii="Calibri" w:hAnsi="Calibri"/>
          <w:b/>
          <w:color w:val="111111"/>
          <w:sz w:val="20"/>
        </w:rPr>
        <w:t xml:space="preserve">Live app: </w:t>
      </w:r>
      <w:r>
        <w:rPr>
          <w:rFonts w:ascii="Calibri" w:hAnsi="Calibri"/>
          <w:color w:val="111111"/>
          <w:sz w:val="20"/>
        </w:rPr>
        <w:t>https://buildgames.forg3t.io</w:t>
      </w:r>
    </w:p>
    <w:p>
      <w:pPr>
        <w:spacing w:before="0" w:after="40" w:line="259" w:lineRule="auto"/>
      </w:pPr>
      <w:r>
        <w:rPr>
          <w:rFonts w:ascii="Calibri" w:hAnsi="Calibri"/>
          <w:b/>
          <w:color w:val="111111"/>
          <w:sz w:val="20"/>
        </w:rPr>
        <w:t xml:space="preserve">GitHub: </w:t>
      </w:r>
      <w:r>
        <w:rPr>
          <w:rFonts w:ascii="Calibri" w:hAnsi="Calibri"/>
          <w:color w:val="111111"/>
          <w:sz w:val="20"/>
        </w:rPr>
        <w:t>https://github.com/Alvinagile/Forg3t-Avax</w:t>
      </w:r>
    </w:p>
    <w:p>
      <w:pPr>
        <w:spacing w:before="0" w:after="40" w:line="259" w:lineRule="auto"/>
      </w:pPr>
      <w:r>
        <w:rPr>
          <w:rFonts w:ascii="Calibri" w:hAnsi="Calibri"/>
          <w:b/>
          <w:color w:val="111111"/>
          <w:sz w:val="20"/>
        </w:rPr>
        <w:t xml:space="preserve">Avalanche network: </w:t>
      </w:r>
      <w:r>
        <w:rPr>
          <w:rFonts w:ascii="Calibri" w:hAnsi="Calibri"/>
          <w:color w:val="111111"/>
          <w:sz w:val="20"/>
        </w:rPr>
        <w:t>C-Chain mainnet, chainId 43114</w:t>
      </w:r>
    </w:p>
    <w:p>
      <w:pPr>
        <w:spacing w:before="0" w:after="40" w:line="259" w:lineRule="auto"/>
      </w:pPr>
      <w:r>
        <w:rPr>
          <w:rFonts w:ascii="Calibri" w:hAnsi="Calibri"/>
          <w:b/>
          <w:color w:val="111111"/>
          <w:sz w:val="20"/>
        </w:rPr>
        <w:t xml:space="preserve">Anchor contract: </w:t>
      </w:r>
      <w:r>
        <w:rPr>
          <w:rFonts w:ascii="Calibri" w:hAnsi="Calibri"/>
          <w:color w:val="111111"/>
          <w:sz w:val="20"/>
        </w:rPr>
        <w:t>0x20E772a60CEE7D8E6706E698B129FD917c3936bf</w:t>
      </w:r>
    </w:p>
    <w:p>
      <w:pPr>
        <w:spacing w:before="0" w:after="40" w:line="259" w:lineRule="auto"/>
      </w:pPr>
      <w:r>
        <w:rPr>
          <w:rFonts w:ascii="Calibri" w:hAnsi="Calibri"/>
          <w:b/>
          <w:color w:val="111111"/>
          <w:sz w:val="20"/>
        </w:rPr>
        <w:t xml:space="preserve">Latest proof transaction: </w:t>
      </w:r>
      <w:r>
        <w:rPr>
          <w:rFonts w:ascii="Calibri" w:hAnsi="Calibri"/>
          <w:color w:val="111111"/>
          <w:sz w:val="20"/>
        </w:rPr>
        <w:t>0x4f9d253d097808406777ba1b9d67b0ac4baac44d34d1d101cea4a3721559c69b</w:t>
      </w:r>
    </w:p>
    <w:p>
      <w:pPr>
        <w:spacing w:before="0" w:after="40" w:line="259" w:lineRule="auto"/>
      </w:pPr>
      <w:r>
        <w:rPr>
          <w:rFonts w:ascii="Calibri" w:hAnsi="Calibri"/>
          <w:b/>
          <w:color w:val="111111"/>
          <w:sz w:val="20"/>
        </w:rPr>
        <w:t xml:space="preserve">Latest proof block: </w:t>
      </w:r>
      <w:r>
        <w:rPr>
          <w:rFonts w:ascii="Calibri" w:hAnsi="Calibri"/>
          <w:color w:val="111111"/>
          <w:sz w:val="20"/>
        </w:rPr>
        <w:t>87016942</w:t>
      </w:r>
    </w:p>
    <w:p>
      <w:pPr>
        <w:spacing w:before="0" w:after="60" w:line="264" w:lineRule="auto"/>
      </w:pPr>
      <w:r>
        <w:rPr>
          <w:rFonts w:ascii="Calibri" w:hAnsi="Calibri"/>
          <w:b/>
          <w:color w:val="111111"/>
          <w:sz w:val="19"/>
        </w:rPr>
        <w:t xml:space="preserve">GitHub repository: </w:t>
      </w:r>
      <w:hyperlink r:id="rId10">
        <w:r>
          <w:rPr>
            <w:color w:val="2E74B5"/>
            <w:u w:val="single"/>
          </w:rPr>
          <w:t>https://github.com/Alvinagile/Forg3t-Avax</w:t>
        </w:r>
      </w:hyperlink>
    </w:p>
    <w:p>
      <w:pPr>
        <w:spacing w:before="0" w:after="60" w:line="264" w:lineRule="auto"/>
      </w:pPr>
      <w:r>
        <w:rPr>
          <w:rFonts w:ascii="Calibri" w:hAnsi="Calibri"/>
          <w:b/>
          <w:color w:val="111111"/>
          <w:sz w:val="19"/>
        </w:rPr>
        <w:t xml:space="preserve">Live production app: </w:t>
      </w:r>
      <w:hyperlink r:id="rId11">
        <w:r>
          <w:rPr>
            <w:color w:val="2E74B5"/>
            <w:u w:val="single"/>
          </w:rPr>
          <w:t>https://buildgames.forg3t.io</w:t>
        </w:r>
      </w:hyperlink>
    </w:p>
    <w:p>
      <w:pPr>
        <w:spacing w:before="0" w:after="60" w:line="264" w:lineRule="auto"/>
      </w:pPr>
      <w:r>
        <w:rPr>
          <w:rFonts w:ascii="Calibri" w:hAnsi="Calibri"/>
          <w:b/>
          <w:color w:val="111111"/>
          <w:sz w:val="19"/>
        </w:rPr>
        <w:t xml:space="preserve">Medium architecture article: </w:t>
      </w:r>
      <w:hyperlink r:id="rId12">
        <w:r>
          <w:rPr>
            <w:color w:val="2E74B5"/>
            <w:u w:val="single"/>
          </w:rPr>
          <w:t>https://medium.com/@aiunlearning/forg3t-protocol-and-avalanche-evidence-anchoring-7310bf22226e</w:t>
        </w:r>
      </w:hyperlink>
    </w:p>
    <w:p>
      <w:pPr>
        <w:spacing w:before="0" w:after="60" w:line="264" w:lineRule="auto"/>
      </w:pPr>
      <w:r>
        <w:rPr>
          <w:rFonts w:ascii="Calibri" w:hAnsi="Calibri"/>
          <w:b/>
          <w:color w:val="111111"/>
          <w:sz w:val="19"/>
        </w:rPr>
        <w:t xml:space="preserve">Signed pilot agreement: </w:t>
      </w:r>
      <w:hyperlink r:id="rId13">
        <w:r>
          <w:rPr>
            <w:color w:val="2E74B5"/>
            <w:u w:val="single"/>
          </w:rPr>
          <w:t>https://drive.google.com/file/d/1XHKNlS2EuiAAWFcff0P-Wgo-uuABiNUg/view?usp=sharing</w:t>
        </w:r>
      </w:hyperlink>
    </w:p>
    <w:p>
      <w:pPr>
        <w:spacing w:before="0" w:after="60" w:line="264" w:lineRule="auto"/>
      </w:pPr>
      <w:r>
        <w:rPr>
          <w:rFonts w:ascii="Calibri" w:hAnsi="Calibri"/>
          <w:b/>
          <w:color w:val="111111"/>
          <w:sz w:val="19"/>
        </w:rPr>
        <w:t xml:space="preserve">Latest public verify route: </w:t>
      </w:r>
      <w:hyperlink r:id="rId14">
        <w:r>
          <w:rPr>
            <w:color w:val="2E74B5"/>
            <w:u w:val="single"/>
          </w:rPr>
          <w:t>https://buildgames.forg3t.io/verify/636919b6e97441df953d98278bbc0efe</w:t>
        </w:r>
      </w:hyperlink>
    </w:p>
    <w:p>
      <w:pPr>
        <w:spacing w:before="0" w:after="60" w:line="264" w:lineRule="auto"/>
      </w:pPr>
      <w:r>
        <w:rPr>
          <w:rFonts w:ascii="Calibri" w:hAnsi="Calibri"/>
          <w:b/>
          <w:color w:val="111111"/>
          <w:sz w:val="19"/>
        </w:rPr>
        <w:t xml:space="preserve">Latest Snowtrace transaction: </w:t>
      </w:r>
      <w:hyperlink r:id="rId15">
        <w:r>
          <w:rPr>
            <w:color w:val="2E74B5"/>
            <w:u w:val="single"/>
          </w:rPr>
          <w:t>https://snowtrace.io/tx/0x4f9d253d097808406777ba1b9d67b0ac4baac44d34d1d101cea4a3721559c69b</w:t>
        </w:r>
      </w:hyperlink>
    </w:p>
    <w:p>
      <w:r>
        <w:br w:type="page"/>
      </w:r>
    </w:p>
    <w:p>
      <w:pPr>
        <w:pStyle w:val="Heading1"/>
        <w:spacing w:before="280" w:after="120" w:line="264" w:lineRule="auto"/>
      </w:pPr>
      <w:r>
        <w:rPr>
          <w:rFonts w:ascii="Calibri" w:hAnsi="Calibri"/>
          <w:b/>
          <w:color w:val="2E74B5"/>
          <w:sz w:val="32"/>
        </w:rPr>
        <w:t>Submission Readiness</w:t>
      </w:r>
    </w:p>
    <w:p>
      <w:pPr>
        <w:spacing w:before="0" w:after="140" w:line="264" w:lineRule="auto"/>
      </w:pPr>
      <w:r>
        <w:rPr>
          <w:rFonts w:ascii="Calibri" w:hAnsi="Calibri"/>
          <w:color w:val="111111"/>
          <w:sz w:val="21"/>
        </w:rPr>
        <w:t>All eight Avalanche Grant Phase 2 milestones are marked Completed in this packet. The repository contains code-side implementation evidence, the production app contains reviewer-facing workflows, the public Medium article covers technical architecture, and the signed HMA pilot agreement is included as pilot evidence.</w:t>
      </w:r>
    </w:p>
    <w:p>
      <w:pPr>
        <w:spacing w:before="0" w:after="140" w:line="264" w:lineRule="auto"/>
      </w:pPr>
      <w:r>
        <w:rPr>
          <w:rFonts w:ascii="Calibri" w:hAnsi="Calibri"/>
          <w:color w:val="111111"/>
          <w:sz w:val="21"/>
        </w:rPr>
        <w:t>The Avalanche anchor proof is mainnet, not testnet: the C-Chain RPC returned chainId 43114, contract bytecode exists at the anchor contract address, the transaction receipt status is 0x1, and the same contract/transaction check on Fuji returned no contract bytecode and no receipt.</w:t>
      </w:r>
    </w:p>
    <w:tbl>
      <w:tblPr>
        <w:tblW w:type="auto" w:w="0"/>
        <w:jc w:val="center"/>
        <w:tblLayout w:type="fixed"/>
        <w:tblLook w:firstColumn="1" w:firstRow="1" w:lastColumn="0" w:lastRow="0" w:noHBand="0" w:noVBand="1" w:val="04A0"/>
      </w:tblPr>
      <w:tblGrid>
        <w:gridCol w:w="3744"/>
        <w:gridCol w:w="1440"/>
        <w:gridCol w:w="3960"/>
      </w:tblGrid>
      <w:tr>
        <w:tc>
          <w:tcPr>
            <w:tcW w:type="dxa" w:w="3120"/>
            <w:shd w:fill="F2F4F7"/>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7"/>
              </w:rPr>
              <w:t>Milestone</w:t>
            </w:r>
          </w:p>
        </w:tc>
        <w:tc>
          <w:tcPr>
            <w:tcW w:type="dxa" w:w="3120"/>
            <w:shd w:fill="F2F4F7"/>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7"/>
              </w:rPr>
              <w:t>Status</w:t>
            </w:r>
          </w:p>
        </w:tc>
        <w:tc>
          <w:tcPr>
            <w:tcW w:type="dxa" w:w="3120"/>
            <w:shd w:fill="F2F4F7"/>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7"/>
              </w:rPr>
              <w:t>Key proof</w:t>
            </w:r>
          </w:p>
        </w:tc>
      </w:tr>
      <w:tr>
        <w:tc>
          <w:tcPr>
            <w:tcW w:type="dxa" w:w="374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1. Launch production grade evidence anchoring on Avalanche</w:t>
            </w:r>
          </w:p>
        </w:tc>
        <w:tc>
          <w:tcPr>
            <w:tcW w:type="dxa" w:w="144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0F766E"/>
                <w:sz w:val="16"/>
              </w:rPr>
              <w:t>Completed</w:t>
            </w:r>
          </w:p>
        </w:tc>
        <w:tc>
          <w:tcPr>
            <w:tcW w:type="dxa" w:w="396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Avalanche C-Chain mainnet transaction, contract bytecode, receipt success, block number, and Snowtrace proof.</w:t>
            </w:r>
          </w:p>
        </w:tc>
      </w:tr>
      <w:tr>
        <w:tc>
          <w:tcPr>
            <w:tcW w:type="dxa" w:w="374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2. Ship drag and drop verification flow for auditors and third parties</w:t>
            </w:r>
          </w:p>
        </w:tc>
        <w:tc>
          <w:tcPr>
            <w:tcW w:type="dxa" w:w="144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0F766E"/>
                <w:sz w:val="16"/>
              </w:rPr>
              <w:t>Completed</w:t>
            </w:r>
          </w:p>
        </w:tc>
        <w:tc>
          <w:tcPr>
            <w:tcW w:type="dxa" w:w="396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Public verification route supports JSON/PDF upload, anchor-confirmed state, local hash comparison, and auditor-facing result states.</w:t>
            </w:r>
          </w:p>
        </w:tc>
      </w:tr>
      <w:tr>
        <w:tc>
          <w:tcPr>
            <w:tcW w:type="dxa" w:w="374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3. Complete job history, transaction visibility, and evidence verification UX</w:t>
            </w:r>
          </w:p>
        </w:tc>
        <w:tc>
          <w:tcPr>
            <w:tcW w:type="dxa" w:w="144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0F766E"/>
                <w:sz w:val="16"/>
              </w:rPr>
              <w:t>Completed</w:t>
            </w:r>
          </w:p>
        </w:tc>
        <w:tc>
          <w:tcPr>
            <w:tcW w:type="dxa" w:w="396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Populated reviewer workspace shows completed jobs, evidence readiness, confirmed anchor state, and transaction hash visibility.</w:t>
            </w:r>
          </w:p>
        </w:tc>
      </w:tr>
      <w:tr>
        <w:tc>
          <w:tcPr>
            <w:tcW w:type="dxa" w:w="374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4. Publish technical architecture and compliance workflow documentation</w:t>
            </w:r>
          </w:p>
        </w:tc>
        <w:tc>
          <w:tcPr>
            <w:tcW w:type="dxa" w:w="144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0F766E"/>
                <w:sz w:val="16"/>
              </w:rPr>
              <w:t>Completed</w:t>
            </w:r>
          </w:p>
        </w:tc>
        <w:tc>
          <w:tcPr>
            <w:tcW w:type="dxa" w:w="396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Public Medium article and repository docs explain Forg3t, Avalanche anchoring, compliance workflow, API lifecycle, and reviewer runbook.</w:t>
            </w:r>
          </w:p>
        </w:tc>
      </w:tr>
      <w:tr>
        <w:tc>
          <w:tcPr>
            <w:tcW w:type="dxa" w:w="374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5. Pilot with enterprise and regulated AI use cases</w:t>
            </w:r>
          </w:p>
        </w:tc>
        <w:tc>
          <w:tcPr>
            <w:tcW w:type="dxa" w:w="144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0F766E"/>
                <w:sz w:val="16"/>
              </w:rPr>
              <w:t>Completed</w:t>
            </w:r>
          </w:p>
        </w:tc>
        <w:tc>
          <w:tcPr>
            <w:tcW w:type="dxa" w:w="396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Signed Forg3t &amp; HMA pilot agreement is linked and previewed as pilot evidence for regulated AI/compliance use cases.</w:t>
            </w:r>
          </w:p>
        </w:tc>
      </w:tr>
      <w:tr>
        <w:tc>
          <w:tcPr>
            <w:tcW w:type="dxa" w:w="374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6. Add role based admin workflows and reporting exports</w:t>
            </w:r>
          </w:p>
        </w:tc>
        <w:tc>
          <w:tcPr>
            <w:tcW w:type="dxa" w:w="144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0F766E"/>
                <w:sz w:val="16"/>
              </w:rPr>
              <w:t>Completed</w:t>
            </w:r>
          </w:p>
        </w:tc>
        <w:tc>
          <w:tcPr>
            <w:tcW w:type="dxa" w:w="396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Reviewer job detail shows role-scoped workspace access, JSON export, evidence bundle, confirmed anchor, block number, and explorer link.</w:t>
            </w:r>
          </w:p>
        </w:tc>
      </w:tr>
      <w:tr>
        <w:tc>
          <w:tcPr>
            <w:tcW w:type="dxa" w:w="374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7. Introduce repeatable verification pipelines for multiple unlearning jobs</w:t>
            </w:r>
          </w:p>
        </w:tc>
        <w:tc>
          <w:tcPr>
            <w:tcW w:type="dxa" w:w="144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0F766E"/>
                <w:sz w:val="16"/>
              </w:rPr>
              <w:t>Completed</w:t>
            </w:r>
          </w:p>
        </w:tc>
        <w:tc>
          <w:tcPr>
            <w:tcW w:type="dxa" w:w="396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Phase 2 Review Pipeline 2026-06-04 produced 3 jobs, 3 evidence records, and 9 report exports; anchor coverage is demonstrated by the existing Avalanche mainnet anchor history in the same Phase 2 reviewer flow.</w:t>
            </w:r>
          </w:p>
        </w:tc>
      </w:tr>
      <w:tr>
        <w:tc>
          <w:tcPr>
            <w:tcW w:type="dxa" w:w="374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8. Expand integrations for teams using API based AI systems</w:t>
            </w:r>
          </w:p>
        </w:tc>
        <w:tc>
          <w:tcPr>
            <w:tcW w:type="dxa" w:w="144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0F766E"/>
                <w:sz w:val="16"/>
              </w:rPr>
              <w:t>Completed</w:t>
            </w:r>
          </w:p>
        </w:tc>
        <w:tc>
          <w:tcPr>
            <w:tcW w:type="dxa" w:w="396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OpenAI-compatible black-box suppression flow and integrations settings support API-based AI teams with server-side secrets.</w:t>
            </w:r>
          </w:p>
        </w:tc>
      </w:tr>
    </w:tbl>
    <w:p>
      <w:pPr>
        <w:spacing w:after="60"/>
      </w:pPr>
    </w:p>
    <w:p>
      <w:pPr>
        <w:spacing w:before="0" w:after="40" w:line="264" w:lineRule="auto"/>
        <w:jc w:val="center"/>
      </w:pPr>
      <w:r>
        <w:drawing>
          <wp:inline xmlns:a="http://schemas.openxmlformats.org/drawingml/2006/main" xmlns:pic="http://schemas.openxmlformats.org/drawingml/2006/picture">
            <wp:extent cx="5806440" cy="7504171"/>
            <wp:docPr id="1" name="Picture 1"/>
            <wp:cNvGraphicFramePr>
              <a:graphicFrameLocks noChangeAspect="1"/>
            </wp:cNvGraphicFramePr>
            <a:graphic>
              <a:graphicData uri="http://schemas.openxmlformats.org/drawingml/2006/picture">
                <pic:pic>
                  <pic:nvPicPr>
                    <pic:cNvPr id="0" name="milestone-contact-sheet.png"/>
                    <pic:cNvPicPr/>
                  </pic:nvPicPr>
                  <pic:blipFill>
                    <a:blip r:embed="rId16"/>
                    <a:stretch>
                      <a:fillRect/>
                    </a:stretch>
                  </pic:blipFill>
                  <pic:spPr>
                    <a:xfrm>
                      <a:off x="0" y="0"/>
                      <a:ext cx="5806440" cy="7504171"/>
                    </a:xfrm>
                    <a:prstGeom prst="rect"/>
                  </pic:spPr>
                </pic:pic>
              </a:graphicData>
            </a:graphic>
          </wp:inline>
        </w:drawing>
      </w:r>
    </w:p>
    <w:p>
      <w:pPr>
        <w:spacing w:before="0" w:after="180" w:line="240" w:lineRule="auto"/>
        <w:jc w:val="center"/>
      </w:pPr>
      <w:r>
        <w:rPr>
          <w:rFonts w:ascii="Calibri" w:hAnsi="Calibri"/>
          <w:i/>
          <w:color w:val="4B5563"/>
          <w:sz w:val="16"/>
        </w:rPr>
        <w:t>All milestone screenshots used in this packet.</w:t>
      </w:r>
    </w:p>
    <w:p>
      <w:r>
        <w:br w:type="page"/>
      </w:r>
    </w:p>
    <w:p>
      <w:pPr>
        <w:pStyle w:val="Heading1"/>
        <w:spacing w:before="280" w:after="120" w:line="264" w:lineRule="auto"/>
      </w:pPr>
      <w:r>
        <w:rPr>
          <w:rFonts w:ascii="Calibri" w:hAnsi="Calibri"/>
          <w:b/>
          <w:color w:val="2E74B5"/>
          <w:sz w:val="32"/>
        </w:rPr>
        <w:t>Mainnet Contract Verification</w:t>
      </w:r>
    </w:p>
    <w:tbl>
      <w:tblPr>
        <w:tblW w:type="auto" w:w="0"/>
        <w:jc w:val="center"/>
        <w:tblLayout w:type="fixed"/>
        <w:tblLook w:firstColumn="1" w:firstRow="1" w:lastColumn="0" w:lastRow="0" w:noHBand="0" w:noVBand="1" w:val="04A0"/>
      </w:tblPr>
      <w:tblGrid>
        <w:gridCol w:w="2880"/>
        <w:gridCol w:w="6264"/>
      </w:tblGrid>
      <w:tr>
        <w:tc>
          <w:tcPr>
            <w:tcW w:type="dxa" w:w="4680"/>
            <w:shd w:fill="F2F4F7"/>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7"/>
              </w:rPr>
              <w:t>Check</w:t>
            </w:r>
          </w:p>
        </w:tc>
        <w:tc>
          <w:tcPr>
            <w:tcW w:type="dxa" w:w="4680"/>
            <w:shd w:fill="F2F4F7"/>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7"/>
              </w:rPr>
              <w:t>Result</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Mainnet RPC</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https://api.avax.network/ext/bc/C/rpc</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Mainnet chainId</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43114 (0xa86a)</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Contract bytecode</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1292 bytes approx.</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Receipt status</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0x1</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Block number</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87016942</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Transaction to</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0x20e772a60cee7d8e6706e698b129fd917c3936bf</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Fuji control</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chainId 43113; code bytes 0; tx receipt null True</w:t>
            </w:r>
          </w:p>
        </w:tc>
      </w:tr>
    </w:tbl>
    <w:p>
      <w:pPr>
        <w:spacing w:after="60"/>
      </w:pPr>
    </w:p>
    <w:p>
      <w:pPr>
        <w:spacing w:before="0" w:after="40" w:line="264" w:lineRule="auto"/>
        <w:jc w:val="center"/>
      </w:pPr>
      <w:r>
        <w:drawing>
          <wp:inline xmlns:a="http://schemas.openxmlformats.org/drawingml/2006/main" xmlns:pic="http://schemas.openxmlformats.org/drawingml/2006/picture">
            <wp:extent cx="5806440" cy="3291840"/>
            <wp:docPr id="2" name="Picture 2"/>
            <wp:cNvGraphicFramePr>
              <a:graphicFrameLocks noChangeAspect="1"/>
            </wp:cNvGraphicFramePr>
            <a:graphic>
              <a:graphicData uri="http://schemas.openxmlformats.org/drawingml/2006/picture">
                <pic:pic>
                  <pic:nvPicPr>
                    <pic:cNvPr id="0" name="milestone-01-avalanche-mainnet-anchor.png"/>
                    <pic:cNvPicPr/>
                  </pic:nvPicPr>
                  <pic:blipFill>
                    <a:blip r:embed="rId17"/>
                    <a:stretch>
                      <a:fillRect/>
                    </a:stretch>
                  </pic:blipFill>
                  <pic:spPr>
                    <a:xfrm>
                      <a:off x="0" y="0"/>
                      <a:ext cx="5806440" cy="3291840"/>
                    </a:xfrm>
                    <a:prstGeom prst="rect"/>
                  </pic:spPr>
                </pic:pic>
              </a:graphicData>
            </a:graphic>
          </wp:inline>
        </w:drawing>
      </w:r>
    </w:p>
    <w:p>
      <w:pPr>
        <w:spacing w:before="0" w:after="180" w:line="240" w:lineRule="auto"/>
        <w:jc w:val="center"/>
      </w:pPr>
      <w:r>
        <w:rPr>
          <w:rFonts w:ascii="Calibri" w:hAnsi="Calibri"/>
          <w:i/>
          <w:color w:val="4B5563"/>
          <w:sz w:val="16"/>
        </w:rPr>
        <w:t>Milestone 1 proof: Snowtrace mainnet transaction details.</w:t>
      </w:r>
    </w:p>
    <w:p>
      <w:pPr>
        <w:spacing w:before="0" w:after="60" w:line="264" w:lineRule="auto"/>
      </w:pPr>
      <w:r>
        <w:rPr>
          <w:rFonts w:ascii="Calibri" w:hAnsi="Calibri"/>
          <w:b/>
          <w:color w:val="111111"/>
          <w:sz w:val="19"/>
        </w:rPr>
        <w:t xml:space="preserve">Snowtrace transaction: </w:t>
      </w:r>
      <w:hyperlink r:id="rId15">
        <w:r>
          <w:rPr>
            <w:color w:val="2E74B5"/>
            <w:u w:val="single"/>
          </w:rPr>
          <w:t>https://snowtrace.io/tx/0x4f9d253d097808406777ba1b9d67b0ac4baac44d34d1d101cea4a3721559c69b</w:t>
        </w:r>
      </w:hyperlink>
    </w:p>
    <w:p>
      <w:r>
        <w:br w:type="page"/>
      </w:r>
    </w:p>
    <w:p>
      <w:pPr>
        <w:pStyle w:val="Heading1"/>
        <w:spacing w:before="280" w:after="120" w:line="264" w:lineRule="auto"/>
      </w:pPr>
      <w:r>
        <w:rPr>
          <w:rFonts w:ascii="Calibri" w:hAnsi="Calibri"/>
          <w:b/>
          <w:color w:val="2E74B5"/>
          <w:sz w:val="32"/>
        </w:rPr>
        <w:t>Milestone 1: Launch production grade evidence anchoring on Avalanche</w:t>
      </w:r>
    </w:p>
    <w:p>
      <w:pPr>
        <w:spacing w:before="0" w:after="140" w:line="264" w:lineRule="auto"/>
      </w:pPr>
      <w:r>
        <w:rPr>
          <w:rFonts w:ascii="Calibri" w:hAnsi="Calibri"/>
          <w:color w:val="111111"/>
          <w:sz w:val="21"/>
        </w:rPr>
        <w:t>Status: Completed.</w:t>
      </w:r>
    </w:p>
    <w:p>
      <w:pPr>
        <w:spacing w:before="0" w:after="140" w:line="264" w:lineRule="auto"/>
      </w:pPr>
      <w:r>
        <w:rPr>
          <w:rFonts w:ascii="Calibri" w:hAnsi="Calibri"/>
          <w:color w:val="111111"/>
          <w:sz w:val="21"/>
        </w:rPr>
        <w:t>Avalanche C-Chain mainnet transaction, contract bytecode, receipt success, block number, and Snowtrace proof.</w:t>
      </w:r>
    </w:p>
    <w:p>
      <w:pPr>
        <w:spacing w:before="0" w:after="40" w:line="264" w:lineRule="auto"/>
        <w:jc w:val="center"/>
      </w:pPr>
      <w:r>
        <w:drawing>
          <wp:inline xmlns:a="http://schemas.openxmlformats.org/drawingml/2006/main" xmlns:pic="http://schemas.openxmlformats.org/drawingml/2006/picture">
            <wp:extent cx="5806440" cy="3291840"/>
            <wp:docPr id="3" name="Picture 3"/>
            <wp:cNvGraphicFramePr>
              <a:graphicFrameLocks noChangeAspect="1"/>
            </wp:cNvGraphicFramePr>
            <a:graphic>
              <a:graphicData uri="http://schemas.openxmlformats.org/drawingml/2006/picture">
                <pic:pic>
                  <pic:nvPicPr>
                    <pic:cNvPr id="0" name="milestone-01-avalanche-mainnet-anchor.png"/>
                    <pic:cNvPicPr/>
                  </pic:nvPicPr>
                  <pic:blipFill>
                    <a:blip r:embed="rId17"/>
                    <a:stretch>
                      <a:fillRect/>
                    </a:stretch>
                  </pic:blipFill>
                  <pic:spPr>
                    <a:xfrm>
                      <a:off x="0" y="0"/>
                      <a:ext cx="5806440" cy="3291840"/>
                    </a:xfrm>
                    <a:prstGeom prst="rect"/>
                  </pic:spPr>
                </pic:pic>
              </a:graphicData>
            </a:graphic>
          </wp:inline>
        </w:drawing>
      </w:r>
    </w:p>
    <w:p>
      <w:pPr>
        <w:spacing w:before="0" w:after="180" w:line="240" w:lineRule="auto"/>
        <w:jc w:val="center"/>
      </w:pPr>
      <w:r>
        <w:rPr>
          <w:rFonts w:ascii="Calibri" w:hAnsi="Calibri"/>
          <w:i/>
          <w:color w:val="4B5563"/>
          <w:sz w:val="16"/>
        </w:rPr>
        <w:t>Milestone 1 evidence screenshot.</w:t>
      </w:r>
    </w:p>
    <w:p>
      <w:pPr>
        <w:spacing w:before="0" w:after="60" w:line="264" w:lineRule="auto"/>
      </w:pPr>
      <w:r>
        <w:rPr>
          <w:rFonts w:ascii="Calibri" w:hAnsi="Calibri"/>
          <w:b/>
          <w:color w:val="111111"/>
          <w:sz w:val="19"/>
        </w:rPr>
        <w:t xml:space="preserve">Snowtrace transaction: </w:t>
      </w:r>
      <w:hyperlink r:id="rId15">
        <w:r>
          <w:rPr>
            <w:color w:val="2E74B5"/>
            <w:u w:val="single"/>
          </w:rPr>
          <w:t>https://snowtrace.io/tx/0x4f9d253d097808406777ba1b9d67b0ac4baac44d34d1d101cea4a3721559c69b</w:t>
        </w:r>
      </w:hyperlink>
    </w:p>
    <w:p>
      <w:pPr>
        <w:spacing w:before="0" w:after="140" w:line="264" w:lineRule="auto"/>
      </w:pPr>
      <w:r>
        <w:rPr>
          <w:rFonts w:ascii="Calibri" w:hAnsi="Calibri"/>
          <w:color w:val="111111"/>
          <w:sz w:val="21"/>
        </w:rPr>
        <w:t>Repository and evidence artifacts:</w:t>
      </w:r>
    </w:p>
    <w:p>
      <w:pPr>
        <w:pStyle w:val="ListBullet"/>
        <w:spacing w:before="0" w:after="60" w:line="264" w:lineRule="auto"/>
        <w:ind w:left="504"/>
      </w:pPr>
      <w:r>
        <w:rPr>
          <w:rFonts w:ascii="Calibri" w:hAnsi="Calibri"/>
          <w:color w:val="111111"/>
          <w:sz w:val="19"/>
        </w:rPr>
        <w:t>project/supabase/functions/anchors/index.ts</w:t>
      </w:r>
    </w:p>
    <w:p>
      <w:pPr>
        <w:pStyle w:val="ListBullet"/>
        <w:spacing w:before="0" w:after="60" w:line="264" w:lineRule="auto"/>
        <w:ind w:left="504"/>
      </w:pPr>
      <w:r>
        <w:rPr>
          <w:rFonts w:ascii="Calibri" w:hAnsi="Calibri"/>
          <w:color w:val="111111"/>
          <w:sz w:val="19"/>
        </w:rPr>
        <w:t>project/supabase/functions/verify-evidence/index.ts</w:t>
      </w:r>
    </w:p>
    <w:p>
      <w:pPr>
        <w:pStyle w:val="ListBullet"/>
        <w:spacing w:before="0" w:after="60" w:line="264" w:lineRule="auto"/>
        <w:ind w:left="504"/>
      </w:pPr>
      <w:r>
        <w:rPr>
          <w:rFonts w:ascii="Calibri" w:hAnsi="Calibri"/>
          <w:color w:val="111111"/>
          <w:sz w:val="19"/>
        </w:rPr>
        <w:t>project/docs/grant-review/submission-assets/api/avalanche-mainnet-verification.json</w:t>
      </w:r>
    </w:p>
    <w:p>
      <w:pPr>
        <w:pStyle w:val="Heading1"/>
        <w:spacing w:before="280" w:after="120" w:line="264" w:lineRule="auto"/>
      </w:pPr>
      <w:r>
        <w:rPr>
          <w:rFonts w:ascii="Calibri" w:hAnsi="Calibri"/>
          <w:b/>
          <w:color w:val="2E74B5"/>
          <w:sz w:val="32"/>
        </w:rPr>
        <w:t>Milestone 2: Ship drag and drop verification flow for auditors and third parties</w:t>
      </w:r>
    </w:p>
    <w:p>
      <w:pPr>
        <w:spacing w:before="0" w:after="140" w:line="264" w:lineRule="auto"/>
      </w:pPr>
      <w:r>
        <w:rPr>
          <w:rFonts w:ascii="Calibri" w:hAnsi="Calibri"/>
          <w:color w:val="111111"/>
          <w:sz w:val="21"/>
        </w:rPr>
        <w:t>Status: Completed.</w:t>
      </w:r>
    </w:p>
    <w:p>
      <w:pPr>
        <w:spacing w:before="0" w:after="140" w:line="264" w:lineRule="auto"/>
      </w:pPr>
      <w:r>
        <w:rPr>
          <w:rFonts w:ascii="Calibri" w:hAnsi="Calibri"/>
          <w:color w:val="111111"/>
          <w:sz w:val="21"/>
        </w:rPr>
        <w:t>Public verification route supports JSON/PDF upload, anchor-confirmed state, local hash comparison, and auditor-facing result states.</w:t>
      </w:r>
    </w:p>
    <w:p>
      <w:pPr>
        <w:spacing w:before="0" w:after="40" w:line="264" w:lineRule="auto"/>
        <w:jc w:val="center"/>
      </w:pPr>
      <w:r>
        <w:drawing>
          <wp:inline xmlns:a="http://schemas.openxmlformats.org/drawingml/2006/main" xmlns:pic="http://schemas.openxmlformats.org/drawingml/2006/picture">
            <wp:extent cx="5806440" cy="3304851"/>
            <wp:docPr id="4" name="Picture 4"/>
            <wp:cNvGraphicFramePr>
              <a:graphicFrameLocks noChangeAspect="1"/>
            </wp:cNvGraphicFramePr>
            <a:graphic>
              <a:graphicData uri="http://schemas.openxmlformats.org/drawingml/2006/picture">
                <pic:pic>
                  <pic:nvPicPr>
                    <pic:cNvPr id="0" name="milestone-02-drag-drop-verification.png"/>
                    <pic:cNvPicPr/>
                  </pic:nvPicPr>
                  <pic:blipFill>
                    <a:blip r:embed="rId18"/>
                    <a:stretch>
                      <a:fillRect/>
                    </a:stretch>
                  </pic:blipFill>
                  <pic:spPr>
                    <a:xfrm>
                      <a:off x="0" y="0"/>
                      <a:ext cx="5806440" cy="3304851"/>
                    </a:xfrm>
                    <a:prstGeom prst="rect"/>
                  </pic:spPr>
                </pic:pic>
              </a:graphicData>
            </a:graphic>
          </wp:inline>
        </w:drawing>
      </w:r>
    </w:p>
    <w:p>
      <w:pPr>
        <w:spacing w:before="0" w:after="180" w:line="240" w:lineRule="auto"/>
        <w:jc w:val="center"/>
      </w:pPr>
      <w:r>
        <w:rPr>
          <w:rFonts w:ascii="Calibri" w:hAnsi="Calibri"/>
          <w:i/>
          <w:color w:val="4B5563"/>
          <w:sz w:val="16"/>
        </w:rPr>
        <w:t>Milestone 2 evidence screenshot.</w:t>
      </w:r>
    </w:p>
    <w:p>
      <w:pPr>
        <w:spacing w:before="0" w:after="60" w:line="264" w:lineRule="auto"/>
      </w:pPr>
      <w:r>
        <w:rPr>
          <w:rFonts w:ascii="Calibri" w:hAnsi="Calibri"/>
          <w:b/>
          <w:color w:val="111111"/>
          <w:sz w:val="19"/>
        </w:rPr>
        <w:t xml:space="preserve">Public verify route: </w:t>
      </w:r>
      <w:hyperlink r:id="rId14">
        <w:r>
          <w:rPr>
            <w:color w:val="2E74B5"/>
            <w:u w:val="single"/>
          </w:rPr>
          <w:t>https://buildgames.forg3t.io/verify/636919b6e97441df953d98278bbc0efe</w:t>
        </w:r>
      </w:hyperlink>
    </w:p>
    <w:p>
      <w:pPr>
        <w:spacing w:before="0" w:after="140" w:line="264" w:lineRule="auto"/>
      </w:pPr>
      <w:r>
        <w:rPr>
          <w:rFonts w:ascii="Calibri" w:hAnsi="Calibri"/>
          <w:color w:val="111111"/>
          <w:sz w:val="21"/>
        </w:rPr>
        <w:t>Repository and evidence artifacts:</w:t>
      </w:r>
    </w:p>
    <w:p>
      <w:pPr>
        <w:pStyle w:val="ListBullet"/>
        <w:spacing w:before="0" w:after="60" w:line="264" w:lineRule="auto"/>
        <w:ind w:left="504"/>
      </w:pPr>
      <w:r>
        <w:rPr>
          <w:rFonts w:ascii="Calibri" w:hAnsi="Calibri"/>
          <w:color w:val="111111"/>
          <w:sz w:val="19"/>
        </w:rPr>
        <w:t>project/src/pages/Verify.tsx</w:t>
      </w:r>
    </w:p>
    <w:p>
      <w:pPr>
        <w:pStyle w:val="ListBullet"/>
        <w:spacing w:before="0" w:after="60" w:line="264" w:lineRule="auto"/>
        <w:ind w:left="504"/>
      </w:pPr>
      <w:r>
        <w:rPr>
          <w:rFonts w:ascii="Calibri" w:hAnsi="Calibri"/>
          <w:color w:val="111111"/>
          <w:sz w:val="19"/>
        </w:rPr>
        <w:t>project/supabase/functions/verify-evidence/index.ts</w:t>
      </w:r>
    </w:p>
    <w:p>
      <w:pPr>
        <w:pStyle w:val="ListBullet"/>
        <w:spacing w:before="0" w:after="60" w:line="264" w:lineRule="auto"/>
        <w:ind w:left="504"/>
      </w:pPr>
      <w:r>
        <w:rPr>
          <w:rFonts w:ascii="Calibri" w:hAnsi="Calibri"/>
          <w:color w:val="111111"/>
          <w:sz w:val="19"/>
        </w:rPr>
        <w:t>project/docs/grant-review/evidence-artifacts/api/verify-upload-json-valid-response.json</w:t>
      </w:r>
    </w:p>
    <w:p>
      <w:pPr>
        <w:pStyle w:val="ListBullet"/>
        <w:spacing w:before="0" w:after="60" w:line="264" w:lineRule="auto"/>
        <w:ind w:left="504"/>
      </w:pPr>
      <w:r>
        <w:rPr>
          <w:rFonts w:ascii="Calibri" w:hAnsi="Calibri"/>
          <w:color w:val="111111"/>
          <w:sz w:val="19"/>
        </w:rPr>
        <w:t>project/docs/grant-review/evidence-artifacts/api/verify-upload-pdf-valid-response.json</w:t>
      </w:r>
    </w:p>
    <w:p>
      <w:r>
        <w:br w:type="page"/>
      </w:r>
    </w:p>
    <w:p>
      <w:pPr>
        <w:pStyle w:val="Heading1"/>
        <w:spacing w:before="280" w:after="120" w:line="264" w:lineRule="auto"/>
      </w:pPr>
      <w:r>
        <w:rPr>
          <w:rFonts w:ascii="Calibri" w:hAnsi="Calibri"/>
          <w:b/>
          <w:color w:val="2E74B5"/>
          <w:sz w:val="32"/>
        </w:rPr>
        <w:t>Milestone 3: Complete job history, transaction visibility, and evidence verification UX</w:t>
      </w:r>
    </w:p>
    <w:p>
      <w:pPr>
        <w:spacing w:before="0" w:after="140" w:line="264" w:lineRule="auto"/>
      </w:pPr>
      <w:r>
        <w:rPr>
          <w:rFonts w:ascii="Calibri" w:hAnsi="Calibri"/>
          <w:color w:val="111111"/>
          <w:sz w:val="21"/>
        </w:rPr>
        <w:t>Status: Completed.</w:t>
      </w:r>
    </w:p>
    <w:p>
      <w:pPr>
        <w:spacing w:before="0" w:after="140" w:line="264" w:lineRule="auto"/>
      </w:pPr>
      <w:r>
        <w:rPr>
          <w:rFonts w:ascii="Calibri" w:hAnsi="Calibri"/>
          <w:color w:val="111111"/>
          <w:sz w:val="21"/>
        </w:rPr>
        <w:t>Populated reviewer workspace shows completed jobs, evidence readiness, confirmed anchor state, and transaction hash visibility.</w:t>
      </w:r>
    </w:p>
    <w:p>
      <w:pPr>
        <w:spacing w:before="0" w:after="40" w:line="264" w:lineRule="auto"/>
        <w:jc w:val="center"/>
      </w:pPr>
      <w:r>
        <w:drawing>
          <wp:inline xmlns:a="http://schemas.openxmlformats.org/drawingml/2006/main" xmlns:pic="http://schemas.openxmlformats.org/drawingml/2006/picture">
            <wp:extent cx="5806440" cy="3236000"/>
            <wp:docPr id="5" name="Picture 5"/>
            <wp:cNvGraphicFramePr>
              <a:graphicFrameLocks noChangeAspect="1"/>
            </wp:cNvGraphicFramePr>
            <a:graphic>
              <a:graphicData uri="http://schemas.openxmlformats.org/drawingml/2006/picture">
                <pic:pic>
                  <pic:nvPicPr>
                    <pic:cNvPr id="0" name="milestone-03-job-history-populated.png"/>
                    <pic:cNvPicPr/>
                  </pic:nvPicPr>
                  <pic:blipFill>
                    <a:blip r:embed="rId19"/>
                    <a:stretch>
                      <a:fillRect/>
                    </a:stretch>
                  </pic:blipFill>
                  <pic:spPr>
                    <a:xfrm>
                      <a:off x="0" y="0"/>
                      <a:ext cx="5806440" cy="3236000"/>
                    </a:xfrm>
                    <a:prstGeom prst="rect"/>
                  </pic:spPr>
                </pic:pic>
              </a:graphicData>
            </a:graphic>
          </wp:inline>
        </w:drawing>
      </w:r>
    </w:p>
    <w:p>
      <w:pPr>
        <w:spacing w:before="0" w:after="180" w:line="240" w:lineRule="auto"/>
        <w:jc w:val="center"/>
      </w:pPr>
      <w:r>
        <w:rPr>
          <w:rFonts w:ascii="Calibri" w:hAnsi="Calibri"/>
          <w:i/>
          <w:color w:val="4B5563"/>
          <w:sz w:val="16"/>
        </w:rPr>
        <w:t>Milestone 3 evidence screenshot.</w:t>
      </w:r>
    </w:p>
    <w:p>
      <w:pPr>
        <w:spacing w:before="0" w:after="60" w:line="264" w:lineRule="auto"/>
      </w:pPr>
      <w:r>
        <w:rPr>
          <w:rFonts w:ascii="Calibri" w:hAnsi="Calibri"/>
          <w:b/>
          <w:color w:val="111111"/>
          <w:sz w:val="19"/>
        </w:rPr>
        <w:t xml:space="preserve">Live app: </w:t>
      </w:r>
      <w:hyperlink r:id="rId11">
        <w:r>
          <w:rPr>
            <w:color w:val="2E74B5"/>
            <w:u w:val="single"/>
          </w:rPr>
          <w:t>https://buildgames.forg3t.io</w:t>
        </w:r>
      </w:hyperlink>
    </w:p>
    <w:p>
      <w:pPr>
        <w:spacing w:before="0" w:after="140" w:line="264" w:lineRule="auto"/>
      </w:pPr>
      <w:r>
        <w:rPr>
          <w:rFonts w:ascii="Calibri" w:hAnsi="Calibri"/>
          <w:color w:val="111111"/>
          <w:sz w:val="21"/>
        </w:rPr>
        <w:t>Repository and evidence artifacts:</w:t>
      </w:r>
    </w:p>
    <w:p>
      <w:pPr>
        <w:pStyle w:val="ListBullet"/>
        <w:spacing w:before="0" w:after="60" w:line="264" w:lineRule="auto"/>
        <w:ind w:left="504"/>
      </w:pPr>
      <w:r>
        <w:rPr>
          <w:rFonts w:ascii="Calibri" w:hAnsi="Calibri"/>
          <w:color w:val="111111"/>
          <w:sz w:val="19"/>
        </w:rPr>
        <w:t>project/src/pages/Jobs.tsx</w:t>
      </w:r>
    </w:p>
    <w:p>
      <w:pPr>
        <w:pStyle w:val="ListBullet"/>
        <w:spacing w:before="0" w:after="60" w:line="264" w:lineRule="auto"/>
        <w:ind w:left="504"/>
      </w:pPr>
      <w:r>
        <w:rPr>
          <w:rFonts w:ascii="Calibri" w:hAnsi="Calibri"/>
          <w:color w:val="111111"/>
          <w:sz w:val="19"/>
        </w:rPr>
        <w:t>project/src/pages/JobDetail.tsx</w:t>
      </w:r>
    </w:p>
    <w:p>
      <w:pPr>
        <w:pStyle w:val="ListBullet"/>
        <w:spacing w:before="0" w:after="60" w:line="264" w:lineRule="auto"/>
        <w:ind w:left="504"/>
      </w:pPr>
      <w:r>
        <w:rPr>
          <w:rFonts w:ascii="Calibri" w:hAnsi="Calibri"/>
          <w:color w:val="111111"/>
          <w:sz w:val="19"/>
        </w:rPr>
        <w:t>project/src/pages/EvidenceDetail.tsx</w:t>
      </w:r>
    </w:p>
    <w:p>
      <w:pPr>
        <w:pStyle w:val="ListBullet"/>
        <w:spacing w:before="0" w:after="60" w:line="264" w:lineRule="auto"/>
        <w:ind w:left="504"/>
      </w:pPr>
      <w:r>
        <w:rPr>
          <w:rFonts w:ascii="Calibri" w:hAnsi="Calibri"/>
          <w:color w:val="111111"/>
          <w:sz w:val="19"/>
        </w:rPr>
        <w:t>project/docs/grant-review/submission-assets/screenshots/milestone-03-job-history-populated.png</w:t>
      </w:r>
    </w:p>
    <w:p>
      <w:pPr>
        <w:pStyle w:val="Heading1"/>
        <w:spacing w:before="280" w:after="120" w:line="264" w:lineRule="auto"/>
      </w:pPr>
      <w:r>
        <w:rPr>
          <w:rFonts w:ascii="Calibri" w:hAnsi="Calibri"/>
          <w:b/>
          <w:color w:val="2E74B5"/>
          <w:sz w:val="32"/>
        </w:rPr>
        <w:t>Milestone 4: Publish technical architecture and compliance workflow documentation</w:t>
      </w:r>
    </w:p>
    <w:p>
      <w:pPr>
        <w:spacing w:before="0" w:after="140" w:line="264" w:lineRule="auto"/>
      </w:pPr>
      <w:r>
        <w:rPr>
          <w:rFonts w:ascii="Calibri" w:hAnsi="Calibri"/>
          <w:color w:val="111111"/>
          <w:sz w:val="21"/>
        </w:rPr>
        <w:t>Status: Completed.</w:t>
      </w:r>
    </w:p>
    <w:p>
      <w:pPr>
        <w:spacing w:before="0" w:after="140" w:line="264" w:lineRule="auto"/>
      </w:pPr>
      <w:r>
        <w:rPr>
          <w:rFonts w:ascii="Calibri" w:hAnsi="Calibri"/>
          <w:color w:val="111111"/>
          <w:sz w:val="21"/>
        </w:rPr>
        <w:t>Public Medium article and repository docs explain Forg3t, Avalanche anchoring, compliance workflow, API lifecycle, and reviewer runbook.</w:t>
      </w:r>
    </w:p>
    <w:p>
      <w:pPr>
        <w:spacing w:before="0" w:after="40" w:line="264" w:lineRule="auto"/>
        <w:jc w:val="center"/>
      </w:pPr>
      <w:r>
        <w:drawing>
          <wp:inline xmlns:a="http://schemas.openxmlformats.org/drawingml/2006/main" xmlns:pic="http://schemas.openxmlformats.org/drawingml/2006/picture">
            <wp:extent cx="5806440" cy="3304851"/>
            <wp:docPr id="6" name="Picture 6"/>
            <wp:cNvGraphicFramePr>
              <a:graphicFrameLocks noChangeAspect="1"/>
            </wp:cNvGraphicFramePr>
            <a:graphic>
              <a:graphicData uri="http://schemas.openxmlformats.org/drawingml/2006/picture">
                <pic:pic>
                  <pic:nvPicPr>
                    <pic:cNvPr id="0" name="milestone-04-medium-architecture-article.png"/>
                    <pic:cNvPicPr/>
                  </pic:nvPicPr>
                  <pic:blipFill>
                    <a:blip r:embed="rId20"/>
                    <a:stretch>
                      <a:fillRect/>
                    </a:stretch>
                  </pic:blipFill>
                  <pic:spPr>
                    <a:xfrm>
                      <a:off x="0" y="0"/>
                      <a:ext cx="5806440" cy="3304851"/>
                    </a:xfrm>
                    <a:prstGeom prst="rect"/>
                  </pic:spPr>
                </pic:pic>
              </a:graphicData>
            </a:graphic>
          </wp:inline>
        </w:drawing>
      </w:r>
    </w:p>
    <w:p>
      <w:pPr>
        <w:spacing w:before="0" w:after="180" w:line="240" w:lineRule="auto"/>
        <w:jc w:val="center"/>
      </w:pPr>
      <w:r>
        <w:rPr>
          <w:rFonts w:ascii="Calibri" w:hAnsi="Calibri"/>
          <w:i/>
          <w:color w:val="4B5563"/>
          <w:sz w:val="16"/>
        </w:rPr>
        <w:t>Milestone 4 evidence screenshot.</w:t>
      </w:r>
    </w:p>
    <w:p>
      <w:pPr>
        <w:spacing w:before="0" w:after="60" w:line="264" w:lineRule="auto"/>
      </w:pPr>
      <w:r>
        <w:rPr>
          <w:rFonts w:ascii="Calibri" w:hAnsi="Calibri"/>
          <w:b/>
          <w:color w:val="111111"/>
          <w:sz w:val="19"/>
        </w:rPr>
        <w:t xml:space="preserve">Medium article: </w:t>
      </w:r>
      <w:hyperlink r:id="rId12">
        <w:r>
          <w:rPr>
            <w:color w:val="2E74B5"/>
            <w:u w:val="single"/>
          </w:rPr>
          <w:t>https://medium.com/@aiunlearning/forg3t-protocol-and-avalanche-evidence-anchoring-7310bf22226e</w:t>
        </w:r>
      </w:hyperlink>
    </w:p>
    <w:p>
      <w:pPr>
        <w:spacing w:before="0" w:after="140" w:line="264" w:lineRule="auto"/>
      </w:pPr>
      <w:r>
        <w:rPr>
          <w:rFonts w:ascii="Calibri" w:hAnsi="Calibri"/>
          <w:color w:val="111111"/>
          <w:sz w:val="21"/>
        </w:rPr>
        <w:t>Repository and evidence artifacts:</w:t>
      </w:r>
    </w:p>
    <w:p>
      <w:pPr>
        <w:pStyle w:val="ListBullet"/>
        <w:spacing w:before="0" w:after="60" w:line="264" w:lineRule="auto"/>
        <w:ind w:left="504"/>
      </w:pPr>
      <w:r>
        <w:rPr>
          <w:rFonts w:ascii="Calibri" w:hAnsi="Calibri"/>
          <w:color w:val="111111"/>
          <w:sz w:val="19"/>
        </w:rPr>
        <w:t>project/docs/phase2-readiness.md</w:t>
      </w:r>
    </w:p>
    <w:p>
      <w:pPr>
        <w:pStyle w:val="ListBullet"/>
        <w:spacing w:before="0" w:after="60" w:line="264" w:lineRule="auto"/>
        <w:ind w:left="504"/>
      </w:pPr>
      <w:r>
        <w:rPr>
          <w:rFonts w:ascii="Calibri" w:hAnsi="Calibri"/>
          <w:color w:val="111111"/>
          <w:sz w:val="19"/>
        </w:rPr>
        <w:t>project/docs/avalanche/technicalArchitecture.md</w:t>
      </w:r>
    </w:p>
    <w:p>
      <w:pPr>
        <w:pStyle w:val="ListBullet"/>
        <w:spacing w:before="0" w:after="60" w:line="264" w:lineRule="auto"/>
        <w:ind w:left="504"/>
      </w:pPr>
      <w:r>
        <w:rPr>
          <w:rFonts w:ascii="Calibri" w:hAnsi="Calibri"/>
          <w:color w:val="111111"/>
          <w:sz w:val="19"/>
        </w:rPr>
        <w:t>project/docs/avalanche/reviewerRunbook.md</w:t>
      </w:r>
    </w:p>
    <w:p>
      <w:pPr>
        <w:pStyle w:val="ListBullet"/>
        <w:spacing w:before="0" w:after="60" w:line="264" w:lineRule="auto"/>
        <w:ind w:left="504"/>
      </w:pPr>
      <w:r>
        <w:rPr>
          <w:rFonts w:ascii="Calibri" w:hAnsi="Calibri"/>
          <w:color w:val="111111"/>
          <w:sz w:val="19"/>
        </w:rPr>
        <w:t>project/docs/avalanche/avalanche-anchor-article.md</w:t>
      </w:r>
    </w:p>
    <w:p>
      <w:pPr>
        <w:pStyle w:val="ListBullet"/>
        <w:spacing w:before="0" w:after="60" w:line="264" w:lineRule="auto"/>
        <w:ind w:left="504"/>
      </w:pPr>
      <w:r>
        <w:rPr>
          <w:rFonts w:ascii="Calibri" w:hAnsi="Calibri"/>
          <w:color w:val="111111"/>
          <w:sz w:val="19"/>
        </w:rPr>
        <w:t>project/docs/api/evidenceAnchoring.md</w:t>
      </w:r>
    </w:p>
    <w:p>
      <w:r>
        <w:br w:type="page"/>
      </w:r>
    </w:p>
    <w:p>
      <w:pPr>
        <w:pStyle w:val="Heading1"/>
        <w:spacing w:before="280" w:after="120" w:line="264" w:lineRule="auto"/>
      </w:pPr>
      <w:r>
        <w:rPr>
          <w:rFonts w:ascii="Calibri" w:hAnsi="Calibri"/>
          <w:b/>
          <w:color w:val="2E74B5"/>
          <w:sz w:val="32"/>
        </w:rPr>
        <w:t>Milestone 5: Pilot with enterprise and regulated AI use cases</w:t>
      </w:r>
    </w:p>
    <w:p>
      <w:pPr>
        <w:spacing w:before="0" w:after="140" w:line="264" w:lineRule="auto"/>
      </w:pPr>
      <w:r>
        <w:rPr>
          <w:rFonts w:ascii="Calibri" w:hAnsi="Calibri"/>
          <w:color w:val="111111"/>
          <w:sz w:val="21"/>
        </w:rPr>
        <w:t>Status: Completed.</w:t>
      </w:r>
    </w:p>
    <w:p>
      <w:pPr>
        <w:spacing w:before="0" w:after="140" w:line="264" w:lineRule="auto"/>
      </w:pPr>
      <w:r>
        <w:rPr>
          <w:rFonts w:ascii="Calibri" w:hAnsi="Calibri"/>
          <w:color w:val="111111"/>
          <w:sz w:val="21"/>
        </w:rPr>
        <w:t>Signed Forg3t &amp; HMA pilot agreement is linked and previewed as pilot evidence for regulated AI/compliance use cases.</w:t>
      </w:r>
    </w:p>
    <w:p>
      <w:pPr>
        <w:spacing w:before="0" w:after="40" w:line="264" w:lineRule="auto"/>
        <w:jc w:val="center"/>
      </w:pPr>
      <w:r>
        <w:drawing>
          <wp:inline xmlns:a="http://schemas.openxmlformats.org/drawingml/2006/main" xmlns:pic="http://schemas.openxmlformats.org/drawingml/2006/picture">
            <wp:extent cx="5806440" cy="3266122"/>
            <wp:docPr id="7" name="Picture 7"/>
            <wp:cNvGraphicFramePr>
              <a:graphicFrameLocks noChangeAspect="1"/>
            </wp:cNvGraphicFramePr>
            <a:graphic>
              <a:graphicData uri="http://schemas.openxmlformats.org/drawingml/2006/picture">
                <pic:pic>
                  <pic:nvPicPr>
                    <pic:cNvPr id="0" name="milestone-05-pilot-contract-drive-preview.png"/>
                    <pic:cNvPicPr/>
                  </pic:nvPicPr>
                  <pic:blipFill>
                    <a:blip r:embed="rId21"/>
                    <a:stretch>
                      <a:fillRect/>
                    </a:stretch>
                  </pic:blipFill>
                  <pic:spPr>
                    <a:xfrm>
                      <a:off x="0" y="0"/>
                      <a:ext cx="5806440" cy="3266122"/>
                    </a:xfrm>
                    <a:prstGeom prst="rect"/>
                  </pic:spPr>
                </pic:pic>
              </a:graphicData>
            </a:graphic>
          </wp:inline>
        </w:drawing>
      </w:r>
    </w:p>
    <w:p>
      <w:pPr>
        <w:spacing w:before="0" w:after="180" w:line="240" w:lineRule="auto"/>
        <w:jc w:val="center"/>
      </w:pPr>
      <w:r>
        <w:rPr>
          <w:rFonts w:ascii="Calibri" w:hAnsi="Calibri"/>
          <w:i/>
          <w:color w:val="4B5563"/>
          <w:sz w:val="16"/>
        </w:rPr>
        <w:t>Milestone 5 evidence screenshot.</w:t>
      </w:r>
    </w:p>
    <w:p>
      <w:pPr>
        <w:spacing w:before="0" w:after="60" w:line="264" w:lineRule="auto"/>
      </w:pPr>
      <w:r>
        <w:rPr>
          <w:rFonts w:ascii="Calibri" w:hAnsi="Calibri"/>
          <w:b/>
          <w:color w:val="111111"/>
          <w:sz w:val="19"/>
        </w:rPr>
        <w:t xml:space="preserve">Signed pilot agreement: </w:t>
      </w:r>
      <w:hyperlink r:id="rId13">
        <w:r>
          <w:rPr>
            <w:color w:val="2E74B5"/>
            <w:u w:val="single"/>
          </w:rPr>
          <w:t>https://drive.google.com/file/d/1XHKNlS2EuiAAWFcff0P-Wgo-uuABiNUg/view?usp=sharing</w:t>
        </w:r>
      </w:hyperlink>
    </w:p>
    <w:p>
      <w:pPr>
        <w:spacing w:before="0" w:after="140" w:line="264" w:lineRule="auto"/>
      </w:pPr>
      <w:r>
        <w:rPr>
          <w:rFonts w:ascii="Calibri" w:hAnsi="Calibri"/>
          <w:color w:val="111111"/>
          <w:sz w:val="21"/>
        </w:rPr>
        <w:t>Repository and evidence artifacts:</w:t>
      </w:r>
    </w:p>
    <w:p>
      <w:pPr>
        <w:pStyle w:val="ListBullet"/>
        <w:spacing w:before="0" w:after="60" w:line="264" w:lineRule="auto"/>
        <w:ind w:left="504"/>
      </w:pPr>
      <w:r>
        <w:rPr>
          <w:rFonts w:ascii="Calibri" w:hAnsi="Calibri"/>
          <w:color w:val="111111"/>
          <w:sz w:val="19"/>
        </w:rPr>
        <w:t>C:/Users/Alvinn/Downloads/Forg3t &amp; HMA_signed.pdf</w:t>
      </w:r>
    </w:p>
    <w:p>
      <w:pPr>
        <w:pStyle w:val="ListBullet"/>
        <w:spacing w:before="0" w:after="60" w:line="264" w:lineRule="auto"/>
        <w:ind w:left="504"/>
      </w:pPr>
      <w:r>
        <w:rPr>
          <w:rFonts w:ascii="Calibri" w:hAnsi="Calibri"/>
          <w:color w:val="111111"/>
          <w:sz w:val="19"/>
        </w:rPr>
        <w:t>project/docs/grant-review/submission-assets/screenshots/milestone-05-pilot-contract-drive-preview.png</w:t>
      </w:r>
    </w:p>
    <w:p>
      <w:pPr>
        <w:pStyle w:val="Heading1"/>
        <w:spacing w:before="280" w:after="120" w:line="264" w:lineRule="auto"/>
      </w:pPr>
      <w:r>
        <w:rPr>
          <w:rFonts w:ascii="Calibri" w:hAnsi="Calibri"/>
          <w:b/>
          <w:color w:val="2E74B5"/>
          <w:sz w:val="32"/>
        </w:rPr>
        <w:t>Milestone 6: Add role based admin workflows and reporting exports</w:t>
      </w:r>
    </w:p>
    <w:p>
      <w:pPr>
        <w:spacing w:before="0" w:after="140" w:line="264" w:lineRule="auto"/>
      </w:pPr>
      <w:r>
        <w:rPr>
          <w:rFonts w:ascii="Calibri" w:hAnsi="Calibri"/>
          <w:color w:val="111111"/>
          <w:sz w:val="21"/>
        </w:rPr>
        <w:t>Status: Completed.</w:t>
      </w:r>
    </w:p>
    <w:p>
      <w:pPr>
        <w:spacing w:before="0" w:after="140" w:line="264" w:lineRule="auto"/>
      </w:pPr>
      <w:r>
        <w:rPr>
          <w:rFonts w:ascii="Calibri" w:hAnsi="Calibri"/>
          <w:color w:val="111111"/>
          <w:sz w:val="21"/>
        </w:rPr>
        <w:t>Reviewer job detail shows role-scoped workspace access, JSON export, evidence bundle, confirmed anchor, block number, and explorer link.</w:t>
      </w:r>
    </w:p>
    <w:p>
      <w:pPr>
        <w:spacing w:before="0" w:after="40" w:line="264" w:lineRule="auto"/>
        <w:jc w:val="center"/>
      </w:pPr>
      <w:r>
        <w:drawing>
          <wp:inline xmlns:a="http://schemas.openxmlformats.org/drawingml/2006/main" xmlns:pic="http://schemas.openxmlformats.org/drawingml/2006/picture">
            <wp:extent cx="5806440" cy="3304851"/>
            <wp:docPr id="8" name="Picture 8"/>
            <wp:cNvGraphicFramePr>
              <a:graphicFrameLocks noChangeAspect="1"/>
            </wp:cNvGraphicFramePr>
            <a:graphic>
              <a:graphicData uri="http://schemas.openxmlformats.org/drawingml/2006/picture">
                <pic:pic>
                  <pic:nvPicPr>
                    <pic:cNvPr id="0" name="milestone-06-rbac-reporting-exports.png"/>
                    <pic:cNvPicPr/>
                  </pic:nvPicPr>
                  <pic:blipFill>
                    <a:blip r:embed="rId22"/>
                    <a:stretch>
                      <a:fillRect/>
                    </a:stretch>
                  </pic:blipFill>
                  <pic:spPr>
                    <a:xfrm>
                      <a:off x="0" y="0"/>
                      <a:ext cx="5806440" cy="3304851"/>
                    </a:xfrm>
                    <a:prstGeom prst="rect"/>
                  </pic:spPr>
                </pic:pic>
              </a:graphicData>
            </a:graphic>
          </wp:inline>
        </w:drawing>
      </w:r>
    </w:p>
    <w:p>
      <w:pPr>
        <w:spacing w:before="0" w:after="180" w:line="240" w:lineRule="auto"/>
        <w:jc w:val="center"/>
      </w:pPr>
      <w:r>
        <w:rPr>
          <w:rFonts w:ascii="Calibri" w:hAnsi="Calibri"/>
          <w:i/>
          <w:color w:val="4B5563"/>
          <w:sz w:val="16"/>
        </w:rPr>
        <w:t>Milestone 6 evidence screenshot.</w:t>
      </w:r>
    </w:p>
    <w:p>
      <w:pPr>
        <w:spacing w:before="0" w:after="60" w:line="264" w:lineRule="auto"/>
      </w:pPr>
      <w:r>
        <w:rPr>
          <w:rFonts w:ascii="Calibri" w:hAnsi="Calibri"/>
          <w:b/>
          <w:color w:val="111111"/>
          <w:sz w:val="19"/>
        </w:rPr>
        <w:t xml:space="preserve">Live app: </w:t>
      </w:r>
      <w:hyperlink r:id="rId11">
        <w:r>
          <w:rPr>
            <w:color w:val="2E74B5"/>
            <w:u w:val="single"/>
          </w:rPr>
          <w:t>https://buildgames.forg3t.io</w:t>
        </w:r>
      </w:hyperlink>
    </w:p>
    <w:p>
      <w:pPr>
        <w:spacing w:before="0" w:after="140" w:line="264" w:lineRule="auto"/>
      </w:pPr>
      <w:r>
        <w:rPr>
          <w:rFonts w:ascii="Calibri" w:hAnsi="Calibri"/>
          <w:color w:val="111111"/>
          <w:sz w:val="21"/>
        </w:rPr>
        <w:t>Repository and evidence artifacts:</w:t>
      </w:r>
    </w:p>
    <w:p>
      <w:pPr>
        <w:pStyle w:val="ListBullet"/>
        <w:spacing w:before="0" w:after="60" w:line="264" w:lineRule="auto"/>
        <w:ind w:left="504"/>
      </w:pPr>
      <w:r>
        <w:rPr>
          <w:rFonts w:ascii="Calibri" w:hAnsi="Calibri"/>
          <w:color w:val="111111"/>
          <w:sz w:val="19"/>
        </w:rPr>
        <w:t>project/src/lib/domainUtils.ts</w:t>
      </w:r>
    </w:p>
    <w:p>
      <w:pPr>
        <w:pStyle w:val="ListBullet"/>
        <w:spacing w:before="0" w:after="60" w:line="264" w:lineRule="auto"/>
        <w:ind w:left="504"/>
      </w:pPr>
      <w:r>
        <w:rPr>
          <w:rFonts w:ascii="Calibri" w:hAnsi="Calibri"/>
          <w:color w:val="111111"/>
          <w:sz w:val="19"/>
        </w:rPr>
        <w:t>project/src/lib/domainUtils.test.ts</w:t>
      </w:r>
    </w:p>
    <w:p>
      <w:pPr>
        <w:pStyle w:val="ListBullet"/>
        <w:spacing w:before="0" w:after="60" w:line="264" w:lineRule="auto"/>
        <w:ind w:left="504"/>
      </w:pPr>
      <w:r>
        <w:rPr>
          <w:rFonts w:ascii="Calibri" w:hAnsi="Calibri"/>
          <w:color w:val="111111"/>
          <w:sz w:val="19"/>
        </w:rPr>
        <w:t>project/src/pages/Settings.tsx</w:t>
      </w:r>
    </w:p>
    <w:p>
      <w:pPr>
        <w:pStyle w:val="ListBullet"/>
        <w:spacing w:before="0" w:after="60" w:line="264" w:lineRule="auto"/>
        <w:ind w:left="504"/>
      </w:pPr>
      <w:r>
        <w:rPr>
          <w:rFonts w:ascii="Calibri" w:hAnsi="Calibri"/>
          <w:color w:val="111111"/>
          <w:sz w:val="19"/>
        </w:rPr>
        <w:t>project/supabase/functions/reports/index.ts</w:t>
      </w:r>
    </w:p>
    <w:p>
      <w:pPr>
        <w:pStyle w:val="ListBullet"/>
        <w:spacing w:before="0" w:after="60" w:line="264" w:lineRule="auto"/>
        <w:ind w:left="504"/>
      </w:pPr>
      <w:r>
        <w:rPr>
          <w:rFonts w:ascii="Calibri" w:hAnsi="Calibri"/>
          <w:color w:val="111111"/>
          <w:sz w:val="19"/>
        </w:rPr>
        <w:t>project/supabase/functions/_shared/rbac.ts</w:t>
      </w:r>
    </w:p>
    <w:p>
      <w:r>
        <w:br w:type="page"/>
      </w:r>
    </w:p>
    <w:p>
      <w:pPr>
        <w:pStyle w:val="Heading1"/>
        <w:spacing w:before="280" w:after="120" w:line="264" w:lineRule="auto"/>
      </w:pPr>
      <w:r>
        <w:rPr>
          <w:rFonts w:ascii="Calibri" w:hAnsi="Calibri"/>
          <w:b/>
          <w:color w:val="2E74B5"/>
          <w:sz w:val="32"/>
        </w:rPr>
        <w:t>Milestone 7: Introduce repeatable verification pipelines for multiple unlearning jobs</w:t>
      </w:r>
    </w:p>
    <w:p>
      <w:pPr>
        <w:spacing w:before="0" w:after="140" w:line="264" w:lineRule="auto"/>
      </w:pPr>
      <w:r>
        <w:rPr>
          <w:rFonts w:ascii="Calibri" w:hAnsi="Calibri"/>
          <w:color w:val="111111"/>
          <w:sz w:val="21"/>
        </w:rPr>
        <w:t>Status: Completed.</w:t>
      </w:r>
    </w:p>
    <w:p>
      <w:pPr>
        <w:spacing w:before="0" w:after="140" w:line="264" w:lineRule="auto"/>
      </w:pPr>
      <w:r>
        <w:rPr>
          <w:rFonts w:ascii="Calibri" w:hAnsi="Calibri"/>
          <w:color w:val="111111"/>
          <w:sz w:val="21"/>
        </w:rPr>
        <w:t>Phase 2 Review Pipeline 2026-06-04 produced 3 jobs, 3 evidence records, and 9 report exports; anchor coverage is demonstrated by the existing Avalanche mainnet anchor history in the same Phase 2 reviewer flow.</w:t>
      </w:r>
    </w:p>
    <w:p>
      <w:pPr>
        <w:spacing w:before="0" w:after="40" w:line="264" w:lineRule="auto"/>
        <w:jc w:val="center"/>
      </w:pPr>
      <w:r>
        <w:drawing>
          <wp:inline xmlns:a="http://schemas.openxmlformats.org/drawingml/2006/main" xmlns:pic="http://schemas.openxmlformats.org/drawingml/2006/picture">
            <wp:extent cx="5806440" cy="3266122"/>
            <wp:docPr id="9" name="Picture 9"/>
            <wp:cNvGraphicFramePr>
              <a:graphicFrameLocks noChangeAspect="1"/>
            </wp:cNvGraphicFramePr>
            <a:graphic>
              <a:graphicData uri="http://schemas.openxmlformats.org/drawingml/2006/picture">
                <pic:pic>
                  <pic:nvPicPr>
                    <pic:cNvPr id="0" name="milestone-07-repeatable-pipelines-anchor-history.png"/>
                    <pic:cNvPicPr/>
                  </pic:nvPicPr>
                  <pic:blipFill>
                    <a:blip r:embed="rId23"/>
                    <a:stretch>
                      <a:fillRect/>
                    </a:stretch>
                  </pic:blipFill>
                  <pic:spPr>
                    <a:xfrm>
                      <a:off x="0" y="0"/>
                      <a:ext cx="5806440" cy="3266122"/>
                    </a:xfrm>
                    <a:prstGeom prst="rect"/>
                  </pic:spPr>
                </pic:pic>
              </a:graphicData>
            </a:graphic>
          </wp:inline>
        </w:drawing>
      </w:r>
    </w:p>
    <w:p>
      <w:pPr>
        <w:spacing w:before="0" w:after="180" w:line="240" w:lineRule="auto"/>
        <w:jc w:val="center"/>
      </w:pPr>
      <w:r>
        <w:rPr>
          <w:rFonts w:ascii="Calibri" w:hAnsi="Calibri"/>
          <w:i/>
          <w:color w:val="4B5563"/>
          <w:sz w:val="16"/>
        </w:rPr>
        <w:t>Milestone 7 evidence screenshot.</w:t>
      </w:r>
    </w:p>
    <w:p>
      <w:pPr>
        <w:spacing w:before="0" w:after="60" w:line="264" w:lineRule="auto"/>
      </w:pPr>
      <w:r>
        <w:rPr>
          <w:rFonts w:ascii="Calibri" w:hAnsi="Calibri"/>
          <w:b/>
          <w:color w:val="111111"/>
          <w:sz w:val="19"/>
        </w:rPr>
        <w:t xml:space="preserve">Live app: </w:t>
      </w:r>
      <w:hyperlink r:id="rId11">
        <w:r>
          <w:rPr>
            <w:color w:val="2E74B5"/>
            <w:u w:val="single"/>
          </w:rPr>
          <w:t>https://buildgames.forg3t.io</w:t>
        </w:r>
      </w:hyperlink>
    </w:p>
    <w:p>
      <w:pPr>
        <w:spacing w:before="0" w:after="140" w:line="264" w:lineRule="auto"/>
      </w:pPr>
      <w:r>
        <w:rPr>
          <w:rFonts w:ascii="Calibri" w:hAnsi="Calibri"/>
          <w:color w:val="111111"/>
          <w:sz w:val="21"/>
        </w:rPr>
        <w:t>Repository and evidence artifacts:</w:t>
      </w:r>
    </w:p>
    <w:p>
      <w:pPr>
        <w:pStyle w:val="ListBullet"/>
        <w:spacing w:before="0" w:after="60" w:line="264" w:lineRule="auto"/>
        <w:ind w:left="504"/>
      </w:pPr>
      <w:r>
        <w:rPr>
          <w:rFonts w:ascii="Calibri" w:hAnsi="Calibri"/>
          <w:color w:val="111111"/>
          <w:sz w:val="19"/>
        </w:rPr>
        <w:t>project/src/pages/Pipelines.tsx</w:t>
      </w:r>
    </w:p>
    <w:p>
      <w:pPr>
        <w:pStyle w:val="ListBullet"/>
        <w:spacing w:before="0" w:after="60" w:line="264" w:lineRule="auto"/>
        <w:ind w:left="504"/>
      </w:pPr>
      <w:r>
        <w:rPr>
          <w:rFonts w:ascii="Calibri" w:hAnsi="Calibri"/>
          <w:color w:val="111111"/>
          <w:sz w:val="19"/>
        </w:rPr>
        <w:t>project/supabase/functions/pipelines/index.ts</w:t>
      </w:r>
    </w:p>
    <w:p>
      <w:pPr>
        <w:pStyle w:val="ListBullet"/>
        <w:spacing w:before="0" w:after="60" w:line="264" w:lineRule="auto"/>
        <w:ind w:left="504"/>
      </w:pPr>
      <w:r>
        <w:rPr>
          <w:rFonts w:ascii="Calibri" w:hAnsi="Calibri"/>
          <w:color w:val="111111"/>
          <w:sz w:val="19"/>
        </w:rPr>
        <w:t>project/docs/grant-review/submission-assets/api/pipeline-review-run.json</w:t>
      </w:r>
    </w:p>
    <w:p>
      <w:pPr>
        <w:pStyle w:val="ListBullet"/>
        <w:spacing w:before="0" w:after="60" w:line="264" w:lineRule="auto"/>
        <w:ind w:left="504"/>
      </w:pPr>
      <w:r>
        <w:rPr>
          <w:rFonts w:ascii="Calibri" w:hAnsi="Calibri"/>
          <w:color w:val="111111"/>
          <w:sz w:val="19"/>
        </w:rPr>
        <w:t>project/docs/grant-review/submission-assets/api/pipeline-review-list.json</w:t>
      </w:r>
    </w:p>
    <w:p>
      <w:pPr>
        <w:pStyle w:val="ListBullet"/>
        <w:spacing w:before="0" w:after="60" w:line="264" w:lineRule="auto"/>
        <w:ind w:left="504"/>
      </w:pPr>
      <w:r>
        <w:rPr>
          <w:rFonts w:ascii="Calibri" w:hAnsi="Calibri"/>
          <w:color w:val="111111"/>
          <w:sz w:val="19"/>
        </w:rPr>
        <w:t>project/docs/grant-review/submission-assets/api/previous-mainnet-anchors.json</w:t>
      </w:r>
    </w:p>
    <w:p>
      <w:pPr>
        <w:pStyle w:val="Heading1"/>
        <w:spacing w:before="280" w:after="120" w:line="264" w:lineRule="auto"/>
      </w:pPr>
      <w:r>
        <w:rPr>
          <w:rFonts w:ascii="Calibri" w:hAnsi="Calibri"/>
          <w:b/>
          <w:color w:val="2E74B5"/>
          <w:sz w:val="32"/>
        </w:rPr>
        <w:t>Milestone 8: Expand integrations for teams using API based AI systems</w:t>
      </w:r>
    </w:p>
    <w:p>
      <w:pPr>
        <w:spacing w:before="0" w:after="140" w:line="264" w:lineRule="auto"/>
      </w:pPr>
      <w:r>
        <w:rPr>
          <w:rFonts w:ascii="Calibri" w:hAnsi="Calibri"/>
          <w:color w:val="111111"/>
          <w:sz w:val="21"/>
        </w:rPr>
        <w:t>Status: Completed.</w:t>
      </w:r>
    </w:p>
    <w:p>
      <w:pPr>
        <w:spacing w:before="0" w:after="140" w:line="264" w:lineRule="auto"/>
      </w:pPr>
      <w:r>
        <w:rPr>
          <w:rFonts w:ascii="Calibri" w:hAnsi="Calibri"/>
          <w:color w:val="111111"/>
          <w:sz w:val="21"/>
        </w:rPr>
        <w:t>OpenAI-compatible black-box suppression flow and integrations settings support API-based AI teams with server-side secrets.</w:t>
      </w:r>
    </w:p>
    <w:p>
      <w:pPr>
        <w:spacing w:before="0" w:after="40" w:line="264" w:lineRule="auto"/>
        <w:jc w:val="center"/>
      </w:pPr>
      <w:r>
        <w:drawing>
          <wp:inline xmlns:a="http://schemas.openxmlformats.org/drawingml/2006/main" xmlns:pic="http://schemas.openxmlformats.org/drawingml/2006/picture">
            <wp:extent cx="5806440" cy="3304851"/>
            <wp:docPr id="10" name="Picture 10"/>
            <wp:cNvGraphicFramePr>
              <a:graphicFrameLocks noChangeAspect="1"/>
            </wp:cNvGraphicFramePr>
            <a:graphic>
              <a:graphicData uri="http://schemas.openxmlformats.org/drawingml/2006/picture">
                <pic:pic>
                  <pic:nvPicPr>
                    <pic:cNvPr id="0" name="milestone-08-openai-compatible-flow.png"/>
                    <pic:cNvPicPr/>
                  </pic:nvPicPr>
                  <pic:blipFill>
                    <a:blip r:embed="rId24"/>
                    <a:stretch>
                      <a:fillRect/>
                    </a:stretch>
                  </pic:blipFill>
                  <pic:spPr>
                    <a:xfrm>
                      <a:off x="0" y="0"/>
                      <a:ext cx="5806440" cy="3304851"/>
                    </a:xfrm>
                    <a:prstGeom prst="rect"/>
                  </pic:spPr>
                </pic:pic>
              </a:graphicData>
            </a:graphic>
          </wp:inline>
        </w:drawing>
      </w:r>
    </w:p>
    <w:p>
      <w:pPr>
        <w:spacing w:before="0" w:after="180" w:line="240" w:lineRule="auto"/>
        <w:jc w:val="center"/>
      </w:pPr>
      <w:r>
        <w:rPr>
          <w:rFonts w:ascii="Calibri" w:hAnsi="Calibri"/>
          <w:i/>
          <w:color w:val="4B5563"/>
          <w:sz w:val="16"/>
        </w:rPr>
        <w:t>Milestone 8 evidence screenshot.</w:t>
      </w:r>
    </w:p>
    <w:p>
      <w:pPr>
        <w:spacing w:before="0" w:after="60" w:line="264" w:lineRule="auto"/>
      </w:pPr>
      <w:r>
        <w:rPr>
          <w:rFonts w:ascii="Calibri" w:hAnsi="Calibri"/>
          <w:b/>
          <w:color w:val="111111"/>
          <w:sz w:val="19"/>
        </w:rPr>
        <w:t xml:space="preserve">Live app: </w:t>
      </w:r>
      <w:hyperlink r:id="rId11">
        <w:r>
          <w:rPr>
            <w:color w:val="2E74B5"/>
            <w:u w:val="single"/>
          </w:rPr>
          <w:t>https://buildgames.forg3t.io</w:t>
        </w:r>
      </w:hyperlink>
    </w:p>
    <w:p>
      <w:pPr>
        <w:spacing w:before="0" w:after="140" w:line="264" w:lineRule="auto"/>
      </w:pPr>
      <w:r>
        <w:rPr>
          <w:rFonts w:ascii="Calibri" w:hAnsi="Calibri"/>
          <w:color w:val="111111"/>
          <w:sz w:val="21"/>
        </w:rPr>
        <w:t>Repository and evidence artifacts:</w:t>
      </w:r>
    </w:p>
    <w:p>
      <w:pPr>
        <w:pStyle w:val="ListBullet"/>
        <w:spacing w:before="0" w:after="60" w:line="264" w:lineRule="auto"/>
        <w:ind w:left="504"/>
      </w:pPr>
      <w:r>
        <w:rPr>
          <w:rFonts w:ascii="Calibri" w:hAnsi="Calibri"/>
          <w:color w:val="111111"/>
          <w:sz w:val="19"/>
        </w:rPr>
        <w:t>project/src/pages/Settings.tsx</w:t>
      </w:r>
    </w:p>
    <w:p>
      <w:pPr>
        <w:pStyle w:val="ListBullet"/>
        <w:spacing w:before="0" w:after="60" w:line="264" w:lineRule="auto"/>
        <w:ind w:left="504"/>
      </w:pPr>
      <w:r>
        <w:rPr>
          <w:rFonts w:ascii="Calibri" w:hAnsi="Calibri"/>
          <w:color w:val="111111"/>
          <w:sz w:val="19"/>
        </w:rPr>
        <w:t>project/src/pages/Unlearning.tsx</w:t>
      </w:r>
    </w:p>
    <w:p>
      <w:pPr>
        <w:pStyle w:val="ListBullet"/>
        <w:spacing w:before="0" w:after="60" w:line="264" w:lineRule="auto"/>
        <w:ind w:left="504"/>
      </w:pPr>
      <w:r>
        <w:rPr>
          <w:rFonts w:ascii="Calibri" w:hAnsi="Calibri"/>
          <w:color w:val="111111"/>
          <w:sz w:val="19"/>
        </w:rPr>
        <w:t>project/supabase/functions/integrations/index.ts</w:t>
      </w:r>
    </w:p>
    <w:p>
      <w:pPr>
        <w:pStyle w:val="ListBullet"/>
        <w:spacing w:before="0" w:after="60" w:line="264" w:lineRule="auto"/>
        <w:ind w:left="504"/>
      </w:pPr>
      <w:r>
        <w:rPr>
          <w:rFonts w:ascii="Calibri" w:hAnsi="Calibri"/>
          <w:color w:val="111111"/>
          <w:sz w:val="19"/>
        </w:rPr>
        <w:t>project/docs/grant-review/evidence-artifacts/api/integration-create-generic-http.json</w:t>
      </w:r>
    </w:p>
    <w:p>
      <w:pPr>
        <w:pStyle w:val="ListBullet"/>
        <w:spacing w:before="0" w:after="60" w:line="264" w:lineRule="auto"/>
        <w:ind w:left="504"/>
      </w:pPr>
      <w:r>
        <w:rPr>
          <w:rFonts w:ascii="Calibri" w:hAnsi="Calibri"/>
          <w:color w:val="111111"/>
          <w:sz w:val="19"/>
        </w:rPr>
        <w:t>project/docs/grant-review/evidence-artifacts/api/integration-test-generic-http.json</w:t>
      </w:r>
    </w:p>
    <w:p>
      <w:pPr>
        <w:pStyle w:val="Heading1"/>
        <w:spacing w:before="280" w:after="120" w:line="264" w:lineRule="auto"/>
      </w:pPr>
      <w:r>
        <w:rPr>
          <w:rFonts w:ascii="Calibri" w:hAnsi="Calibri"/>
          <w:b/>
          <w:color w:val="2E74B5"/>
          <w:sz w:val="32"/>
        </w:rPr>
        <w:t>Final Readiness Statement</w:t>
      </w:r>
    </w:p>
    <w:p>
      <w:pPr>
        <w:spacing w:before="0" w:after="140" w:line="264" w:lineRule="auto"/>
      </w:pPr>
      <w:r>
        <w:rPr>
          <w:rFonts w:ascii="Calibri" w:hAnsi="Calibri"/>
          <w:color w:val="111111"/>
          <w:sz w:val="21"/>
        </w:rPr>
        <w:t>Forg3t Protocol is ready to submit the Avalanche Grant Phase 2 disbursement request. The product, repository, production reviewer workflow, mainnet anchor history, public verification route, documentation article, pilot contract, RBAC/export flow, repeatable pipeline run, and API integration flow are all represented with direct artifacts in this packet.</w:t>
      </w:r>
    </w:p>
    <w:tbl>
      <w:tblPr>
        <w:tblW w:type="auto" w:w="0"/>
        <w:jc w:val="center"/>
        <w:tblLayout w:type="fixed"/>
        <w:tblLook w:firstColumn="1" w:firstRow="1" w:lastColumn="0" w:lastRow="0" w:noHBand="0" w:noVBand="1" w:val="04A0"/>
      </w:tblPr>
      <w:tblGrid>
        <w:gridCol w:w="2880"/>
        <w:gridCol w:w="6264"/>
      </w:tblGrid>
      <w:tr>
        <w:tc>
          <w:tcPr>
            <w:tcW w:type="dxa" w:w="4680"/>
            <w:shd w:fill="F2F4F7"/>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7"/>
              </w:rPr>
              <w:t>Artifact</w:t>
            </w:r>
          </w:p>
        </w:tc>
        <w:tc>
          <w:tcPr>
            <w:tcW w:type="dxa" w:w="4680"/>
            <w:shd w:fill="F2F4F7"/>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7"/>
              </w:rPr>
              <w:t>Location</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Word packet</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project/docs/grant-review/forg3t-avalanche-phase2-submission-packet.docx</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Walkthrough GIF</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project/docs/grant-review/submission-assets/video/forg3t-avalanche-phase2-proof-walkthrough.gif</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Milestone screenshots</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project/docs/grant-review/submission-assets/screenshots/</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Mainnet verification JSON</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project/docs/grant-review/submission-assets/api/avalanche-mainnet-verification.json</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Pipeline run JSON</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project/docs/grant-review/submission-assets/api/pipeline-review-run.json</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Medium article</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https://medium.com/@aiunlearning/forg3t-protocol-and-avalanche-evidence-anchoring-7310bf22226e</w:t>
            </w:r>
          </w:p>
        </w:tc>
      </w:tr>
      <w:tr>
        <w:tc>
          <w:tcPr>
            <w:tcW w:type="dxa" w:w="2880"/>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color w:val="111111"/>
                <w:sz w:val="16"/>
              </w:rPr>
              <w:t>Signed pilot agreement</w:t>
            </w:r>
          </w:p>
        </w:tc>
        <w:tc>
          <w:tcPr>
            <w:tcW w:type="dxa" w:w="6264"/>
            <w:shd w:fill="FFFFFF"/>
            <w:tcBorders>
              <w:top w:val="single" w:sz="6" w:space="0" w:color="DADCE0"/>
              <w:left w:val="single" w:sz="6" w:space="0" w:color="DADCE0"/>
              <w:bottom w:val="single" w:sz="6" w:space="0" w:color="DADCE0"/>
              <w:right w:val="single" w:sz="6" w:space="0" w:color="DADCE0"/>
            </w:tcBorders>
            <w:tcMar>
              <w:top w:w="80" w:type="dxa"/>
              <w:bottom w:w="80" w:type="dxa"/>
              <w:start w:w="120" w:type="dxa"/>
              <w:end w:w="120" w:type="dxa"/>
            </w:tcMar>
            <w:vAlign w:val="center"/>
          </w:tcPr>
          <w:p>
            <w:pPr>
              <w:spacing w:before="0" w:after="0" w:line="259" w:lineRule="auto"/>
            </w:pPr>
            <w:r/>
            <w:r>
              <w:rPr>
                <w:rFonts w:ascii="Calibri" w:hAnsi="Calibri"/>
                <w:b w:val="0"/>
                <w:color w:val="111111"/>
                <w:sz w:val="16"/>
              </w:rPr>
              <w:t>https://drive.google.com/file/d/1XHKNlS2EuiAAWFcff0P-Wgo-uuABiNUg/view?usp=sharing</w:t>
            </w:r>
          </w:p>
        </w:tc>
      </w:tr>
    </w:tbl>
    <w:p>
      <w:pPr>
        <w:spacing w:after="60"/>
      </w:pPr>
    </w:p>
    <w:p>
      <w:pPr>
        <w:spacing w:before="0" w:after="140" w:line="264" w:lineRule="auto"/>
      </w:pPr>
      <w:r>
        <w:rPr>
          <w:rFonts w:ascii="Calibri" w:hAnsi="Calibri"/>
          <w:color w:val="111111"/>
          <w:sz w:val="21"/>
        </w:rPr>
        <w:t>Reviewer account credentials should be shared with Avalanche through a secure channel only. Passwords, admin database credentials, and wallet signer secrets are intentionally not embedded in this document or committed to the repository.</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B5563"/>
        <w:sz w:val="16"/>
      </w:rPr>
      <w:t>Forg3t Protocol | Avalanche Grant Phase 2 Completion Packet | June 4,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lvinagile/Forg3t-Avax" TargetMode="External"/><Relationship Id="rId11" Type="http://schemas.openxmlformats.org/officeDocument/2006/relationships/hyperlink" Target="https://buildgames.forg3t.io" TargetMode="External"/><Relationship Id="rId12" Type="http://schemas.openxmlformats.org/officeDocument/2006/relationships/hyperlink" Target="https://medium.com/@aiunlearning/forg3t-protocol-and-avalanche-evidence-anchoring-7310bf22226e" TargetMode="External"/><Relationship Id="rId13" Type="http://schemas.openxmlformats.org/officeDocument/2006/relationships/hyperlink" Target="https://drive.google.com/file/d/1XHKNlS2EuiAAWFcff0P-Wgo-uuABiNUg/view?usp=sharing" TargetMode="External"/><Relationship Id="rId14" Type="http://schemas.openxmlformats.org/officeDocument/2006/relationships/hyperlink" Target="https://buildgames.forg3t.io/verify/636919b6e97441df953d98278bbc0efe" TargetMode="External"/><Relationship Id="rId15" Type="http://schemas.openxmlformats.org/officeDocument/2006/relationships/hyperlink" Target="https://snowtrace.io/tx/0x4f9d253d097808406777ba1b9d67b0ac4baac44d34d1d101cea4a3721559c69b"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Forg3t Protocol Avalanche Grant Phase 2 Completion Packet</dc:title>
  <dc:subject>Avalanche Phase 2 milestone evidence package</dc:subject>
  <dc:creator>Forg3t Protocol</dc:creator>
  <cp:keywords/>
  <dc:description>generated by python-docx</dc:description>
  <cp:lastModifiedBy/>
  <cp:revision>1</cp:revision>
  <dcterms:created xsi:type="dcterms:W3CDTF">2013-12-23T23:15:00Z</dcterms:created>
  <dcterms:modified xsi:type="dcterms:W3CDTF">2013-12-23T23:15:00Z</dcterms:modified>
  <cp:category/>
</cp:coreProperties>
</file>