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Arial" w:cs="Arial" w:eastAsia="Arial" w:hAnsi="Arial"/>
          <w:b/>
          <w:bCs/>
          <w:color w:val="1F6FEB"/>
          <w:sz w:val="52"/>
          <w:szCs w:val="52"/>
        </w:rPr>
        <w:t xml:space="preserve">SignalIQ Grid System</w:t>
      </w:r>
    </w:p>
    <w:p>
      <w:pPr>
        <w:spacing w:after="160" w:before="0"/>
        <w:jc w:val="center"/>
      </w:pPr>
      <w:r>
        <w:rPr>
          <w:rFonts w:ascii="Arial" w:cs="Arial" w:eastAsia="Arial" w:hAnsi="Arial"/>
          <w:b/>
          <w:bCs/>
          <w:color w:val="0D1117"/>
          <w:sz w:val="40"/>
          <w:szCs w:val="40"/>
        </w:rPr>
        <w:t xml:space="preserve">Google Workspace Email Outreach Playbook</w:t>
      </w:r>
    </w:p>
    <w:p>
      <w:pPr>
        <w:spacing w:after="80" w:before="0"/>
        <w:jc w:val="center"/>
      </w:pPr>
      <w:r>
        <w:rPr>
          <w:rFonts w:ascii="Arial" w:cs="Arial" w:eastAsia="Arial" w:hAnsi="Arial"/>
          <w:color w:val="6E7681"/>
          <w:sz w:val="22"/>
          <w:szCs w:val="22"/>
        </w:rPr>
        <w:t xml:space="preserve">Sending Capacity • Inbox Placement • Legal Compliance • CTR Optimization</w:t>
      </w:r>
    </w:p>
    <w:p>
      <w:pPr>
        <w:spacing w:after="1200" w:before="0"/>
        <w:jc w:val="center"/>
      </w:pPr>
      <w:r>
        <w:rPr>
          <w:rFonts w:ascii="Arial" w:cs="Arial" w:eastAsia="Arial" w:hAnsi="Arial"/>
          <w:i/>
          <w:iCs/>
          <w:color w:val="6E7681"/>
          <w:sz w:val="20"/>
          <w:szCs w:val="20"/>
        </w:rPr>
        <w:t xml:space="preserve">April 2026 • Internal Operations Brief</w:t>
      </w:r>
    </w:p>
    <w:p>
      <w:r>
        <w:br w:type="page"/>
      </w:r>
    </w:p>
    <w:p>
      <w:pPr>
        <w:pStyle w:val="Heading1"/>
        <w:pBdr>
          <w:bottom w:val="single" w:color="1F6FEB" w:sz="8" w:space="1"/>
        </w:pBdr>
        <w:spacing w:after="200" w:before="400"/>
      </w:pPr>
      <w:r>
        <w:rPr>
          <w:rFonts w:ascii="Arial" w:cs="Arial" w:eastAsia="Arial" w:hAnsi="Arial"/>
          <w:b/>
          <w:bCs/>
          <w:color w:val="0D1117"/>
          <w:sz w:val="36"/>
          <w:szCs w:val="36"/>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F6FEB" w:sz="8" w:space="1"/>
        </w:pBdr>
        <w:spacing w:after="200" w:before="400"/>
      </w:pPr>
      <w:r>
        <w:rPr>
          <w:rFonts w:ascii="Arial" w:cs="Arial" w:eastAsia="Arial" w:hAnsi="Arial"/>
          <w:b/>
          <w:bCs/>
          <w:color w:val="0D1117"/>
          <w:sz w:val="36"/>
          <w:szCs w:val="36"/>
        </w:rPr>
        <w:t xml:space="preserve">1. Current Send Capacity in SignalIQ</w:t>
      </w:r>
    </w:p>
    <w:p>
      <w:pPr>
        <w:spacing w:after="80" w:before="80"/>
      </w:pPr>
      <w:r>
        <w:rPr>
          <w:rFonts w:ascii="Arial" w:cs="Arial" w:eastAsia="Arial" w:hAnsi="Arial"/>
          <w:color w:val="0D1117"/>
          <w:sz w:val="22"/>
          <w:szCs w:val="22"/>
        </w:rPr>
        <w:t xml:space="preserve">Your SignalIQ instance currently enforces three send tiers via billing controls. Here is exactly where you stand today:</w:t>
      </w:r>
    </w:p>
    <w:p>
      <w:pPr>
        <w:spacing w:after="0" w:before="40"/>
      </w:pPr>
      <w:r>
        <w:rPr>
          <w:rFonts w:ascii="Arial" w:cs="Arial" w:eastAsia="Arial" w:hAnsi="Arial"/>
          <w:color w:val="0D111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Plan</w:t>
            </w:r>
          </w:p>
        </w:tc>
        <w:tc>
          <w:tcPr>
            <w:tcW w:type="dxa" w:w="240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Monthly Sends</w:t>
            </w:r>
          </w:p>
        </w:tc>
        <w:tc>
          <w:tcPr>
            <w:tcW w:type="dxa" w:w="240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Per Day (avg)</w:t>
            </w:r>
          </w:p>
        </w:tc>
        <w:tc>
          <w:tcPr>
            <w:tcW w:type="dxa" w:w="216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Status</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Free</w:t>
            </w:r>
          </w:p>
        </w:tc>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100 / month</w:t>
            </w:r>
          </w:p>
        </w:tc>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~3/day</w:t>
            </w:r>
          </w:p>
        </w:tc>
        <w:tc>
          <w:tcPr>
            <w:tcW w:type="dxa" w:w="21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b/>
                <w:bCs/>
                <w:color w:val="B08A00"/>
                <w:sz w:val="20"/>
                <w:szCs w:val="20"/>
              </w:rPr>
              <w:t xml:space="preserve">Active default</w:t>
            </w:r>
          </w:p>
        </w:tc>
      </w:tr>
      <w:tr>
        <w:tc>
          <w:tcPr>
            <w:tcW w:type="dxa" w:w="24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Pro</w:t>
            </w:r>
          </w:p>
        </w:tc>
        <w:tc>
          <w:tcPr>
            <w:tcW w:type="dxa" w:w="24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5,000 / month</w:t>
            </w:r>
          </w:p>
        </w:tc>
        <w:tc>
          <w:tcPr>
            <w:tcW w:type="dxa" w:w="24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~167/day</w:t>
            </w:r>
          </w:p>
        </w:tc>
        <w:tc>
          <w:tcPr>
            <w:tcW w:type="dxa" w:w="216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6E7681"/>
                <w:sz w:val="20"/>
                <w:szCs w:val="20"/>
              </w:rPr>
              <w:t xml:space="preserve">Stripe upgrade</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Team</w:t>
            </w:r>
          </w:p>
        </w:tc>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20,000 / month</w:t>
            </w:r>
          </w:p>
        </w:tc>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~667/day</w:t>
            </w:r>
          </w:p>
        </w:tc>
        <w:tc>
          <w:tcPr>
            <w:tcW w:type="dxa" w:w="21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6E7681"/>
                <w:sz w:val="20"/>
                <w:szCs w:val="20"/>
              </w:rPr>
              <w:t xml:space="preserve">Stripe upgrade</w:t>
            </w:r>
          </w:p>
        </w:tc>
      </w:tr>
      <w:tr>
        <w:tc>
          <w:tcPr>
            <w:tcW w:type="dxa" w:w="24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Custom / Unlimited</w:t>
            </w:r>
          </w:p>
        </w:tc>
        <w:tc>
          <w:tcPr>
            <w:tcW w:type="dxa" w:w="24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No hard cap</w:t>
            </w:r>
          </w:p>
        </w:tc>
        <w:tc>
          <w:tcPr>
            <w:tcW w:type="dxa" w:w="24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Infra-limited</w:t>
            </w:r>
          </w:p>
        </w:tc>
        <w:tc>
          <w:tcPr>
            <w:tcW w:type="dxa" w:w="216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6E7681"/>
                <w:sz w:val="20"/>
                <w:szCs w:val="20"/>
              </w:rPr>
              <w:t xml:space="preserve">API config override</w:t>
            </w:r>
          </w:p>
        </w:tc>
      </w:tr>
    </w:tbl>
    <w:p>
      <w:pPr>
        <w:spacing w:after="0" w:before="80"/>
      </w:pPr>
      <w:r>
        <w:rPr>
          <w:rFonts w:ascii="Arial" w:cs="Arial" w:eastAsia="Arial" w:hAnsi="Arial"/>
          <w:color w:val="0D111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FF8E1" w:val="clear"/>
            <w:tcMar>
              <w:top w:type="dxa" w:w="160"/>
              <w:left w:type="dxa" w:w="200"/>
              <w:bottom w:type="dxa" w:w="160"/>
              <w:right w:type="dxa" w:w="200"/>
            </w:tcMar>
          </w:tcPr>
          <w:p>
            <w:pPr>
              <w:spacing w:after="0" w:before="0"/>
            </w:pPr>
            <w:r>
              <w:rPr>
                <w:rFonts w:ascii="Arial" w:cs="Arial" w:eastAsia="Arial" w:hAnsi="Arial"/>
                <w:b/>
                <w:bCs/>
                <w:color w:val="B08A00"/>
                <w:sz w:val="20"/>
                <w:szCs w:val="20"/>
              </w:rPr>
              <w:t xml:space="preserve">⚠️ Current State:  </w:t>
            </w:r>
            <w:r>
              <w:rPr>
                <w:rFonts w:ascii="Arial" w:cs="Arial" w:eastAsia="Arial" w:hAnsi="Arial"/>
                <w:color w:val="0D1117"/>
                <w:sz w:val="20"/>
                <w:szCs w:val="20"/>
              </w:rPr>
              <w:t xml:space="preserve">Your Free plan limits you to 100 sends/month. The platform limit is a billing gate — not a Google or Resend constraint. Upgrading to Pro or Team is instant via Stripe with no infrastructure changes.</w:t>
            </w:r>
          </w:p>
        </w:tc>
      </w:tr>
    </w:tbl>
    <w:p>
      <w:pPr>
        <w:spacing w:after="0" w:before="80"/>
      </w:pPr>
      <w:r>
        <w:rPr>
          <w:rFonts w:ascii="Arial" w:cs="Arial" w:eastAsia="Arial" w:hAnsi="Arial"/>
          <w:color w:val="0D1117"/>
          <w:sz w:val="22"/>
          <w:szCs w:val="22"/>
        </w:rPr>
        <w:t xml:space="preserve"/>
      </w:r>
    </w:p>
    <w:p>
      <w:pPr>
        <w:pStyle w:val="Heading2"/>
        <w:spacing w:after="160" w:before="320"/>
      </w:pPr>
      <w:r>
        <w:rPr>
          <w:rFonts w:ascii="Arial" w:cs="Arial" w:eastAsia="Arial" w:hAnsi="Arial"/>
          <w:b/>
          <w:bCs/>
          <w:color w:val="1F6FEB"/>
          <w:sz w:val="28"/>
          <w:szCs w:val="28"/>
        </w:rPr>
        <w:t xml:space="preserve">1.1 How to Expand Immediately</w:t>
      </w:r>
    </w:p>
    <w:p>
      <w:pPr>
        <w:spacing w:after="80" w:before="80"/>
      </w:pPr>
      <w:r>
        <w:rPr>
          <w:rFonts w:ascii="Arial" w:cs="Arial" w:eastAsia="Arial" w:hAnsi="Arial"/>
          <w:color w:val="0D1117"/>
          <w:sz w:val="22"/>
          <w:szCs w:val="22"/>
        </w:rPr>
        <w:t xml:space="preserve">Three actions will increase your effective send volume:</w:t>
      </w:r>
    </w:p>
    <w:p>
      <w:pPr>
        <w:pStyle w:val="ListParagraph"/>
        <w:numPr>
          <w:ilvl w:val="0"/>
          <w:numId w:val="2"/>
        </w:numPr>
        <w:spacing w:after="60" w:before="60"/>
      </w:pPr>
      <w:r>
        <w:rPr>
          <w:rFonts w:ascii="Arial" w:cs="Arial" w:eastAsia="Arial" w:hAnsi="Arial"/>
          <w:color w:val="0D1117"/>
          <w:sz w:val="22"/>
          <w:szCs w:val="22"/>
        </w:rPr>
        <w:t xml:space="preserve">Upgrade the SignalIQ plan via Stripe (Pro = 5,000/mo, Team = 20,000/mo)</w:t>
      </w:r>
    </w:p>
    <w:p>
      <w:pPr>
        <w:pStyle w:val="ListParagraph"/>
        <w:numPr>
          <w:ilvl w:val="0"/>
          <w:numId w:val="2"/>
        </w:numPr>
        <w:spacing w:after="60" w:before="60"/>
      </w:pPr>
      <w:r>
        <w:rPr>
          <w:rFonts w:ascii="Arial" w:cs="Arial" w:eastAsia="Arial" w:hAnsi="Arial"/>
          <w:color w:val="0D1117"/>
          <w:sz w:val="22"/>
          <w:szCs w:val="22"/>
        </w:rPr>
        <w:t xml:space="preserve">Connect Google Workspace (already done) to unlock Gmail as a parallel sending channel</w:t>
      </w:r>
    </w:p>
    <w:p>
      <w:pPr>
        <w:pStyle w:val="ListParagraph"/>
        <w:numPr>
          <w:ilvl w:val="0"/>
          <w:numId w:val="2"/>
        </w:numPr>
        <w:spacing w:after="60" w:before="60"/>
      </w:pPr>
      <w:r>
        <w:rPr>
          <w:rFonts w:ascii="Arial" w:cs="Arial" w:eastAsia="Arial" w:hAnsi="Arial"/>
          <w:color w:val="0D1117"/>
          <w:sz w:val="22"/>
          <w:szCs w:val="22"/>
        </w:rPr>
        <w:t xml:space="preserve">Add Resend domain authentication to increase per-send reputation and daily limits</w:t>
      </w:r>
    </w:p>
    <w:p>
      <w:pPr>
        <w:spacing w:after="0" w:before="80"/>
      </w:pPr>
      <w:r>
        <w:rPr>
          <w:rFonts w:ascii="Arial" w:cs="Arial" w:eastAsia="Arial" w:hAnsi="Arial"/>
          <w:color w:val="0D1117"/>
          <w:sz w:val="22"/>
          <w:szCs w:val="22"/>
        </w:rPr>
        <w:t xml:space="preserve"/>
      </w:r>
    </w:p>
    <w:p>
      <w:pPr>
        <w:pStyle w:val="Heading2"/>
        <w:spacing w:after="160" w:before="320"/>
      </w:pPr>
      <w:r>
        <w:rPr>
          <w:rFonts w:ascii="Arial" w:cs="Arial" w:eastAsia="Arial" w:hAnsi="Arial"/>
          <w:b/>
          <w:bCs/>
          <w:color w:val="1F6FEB"/>
          <w:sz w:val="28"/>
          <w:szCs w:val="28"/>
        </w:rPr>
        <w:t xml:space="preserve">1.2 Resend vs. Google Workspace Sends</w:t>
      </w:r>
    </w:p>
    <w:p>
      <w:pPr>
        <w:spacing w:after="80" w:before="80"/>
      </w:pPr>
      <w:r>
        <w:rPr>
          <w:rFonts w:ascii="Arial" w:cs="Arial" w:eastAsia="Arial" w:hAnsi="Arial"/>
          <w:color w:val="0D1117"/>
          <w:sz w:val="22"/>
          <w:szCs w:val="22"/>
        </w:rPr>
        <w:t xml:space="preserve">These are two separate, stackable sending channels:</w:t>
      </w:r>
    </w:p>
    <w:p>
      <w:pPr>
        <w:spacing w:after="0" w:before="40"/>
      </w:pPr>
      <w:r>
        <w:rPr>
          <w:rFonts w:ascii="Arial" w:cs="Arial" w:eastAsia="Arial" w:hAnsi="Arial"/>
          <w:color w:val="0D111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560"/>
        <w:gridCol w:w="2200"/>
      </w:tblGrid>
      <w:tr>
        <w:trPr>
          <w:tblHeader/>
        </w:trPr>
        <w:tc>
          <w:tcPr>
            <w:tcW w:type="dxa" w:w="220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Channel</w:t>
            </w:r>
          </w:p>
        </w:tc>
        <w:tc>
          <w:tcPr>
            <w:tcW w:type="dxa" w:w="240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Daily Limit</w:t>
            </w:r>
          </w:p>
        </w:tc>
        <w:tc>
          <w:tcPr>
            <w:tcW w:type="dxa" w:w="256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Best For</w:t>
            </w:r>
          </w:p>
        </w:tc>
        <w:tc>
          <w:tcPr>
            <w:tcW w:type="dxa" w:w="220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Cost</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Resend (current)</w:t>
            </w:r>
          </w:p>
        </w:tc>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100/day free, unlimited paid</w:t>
            </w:r>
          </w:p>
        </w:tc>
        <w:tc>
          <w:tcPr>
            <w:tcW w:type="dxa" w:w="25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Bulk campaigns, newsletters</w:t>
            </w:r>
          </w:p>
        </w:tc>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Free tier / $20+/mo paid</w:t>
            </w:r>
          </w:p>
        </w:tc>
      </w:tr>
      <w:tr>
        <w:tc>
          <w:tcPr>
            <w:tcW w:type="dxa" w:w="22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Google Workspace</w:t>
            </w:r>
          </w:p>
        </w:tc>
        <w:tc>
          <w:tcPr>
            <w:tcW w:type="dxa" w:w="24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2,000/day per inbox</w:t>
            </w:r>
          </w:p>
        </w:tc>
        <w:tc>
          <w:tcPr>
            <w:tcW w:type="dxa" w:w="256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Personal outreach, sequences</w:t>
            </w:r>
          </w:p>
        </w:tc>
        <w:tc>
          <w:tcPr>
            <w:tcW w:type="dxa" w:w="22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$6-$18/user/month</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Multi-inbox GWS</w:t>
            </w:r>
          </w:p>
        </w:tc>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2,000 × # of inboxes</w:t>
            </w:r>
          </w:p>
        </w:tc>
        <w:tc>
          <w:tcPr>
            <w:tcW w:type="dxa" w:w="25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Scaled cold outreach</w:t>
            </w:r>
          </w:p>
        </w:tc>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$6-$18 per inbox/month</w:t>
            </w:r>
          </w:p>
        </w:tc>
      </w:tr>
    </w:tbl>
    <w:p>
      <w:pPr>
        <w:spacing w:after="0" w:before="80"/>
      </w:pPr>
      <w:r>
        <w:rPr>
          <w:rFonts w:ascii="Arial" w:cs="Arial" w:eastAsia="Arial" w:hAnsi="Arial"/>
          <w:color w:val="0D1117"/>
          <w:sz w:val="22"/>
          <w:szCs w:val="22"/>
        </w:rPr>
        <w:t xml:space="preserve"/>
      </w:r>
    </w:p>
    <w:p>
      <w:r>
        <w:br w:type="page"/>
      </w:r>
    </w:p>
    <w:p>
      <w:pPr>
        <w:pStyle w:val="Heading1"/>
        <w:pBdr>
          <w:bottom w:val="single" w:color="1F6FEB" w:sz="8" w:space="1"/>
        </w:pBdr>
        <w:spacing w:after="200" w:before="400"/>
      </w:pPr>
      <w:r>
        <w:rPr>
          <w:rFonts w:ascii="Arial" w:cs="Arial" w:eastAsia="Arial" w:hAnsi="Arial"/>
          <w:b/>
          <w:bCs/>
          <w:color w:val="0D1117"/>
          <w:sz w:val="36"/>
          <w:szCs w:val="36"/>
        </w:rPr>
        <w:t xml:space="preserve">2. Google Workspace Official Sending Limits</w:t>
      </w:r>
    </w:p>
    <w:p>
      <w:pPr>
        <w:spacing w:after="80" w:before="80"/>
      </w:pPr>
      <w:r>
        <w:rPr>
          <w:rFonts w:ascii="Arial" w:cs="Arial" w:eastAsia="Arial" w:hAnsi="Arial"/>
          <w:color w:val="0D1117"/>
          <w:sz w:val="22"/>
          <w:szCs w:val="22"/>
        </w:rPr>
        <w:t xml:space="preserve">These are the hard technical ceilings from Google's own documentation (2026):</w:t>
      </w:r>
    </w:p>
    <w:p>
      <w:pPr>
        <w:spacing w:after="0" w:before="40"/>
      </w:pPr>
      <w:r>
        <w:rPr>
          <w:rFonts w:ascii="Arial" w:cs="Arial" w:eastAsia="Arial" w:hAnsi="Arial"/>
          <w:color w:val="0D111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Sending Method</w:t>
            </w:r>
          </w:p>
        </w:tc>
        <w:tc>
          <w:tcPr>
            <w:tcW w:type="dxa" w:w="300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Daily Limit</w:t>
            </w:r>
          </w:p>
        </w:tc>
        <w:tc>
          <w:tcPr>
            <w:tcW w:type="dxa" w:w="356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Notes</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Gmail Web / Mobile</w:t>
            </w:r>
          </w:p>
        </w:tc>
        <w:tc>
          <w:tcPr>
            <w:tcW w:type="dxa" w:w="3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2,000 messages/day</w:t>
            </w:r>
          </w:p>
        </w:tc>
        <w:tc>
          <w:tcPr>
            <w:tcW w:type="dxa" w:w="35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Paid accounts. Rolls every 24 hours</w:t>
            </w:r>
          </w:p>
        </w:tc>
      </w:tr>
      <w:tr>
        <w:tc>
          <w:tcPr>
            <w:tcW w:type="dxa" w:w="28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Gmail Mail Merge</w:t>
            </w:r>
          </w:p>
        </w:tc>
        <w:tc>
          <w:tcPr>
            <w:tcW w:type="dxa" w:w="30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1,500 recipients/day</w:t>
            </w:r>
          </w:p>
        </w:tc>
        <w:tc>
          <w:tcPr>
            <w:tcW w:type="dxa" w:w="356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Via Google Sheets integration</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SMTP Client / API</w:t>
            </w:r>
          </w:p>
        </w:tc>
        <w:tc>
          <w:tcPr>
            <w:tcW w:type="dxa" w:w="3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2,000 messages/day</w:t>
            </w:r>
          </w:p>
        </w:tc>
        <w:tc>
          <w:tcPr>
            <w:tcW w:type="dxa" w:w="35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Same pool as web sending</w:t>
            </w:r>
          </w:p>
        </w:tc>
      </w:tr>
      <w:tr>
        <w:tc>
          <w:tcPr>
            <w:tcW w:type="dxa" w:w="28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Gmail API</w:t>
            </w:r>
          </w:p>
        </w:tc>
        <w:tc>
          <w:tcPr>
            <w:tcW w:type="dxa" w:w="30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1,000,000 messages/day</w:t>
            </w:r>
          </w:p>
        </w:tc>
        <w:tc>
          <w:tcPr>
            <w:tcW w:type="dxa" w:w="356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Requires Google Cloud project setup</w:t>
            </w:r>
          </w:p>
        </w:tc>
      </w:tr>
      <w:tr>
        <w:tc>
          <w:tcPr>
            <w:tcW w:type="dxa" w:w="2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Trial Accounts</w:t>
            </w:r>
          </w:p>
        </w:tc>
        <w:tc>
          <w:tcPr>
            <w:tcW w:type="dxa" w:w="3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500 messages/day</w:t>
            </w:r>
          </w:p>
        </w:tc>
        <w:tc>
          <w:tcPr>
            <w:tcW w:type="dxa" w:w="35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Increases 75 days after $100+ spend</w:t>
            </w:r>
          </w:p>
        </w:tc>
      </w:tr>
      <w:tr>
        <w:tc>
          <w:tcPr>
            <w:tcW w:type="dxa" w:w="28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Recipients per message</w:t>
            </w:r>
          </w:p>
        </w:tc>
        <w:tc>
          <w:tcPr>
            <w:tcW w:type="dxa" w:w="30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500 (API) / 2,000 (web)</w:t>
            </w:r>
          </w:p>
        </w:tc>
        <w:tc>
          <w:tcPr>
            <w:tcW w:type="dxa" w:w="356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500 external max via web</w:t>
            </w:r>
          </w:p>
        </w:tc>
      </w:tr>
    </w:tbl>
    <w:p>
      <w:pPr>
        <w:spacing w:after="0" w:before="80"/>
      </w:pPr>
      <w:r>
        <w:rPr>
          <w:rFonts w:ascii="Arial" w:cs="Arial" w:eastAsia="Arial" w:hAnsi="Arial"/>
          <w:color w:val="0D111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FF0F0" w:val="clear"/>
            <w:tcMar>
              <w:top w:type="dxa" w:w="160"/>
              <w:left w:type="dxa" w:w="200"/>
              <w:bottom w:type="dxa" w:w="160"/>
              <w:right w:type="dxa" w:w="200"/>
            </w:tcMar>
          </w:tcPr>
          <w:p>
            <w:pPr>
              <w:spacing w:after="0" w:before="0"/>
            </w:pPr>
            <w:r>
              <w:rPr>
                <w:rFonts w:ascii="Arial" w:cs="Arial" w:eastAsia="Arial" w:hAnsi="Arial"/>
                <w:b/>
                <w:bCs/>
                <w:color w:val="CF2929"/>
                <w:sz w:val="20"/>
                <w:szCs w:val="20"/>
              </w:rPr>
              <w:t xml:space="preserve">🚨 Warning:  </w:t>
            </w:r>
            <w:r>
              <w:rPr>
                <w:rFonts w:ascii="Arial" w:cs="Arial" w:eastAsia="Arial" w:hAnsi="Arial"/>
                <w:color w:val="0D1117"/>
                <w:sz w:val="20"/>
                <w:szCs w:val="20"/>
              </w:rPr>
              <w:t xml:space="preserve">CRITICAL: Official limits are system ceilings, not inbox-safe limits. Sending close to 2,000/day on a new or unwarmed mailbox will trigger spam filters long before hitting the technical cap. Real-world safe zone: 50-100/day on warmed inboxes.</w:t>
            </w:r>
          </w:p>
        </w:tc>
      </w:tr>
    </w:tbl>
    <w:p>
      <w:pPr>
        <w:spacing w:after="0" w:before="80"/>
      </w:pPr>
      <w:r>
        <w:rPr>
          <w:rFonts w:ascii="Arial" w:cs="Arial" w:eastAsia="Arial" w:hAnsi="Arial"/>
          <w:color w:val="0D1117"/>
          <w:sz w:val="22"/>
          <w:szCs w:val="22"/>
        </w:rPr>
        <w:t xml:space="preserve"/>
      </w:r>
    </w:p>
    <w:p>
      <w:pPr>
        <w:pStyle w:val="Heading2"/>
        <w:spacing w:after="160" w:before="320"/>
      </w:pPr>
      <w:r>
        <w:rPr>
          <w:rFonts w:ascii="Arial" w:cs="Arial" w:eastAsia="Arial" w:hAnsi="Arial"/>
          <w:b/>
          <w:bCs/>
          <w:color w:val="1F6FEB"/>
          <w:sz w:val="28"/>
          <w:szCs w:val="28"/>
        </w:rPr>
        <w:t xml:space="preserve">2.1 Multi-Inbox Scaling Formula</w:t>
      </w:r>
    </w:p>
    <w:p>
      <w:pPr>
        <w:spacing w:after="80" w:before="80"/>
      </w:pPr>
      <w:r>
        <w:rPr>
          <w:rFonts w:ascii="Arial" w:cs="Arial" w:eastAsia="Arial" w:hAnsi="Arial"/>
          <w:color w:val="0D1117"/>
          <w:sz w:val="22"/>
          <w:szCs w:val="22"/>
        </w:rPr>
        <w:t xml:space="preserve">To scale volume while protecting reputation, you use multiple inboxes. The formula:</w:t>
      </w:r>
    </w:p>
    <w:p>
      <w:pPr>
        <w:spacing w:after="0" w:before="40"/>
      </w:pPr>
      <w:r>
        <w:rPr>
          <w:rFonts w:ascii="Arial" w:cs="Arial" w:eastAsia="Arial" w:hAnsi="Arial"/>
          <w:color w:val="0D111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D1117" w:val="clear"/>
            <w:tcMar>
              <w:top w:type="dxa" w:w="200"/>
              <w:left w:type="dxa" w:w="300"/>
              <w:bottom w:type="dxa" w:w="200"/>
              <w:right w:type="dxa" w:w="300"/>
            </w:tcMar>
          </w:tcPr>
          <w:p>
            <w:pPr>
              <w:spacing w:after="60" w:before="0"/>
            </w:pPr>
            <w:r>
              <w:rPr>
                <w:rFonts w:ascii="Courier New" w:cs="Courier New" w:eastAsia="Courier New" w:hAnsi="Courier New"/>
                <w:b/>
                <w:bCs/>
                <w:color w:val="58A6FF"/>
                <w:sz w:val="22"/>
                <w:szCs w:val="22"/>
              </w:rPr>
              <w:t xml:space="preserve">Inboxes Needed = (Daily Prospects × Sequence Touches) ÷ Safe Sends Per Inbox</w:t>
            </w:r>
          </w:p>
          <w:p>
            <w:pPr>
              <w:spacing w:after="0" w:before="0"/>
            </w:pPr>
            <w:r>
              <w:rPr>
                <w:rFonts w:ascii="Courier New" w:cs="Courier New" w:eastAsia="Courier New" w:hAnsi="Courier New"/>
                <w:color w:val="8B949E"/>
                <w:sz w:val="20"/>
                <w:szCs w:val="20"/>
              </w:rPr>
              <w:t xml:space="preserve">Example: 300 prospects/day × 3-touch sequence ÷ 90 sends/inbox = 10 inboxes</w:t>
            </w:r>
          </w:p>
        </w:tc>
      </w:tr>
    </w:tbl>
    <w:p>
      <w:pPr>
        <w:spacing w:after="0" w:before="80"/>
      </w:pPr>
      <w:r>
        <w:rPr>
          <w:rFonts w:ascii="Arial" w:cs="Arial" w:eastAsia="Arial" w:hAnsi="Arial"/>
          <w:color w:val="0D111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800"/>
        <w:gridCol w:w="1760"/>
        <w:gridCol w:w="1400"/>
      </w:tblGrid>
      <w:tr>
        <w:trPr>
          <w:tblHeader/>
        </w:trPr>
        <w:tc>
          <w:tcPr>
            <w:tcW w:type="dxa" w:w="240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Target (New Prospects/Day)</w:t>
            </w:r>
          </w:p>
        </w:tc>
        <w:tc>
          <w:tcPr>
            <w:tcW w:type="dxa" w:w="200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Sequence Touches</w:t>
            </w:r>
          </w:p>
        </w:tc>
        <w:tc>
          <w:tcPr>
            <w:tcW w:type="dxa" w:w="180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Safe Sends/Inbox</w:t>
            </w:r>
          </w:p>
        </w:tc>
        <w:tc>
          <w:tcPr>
            <w:tcW w:type="dxa" w:w="176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Inboxes Needed</w:t>
            </w:r>
          </w:p>
        </w:tc>
        <w:tc>
          <w:tcPr>
            <w:tcW w:type="dxa" w:w="140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Monthly Cost (GWS)</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50</w:t>
            </w:r>
          </w:p>
        </w:tc>
        <w:tc>
          <w:tcPr>
            <w:tcW w:type="dxa" w:w="2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3</w:t>
            </w:r>
          </w:p>
        </w:tc>
        <w:tc>
          <w:tcPr>
            <w:tcW w:type="dxa" w:w="1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50/day</w:t>
            </w:r>
          </w:p>
        </w:tc>
        <w:tc>
          <w:tcPr>
            <w:tcW w:type="dxa" w:w="1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3 inboxes</w:t>
            </w:r>
          </w:p>
        </w:tc>
        <w:tc>
          <w:tcPr>
            <w:tcW w:type="dxa" w:w="1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~$54/mo</w:t>
            </w:r>
          </w:p>
        </w:tc>
      </w:tr>
      <w:tr>
        <w:tc>
          <w:tcPr>
            <w:tcW w:type="dxa" w:w="24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150</w:t>
            </w:r>
          </w:p>
        </w:tc>
        <w:tc>
          <w:tcPr>
            <w:tcW w:type="dxa" w:w="20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3</w:t>
            </w:r>
          </w:p>
        </w:tc>
        <w:tc>
          <w:tcPr>
            <w:tcW w:type="dxa" w:w="18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75/day</w:t>
            </w:r>
          </w:p>
        </w:tc>
        <w:tc>
          <w:tcPr>
            <w:tcW w:type="dxa" w:w="176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6 inboxes</w:t>
            </w:r>
          </w:p>
        </w:tc>
        <w:tc>
          <w:tcPr>
            <w:tcW w:type="dxa" w:w="14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~$108/mo</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300</w:t>
            </w:r>
          </w:p>
        </w:tc>
        <w:tc>
          <w:tcPr>
            <w:tcW w:type="dxa" w:w="2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4</w:t>
            </w:r>
          </w:p>
        </w:tc>
        <w:tc>
          <w:tcPr>
            <w:tcW w:type="dxa" w:w="1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90/day</w:t>
            </w:r>
          </w:p>
        </w:tc>
        <w:tc>
          <w:tcPr>
            <w:tcW w:type="dxa" w:w="1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14 inboxes</w:t>
            </w:r>
          </w:p>
        </w:tc>
        <w:tc>
          <w:tcPr>
            <w:tcW w:type="dxa" w:w="1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~$252/mo</w:t>
            </w:r>
          </w:p>
        </w:tc>
      </w:tr>
      <w:tr>
        <w:tc>
          <w:tcPr>
            <w:tcW w:type="dxa" w:w="24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500</w:t>
            </w:r>
          </w:p>
        </w:tc>
        <w:tc>
          <w:tcPr>
            <w:tcW w:type="dxa" w:w="20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4</w:t>
            </w:r>
          </w:p>
        </w:tc>
        <w:tc>
          <w:tcPr>
            <w:tcW w:type="dxa" w:w="18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100/day</w:t>
            </w:r>
          </w:p>
        </w:tc>
        <w:tc>
          <w:tcPr>
            <w:tcW w:type="dxa" w:w="176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20 inboxes</w:t>
            </w:r>
          </w:p>
        </w:tc>
        <w:tc>
          <w:tcPr>
            <w:tcW w:type="dxa" w:w="14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~$360/mo</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1,000</w:t>
            </w:r>
          </w:p>
        </w:tc>
        <w:tc>
          <w:tcPr>
            <w:tcW w:type="dxa" w:w="2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5</w:t>
            </w:r>
          </w:p>
        </w:tc>
        <w:tc>
          <w:tcPr>
            <w:tcW w:type="dxa" w:w="1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100/day</w:t>
            </w:r>
          </w:p>
        </w:tc>
        <w:tc>
          <w:tcPr>
            <w:tcW w:type="dxa" w:w="1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50 inboxes</w:t>
            </w:r>
          </w:p>
        </w:tc>
        <w:tc>
          <w:tcPr>
            <w:tcW w:type="dxa" w:w="1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~$900/mo</w:t>
            </w:r>
          </w:p>
        </w:tc>
      </w:tr>
    </w:tbl>
    <w:p>
      <w:pPr>
        <w:spacing w:after="0" w:before="80"/>
      </w:pPr>
      <w:r>
        <w:rPr>
          <w:rFonts w:ascii="Arial" w:cs="Arial" w:eastAsia="Arial" w:hAnsi="Arial"/>
          <w:color w:val="0D1117"/>
          <w:sz w:val="22"/>
          <w:szCs w:val="22"/>
        </w:rPr>
        <w:t xml:space="preserve"/>
      </w:r>
    </w:p>
    <w:p>
      <w:r>
        <w:br w:type="page"/>
      </w:r>
    </w:p>
    <w:p>
      <w:pPr>
        <w:pStyle w:val="Heading1"/>
        <w:pBdr>
          <w:bottom w:val="single" w:color="1F6FEB" w:sz="8" w:space="1"/>
        </w:pBdr>
        <w:spacing w:after="200" w:before="400"/>
      </w:pPr>
      <w:r>
        <w:rPr>
          <w:rFonts w:ascii="Arial" w:cs="Arial" w:eastAsia="Arial" w:hAnsi="Arial"/>
          <w:b/>
          <w:bCs/>
          <w:color w:val="0D1117"/>
          <w:sz w:val="36"/>
          <w:szCs w:val="36"/>
        </w:rPr>
        <w:t xml:space="preserve">3. Infrastructure for Inbox Placement</w:t>
      </w:r>
    </w:p>
    <w:p>
      <w:pPr>
        <w:spacing w:after="80" w:before="80"/>
      </w:pPr>
      <w:r>
        <w:rPr>
          <w:rFonts w:ascii="Arial" w:cs="Arial" w:eastAsia="Arial" w:hAnsi="Arial"/>
          <w:color w:val="0D1117"/>
          <w:sz w:val="22"/>
          <w:szCs w:val="22"/>
        </w:rPr>
        <w:t xml:space="preserve">Getting into the primary inbox (not Promotions or Spam) requires three layers of setup:</w:t>
      </w:r>
    </w:p>
    <w:p>
      <w:pPr>
        <w:spacing w:after="0" w:before="80"/>
      </w:pPr>
      <w:r>
        <w:rPr>
          <w:rFonts w:ascii="Arial" w:cs="Arial" w:eastAsia="Arial" w:hAnsi="Arial"/>
          <w:color w:val="0D1117"/>
          <w:sz w:val="22"/>
          <w:szCs w:val="22"/>
        </w:rPr>
        <w:t xml:space="preserve"/>
      </w:r>
    </w:p>
    <w:p>
      <w:pPr>
        <w:pStyle w:val="Heading2"/>
        <w:spacing w:after="160" w:before="320"/>
      </w:pPr>
      <w:r>
        <w:rPr>
          <w:rFonts w:ascii="Arial" w:cs="Arial" w:eastAsia="Arial" w:hAnsi="Arial"/>
          <w:b/>
          <w:bCs/>
          <w:color w:val="1F6FEB"/>
          <w:sz w:val="28"/>
          <w:szCs w:val="28"/>
        </w:rPr>
        <w:t xml:space="preserve">3.1 Domain &amp; DNS Authentication (Non-Negotiable)</w:t>
      </w:r>
    </w:p>
    <w:p>
      <w:pPr>
        <w:spacing w:after="80" w:before="80"/>
      </w:pPr>
      <w:r>
        <w:rPr>
          <w:rFonts w:ascii="Arial" w:cs="Arial" w:eastAsia="Arial" w:hAnsi="Arial"/>
          <w:color w:val="0D1117"/>
          <w:sz w:val="22"/>
          <w:szCs w:val="22"/>
        </w:rPr>
        <w:t xml:space="preserve">These three DNS records are the absolute foundation. Without all three, you will land in spam:</w:t>
      </w:r>
    </w:p>
    <w:p>
      <w:pPr>
        <w:spacing w:after="0" w:before="40"/>
      </w:pPr>
      <w:r>
        <w:rPr>
          <w:rFonts w:ascii="Arial" w:cs="Arial" w:eastAsia="Arial" w:hAnsi="Arial"/>
          <w:color w:val="0D111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rPr>
          <w:tblHeader/>
        </w:trPr>
        <w:tc>
          <w:tcPr>
            <w:tcW w:type="dxa" w:w="180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Record</w:t>
            </w:r>
          </w:p>
        </w:tc>
        <w:tc>
          <w:tcPr>
            <w:tcW w:type="dxa" w:w="200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Purpose</w:t>
            </w:r>
          </w:p>
        </w:tc>
        <w:tc>
          <w:tcPr>
            <w:tcW w:type="dxa" w:w="200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What It Prevents</w:t>
            </w:r>
          </w:p>
        </w:tc>
        <w:tc>
          <w:tcPr>
            <w:tcW w:type="dxa" w:w="356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How to Set Up</w:t>
            </w:r>
          </w:p>
        </w:tc>
      </w:tr>
      <w:tr>
        <w:tc>
          <w:tcPr>
            <w:tcW w:type="dxa" w:w="1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SPF</w:t>
            </w:r>
          </w:p>
        </w:tc>
        <w:tc>
          <w:tcPr>
            <w:tcW w:type="dxa" w:w="2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Authorizes sending servers</w:t>
            </w:r>
          </w:p>
        </w:tc>
        <w:tc>
          <w:tcPr>
            <w:tcW w:type="dxa" w:w="2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Domain spoofing</w:t>
            </w:r>
          </w:p>
        </w:tc>
        <w:tc>
          <w:tcPr>
            <w:tcW w:type="dxa" w:w="35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Add TXT record to your DNS: v=spf1 include:_spf.google.com ~all</w:t>
            </w:r>
          </w:p>
        </w:tc>
      </w:tr>
      <w:tr>
        <w:tc>
          <w:tcPr>
            <w:tcW w:type="dxa" w:w="18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DKIM</w:t>
            </w:r>
          </w:p>
        </w:tc>
        <w:tc>
          <w:tcPr>
            <w:tcW w:type="dxa" w:w="20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Cryptographic email signing</w:t>
            </w:r>
          </w:p>
        </w:tc>
        <w:tc>
          <w:tcPr>
            <w:tcW w:type="dxa" w:w="20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Content tampering</w:t>
            </w:r>
          </w:p>
        </w:tc>
        <w:tc>
          <w:tcPr>
            <w:tcW w:type="dxa" w:w="356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Generate key in Google Admin &gt; Apps &gt; Gmail &gt; Authenticate email</w:t>
            </w:r>
          </w:p>
        </w:tc>
      </w:tr>
      <w:tr>
        <w:tc>
          <w:tcPr>
            <w:tcW w:type="dxa" w:w="1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DMARC</w:t>
            </w:r>
          </w:p>
        </w:tc>
        <w:tc>
          <w:tcPr>
            <w:tcW w:type="dxa" w:w="2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Policy for SPF/DKIM failures</w:t>
            </w:r>
          </w:p>
        </w:tc>
        <w:tc>
          <w:tcPr>
            <w:tcW w:type="dxa" w:w="2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Phishing, impersonation</w:t>
            </w:r>
          </w:p>
        </w:tc>
        <w:tc>
          <w:tcPr>
            <w:tcW w:type="dxa" w:w="35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Add TXT: v=DMARC1; p=quarantine; rua=mailto:dmarc@yourdomain.com</w:t>
            </w:r>
          </w:p>
        </w:tc>
      </w:tr>
      <w:tr>
        <w:tc>
          <w:tcPr>
            <w:tcW w:type="dxa" w:w="18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Custom Tracking Domain</w:t>
            </w:r>
          </w:p>
        </w:tc>
        <w:tc>
          <w:tcPr>
            <w:tcW w:type="dxa" w:w="20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Branded click tracking</w:t>
            </w:r>
          </w:p>
        </w:tc>
        <w:tc>
          <w:tcPr>
            <w:tcW w:type="dxa" w:w="20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Generic link reputation</w:t>
            </w:r>
          </w:p>
        </w:tc>
        <w:tc>
          <w:tcPr>
            <w:tcW w:type="dxa" w:w="356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Set in Resend Dashboard &gt; Domains &gt; Tracking</w:t>
            </w:r>
          </w:p>
        </w:tc>
      </w:tr>
      <w:tr>
        <w:tc>
          <w:tcPr>
            <w:tcW w:type="dxa" w:w="1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BIMI (optional)</w:t>
            </w:r>
          </w:p>
        </w:tc>
        <w:tc>
          <w:tcPr>
            <w:tcW w:type="dxa" w:w="2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Logo in inbox</w:t>
            </w:r>
          </w:p>
        </w:tc>
        <w:tc>
          <w:tcPr>
            <w:tcW w:type="dxa" w:w="2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Brand recognition</w:t>
            </w:r>
          </w:p>
        </w:tc>
        <w:tc>
          <w:tcPr>
            <w:tcW w:type="dxa" w:w="35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Requires DMARC p=reject and a verified VMC certificate</w:t>
            </w:r>
          </w:p>
        </w:tc>
      </w:tr>
    </w:tbl>
    <w:p>
      <w:pPr>
        <w:spacing w:after="0" w:before="80"/>
      </w:pPr>
      <w:r>
        <w:rPr>
          <w:rFonts w:ascii="Arial" w:cs="Arial" w:eastAsia="Arial" w:hAnsi="Arial"/>
          <w:color w:val="0D111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AF3FF" w:val="clear"/>
            <w:tcMar>
              <w:top w:type="dxa" w:w="160"/>
              <w:left w:type="dxa" w:w="200"/>
              <w:bottom w:type="dxa" w:w="160"/>
              <w:right w:type="dxa" w:w="200"/>
            </w:tcMar>
          </w:tcPr>
          <w:p>
            <w:pPr>
              <w:spacing w:after="0" w:before="0"/>
            </w:pPr>
            <w:r>
              <w:rPr>
                <w:rFonts w:ascii="Arial" w:cs="Arial" w:eastAsia="Arial" w:hAnsi="Arial"/>
                <w:b/>
                <w:bCs/>
                <w:color w:val="1F6FEB"/>
                <w:sz w:val="20"/>
                <w:szCs w:val="20"/>
              </w:rPr>
              <w:t xml:space="preserve">ℹ️ Google Policy (2024+):  </w:t>
            </w:r>
            <w:r>
              <w:rPr>
                <w:rFonts w:ascii="Arial" w:cs="Arial" w:eastAsia="Arial" w:hAnsi="Arial"/>
                <w:color w:val="0D1117"/>
                <w:sz w:val="20"/>
                <w:szCs w:val="20"/>
              </w:rPr>
              <w:t xml:space="preserve">Google now requires SPF, DKIM, and DMARC for ANY sender sending 5,000+ emails/day to Gmail addresses. This became a hard requirement in February 2024 and is now permanent policy.</w:t>
            </w:r>
          </w:p>
        </w:tc>
      </w:tr>
    </w:tbl>
    <w:p>
      <w:pPr>
        <w:spacing w:after="0" w:before="80"/>
      </w:pPr>
      <w:r>
        <w:rPr>
          <w:rFonts w:ascii="Arial" w:cs="Arial" w:eastAsia="Arial" w:hAnsi="Arial"/>
          <w:color w:val="0D1117"/>
          <w:sz w:val="22"/>
          <w:szCs w:val="22"/>
        </w:rPr>
        <w:t xml:space="preserve"/>
      </w:r>
    </w:p>
    <w:p>
      <w:pPr>
        <w:pStyle w:val="Heading2"/>
        <w:spacing w:after="160" w:before="320"/>
      </w:pPr>
      <w:r>
        <w:rPr>
          <w:rFonts w:ascii="Arial" w:cs="Arial" w:eastAsia="Arial" w:hAnsi="Arial"/>
          <w:b/>
          <w:bCs/>
          <w:color w:val="1F6FEB"/>
          <w:sz w:val="28"/>
          <w:szCs w:val="28"/>
        </w:rPr>
        <w:t xml:space="preserve">3.2 Domain Strategy: Never Use Your Main Domain</w:t>
      </w:r>
    </w:p>
    <w:p>
      <w:pPr>
        <w:spacing w:after="80" w:before="80"/>
      </w:pPr>
      <w:r>
        <w:rPr>
          <w:rFonts w:ascii="Arial" w:cs="Arial" w:eastAsia="Arial" w:hAnsi="Arial"/>
          <w:color w:val="0D1117"/>
          <w:sz w:val="22"/>
          <w:szCs w:val="22"/>
        </w:rPr>
        <w:t xml:space="preserve">Your primary business domain (e.g. yourcompany.com) should NEVER send cold email. If it gets flagged, your entire email infrastructure fails.</w:t>
      </w:r>
    </w:p>
    <w:p>
      <w:pPr>
        <w:spacing w:after="0" w:before="80"/>
      </w:pPr>
      <w:r>
        <w:rPr>
          <w:rFonts w:ascii="Arial" w:cs="Arial" w:eastAsia="Arial" w:hAnsi="Arial"/>
          <w:color w:val="0D1117"/>
          <w:sz w:val="22"/>
          <w:szCs w:val="22"/>
        </w:rPr>
        <w:t xml:space="preserve"/>
      </w:r>
    </w:p>
    <w:p>
      <w:pPr>
        <w:pStyle w:val="ListParagraph"/>
        <w:numPr>
          <w:ilvl w:val="0"/>
          <w:numId w:val="3"/>
        </w:numPr>
        <w:spacing w:after="60" w:before="60"/>
      </w:pPr>
      <w:r>
        <w:rPr>
          <w:rFonts w:ascii="Arial" w:cs="Arial" w:eastAsia="Arial" w:hAnsi="Arial"/>
          <w:color w:val="0D1117"/>
          <w:sz w:val="22"/>
          <w:szCs w:val="22"/>
        </w:rPr>
        <w:t xml:space="preserve">Primary domain: yourcompany.com — only for inbound, transactional, marketing to opted-in lists</w:t>
      </w:r>
    </w:p>
    <w:p>
      <w:pPr>
        <w:pStyle w:val="ListParagraph"/>
        <w:numPr>
          <w:ilvl w:val="0"/>
          <w:numId w:val="3"/>
        </w:numPr>
        <w:spacing w:after="60" w:before="60"/>
      </w:pPr>
      <w:r>
        <w:rPr>
          <w:rFonts w:ascii="Arial" w:cs="Arial" w:eastAsia="Arial" w:hAnsi="Arial"/>
          <w:color w:val="0D1117"/>
          <w:sz w:val="22"/>
          <w:szCs w:val="22"/>
        </w:rPr>
        <w:t xml:space="preserve">Sending domains: yourbrandoutreach.com, tryYourBrand.com, getYourBrand.com — for cold sequences</w:t>
      </w:r>
    </w:p>
    <w:p>
      <w:pPr>
        <w:pStyle w:val="ListParagraph"/>
        <w:numPr>
          <w:ilvl w:val="0"/>
          <w:numId w:val="3"/>
        </w:numPr>
        <w:spacing w:after="60" w:before="60"/>
      </w:pPr>
      <w:r>
        <w:rPr>
          <w:rFonts w:ascii="Arial" w:cs="Arial" w:eastAsia="Arial" w:hAnsi="Arial"/>
          <w:color w:val="0D1117"/>
          <w:sz w:val="22"/>
          <w:szCs w:val="22"/>
        </w:rPr>
        <w:t xml:space="preserve">Use 2-3 sending domains, rotate inboxes across them</w:t>
      </w:r>
    </w:p>
    <w:p>
      <w:pPr>
        <w:pStyle w:val="ListParagraph"/>
        <w:numPr>
          <w:ilvl w:val="0"/>
          <w:numId w:val="3"/>
        </w:numPr>
        <w:spacing w:after="60" w:before="60"/>
      </w:pPr>
      <w:r>
        <w:rPr>
          <w:rFonts w:ascii="Arial" w:cs="Arial" w:eastAsia="Arial" w:hAnsi="Arial"/>
          <w:color w:val="0D1117"/>
          <w:sz w:val="22"/>
          <w:szCs w:val="22"/>
        </w:rPr>
        <w:t xml:space="preserve">Aged domains (purchased 30+ days ago) outperform brand new ones</w:t>
      </w:r>
    </w:p>
    <w:p>
      <w:pPr>
        <w:spacing w:after="0" w:before="80"/>
      </w:pPr>
      <w:r>
        <w:rPr>
          <w:rFonts w:ascii="Arial" w:cs="Arial" w:eastAsia="Arial" w:hAnsi="Arial"/>
          <w:color w:val="0D1117"/>
          <w:sz w:val="22"/>
          <w:szCs w:val="22"/>
        </w:rPr>
        <w:t xml:space="preserve"/>
      </w:r>
    </w:p>
    <w:p>
      <w:pPr>
        <w:pStyle w:val="Heading2"/>
        <w:spacing w:after="160" w:before="320"/>
      </w:pPr>
      <w:r>
        <w:rPr>
          <w:rFonts w:ascii="Arial" w:cs="Arial" w:eastAsia="Arial" w:hAnsi="Arial"/>
          <w:b/>
          <w:bCs/>
          <w:color w:val="1F6FEB"/>
          <w:sz w:val="28"/>
          <w:szCs w:val="28"/>
        </w:rPr>
        <w:t xml:space="preserve">3.3 Email Warm-Up: The 4-Week Ramp Protocol</w:t>
      </w:r>
    </w:p>
    <w:p>
      <w:pPr>
        <w:spacing w:after="80" w:before="80"/>
      </w:pPr>
      <w:r>
        <w:rPr>
          <w:rFonts w:ascii="Arial" w:cs="Arial" w:eastAsia="Arial" w:hAnsi="Arial"/>
          <w:color w:val="0D1117"/>
          <w:sz w:val="22"/>
          <w:szCs w:val="22"/>
        </w:rPr>
        <w:t xml:space="preserve">Every new domain and inbox must be warmed before sending cold outreach. Skipping warm-up results in 67% higher bounce rates and immediate spam classification.</w:t>
      </w:r>
    </w:p>
    <w:p>
      <w:pPr>
        <w:spacing w:after="0" w:before="40"/>
      </w:pPr>
      <w:r>
        <w:rPr>
          <w:rFonts w:ascii="Arial" w:cs="Arial" w:eastAsia="Arial" w:hAnsi="Arial"/>
          <w:color w:val="0D111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200"/>
        <w:gridCol w:w="2000"/>
        <w:gridCol w:w="1560"/>
      </w:tblGrid>
      <w:tr>
        <w:trPr>
          <w:tblHeader/>
        </w:trPr>
        <w:tc>
          <w:tcPr>
            <w:tcW w:type="dxa" w:w="200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Week</w:t>
            </w:r>
          </w:p>
        </w:tc>
        <w:tc>
          <w:tcPr>
            <w:tcW w:type="dxa" w:w="160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Days</w:t>
            </w:r>
          </w:p>
        </w:tc>
        <w:tc>
          <w:tcPr>
            <w:tcW w:type="dxa" w:w="220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Warm-Up Emails/Day</w:t>
            </w:r>
          </w:p>
        </w:tc>
        <w:tc>
          <w:tcPr>
            <w:tcW w:type="dxa" w:w="200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Cold Emails/Day</w:t>
            </w:r>
          </w:p>
        </w:tc>
        <w:tc>
          <w:tcPr>
            <w:tcW w:type="dxa" w:w="156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Total/Day</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Week 1 (Phase 1)</w:t>
            </w:r>
          </w:p>
        </w:tc>
        <w:tc>
          <w:tcPr>
            <w:tcW w:type="dxa" w:w="16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Days 1-3</w:t>
            </w:r>
          </w:p>
        </w:tc>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10-15</w:t>
            </w:r>
          </w:p>
        </w:tc>
        <w:tc>
          <w:tcPr>
            <w:tcW w:type="dxa" w:w="2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0</w:t>
            </w:r>
          </w:p>
        </w:tc>
        <w:tc>
          <w:tcPr>
            <w:tcW w:type="dxa" w:w="15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10-15</w:t>
            </w:r>
          </w:p>
        </w:tc>
      </w:tr>
      <w:tr>
        <w:tc>
          <w:tcPr>
            <w:tcW w:type="dxa" w:w="20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Week 1 (Phase 2)</w:t>
            </w:r>
          </w:p>
        </w:tc>
        <w:tc>
          <w:tcPr>
            <w:tcW w:type="dxa" w:w="16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Days 4-6</w:t>
            </w:r>
          </w:p>
        </w:tc>
        <w:tc>
          <w:tcPr>
            <w:tcW w:type="dxa" w:w="22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15-20</w:t>
            </w:r>
          </w:p>
        </w:tc>
        <w:tc>
          <w:tcPr>
            <w:tcW w:type="dxa" w:w="20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0</w:t>
            </w:r>
          </w:p>
        </w:tc>
        <w:tc>
          <w:tcPr>
            <w:tcW w:type="dxa" w:w="156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15-20</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Week 2 (Phase 1)</w:t>
            </w:r>
          </w:p>
        </w:tc>
        <w:tc>
          <w:tcPr>
            <w:tcW w:type="dxa" w:w="16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Days 7-9</w:t>
            </w:r>
          </w:p>
        </w:tc>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20-25</w:t>
            </w:r>
          </w:p>
        </w:tc>
        <w:tc>
          <w:tcPr>
            <w:tcW w:type="dxa" w:w="2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5</w:t>
            </w:r>
          </w:p>
        </w:tc>
        <w:tc>
          <w:tcPr>
            <w:tcW w:type="dxa" w:w="15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25-30</w:t>
            </w:r>
          </w:p>
        </w:tc>
      </w:tr>
      <w:tr>
        <w:tc>
          <w:tcPr>
            <w:tcW w:type="dxa" w:w="20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Week 2 (Phase 2)</w:t>
            </w:r>
          </w:p>
        </w:tc>
        <w:tc>
          <w:tcPr>
            <w:tcW w:type="dxa" w:w="16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Days 10-12</w:t>
            </w:r>
          </w:p>
        </w:tc>
        <w:tc>
          <w:tcPr>
            <w:tcW w:type="dxa" w:w="22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25-30</w:t>
            </w:r>
          </w:p>
        </w:tc>
        <w:tc>
          <w:tcPr>
            <w:tcW w:type="dxa" w:w="20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10-15</w:t>
            </w:r>
          </w:p>
        </w:tc>
        <w:tc>
          <w:tcPr>
            <w:tcW w:type="dxa" w:w="156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35-45</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Week 3 (Phase 1)</w:t>
            </w:r>
          </w:p>
        </w:tc>
        <w:tc>
          <w:tcPr>
            <w:tcW w:type="dxa" w:w="16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Days 13-15</w:t>
            </w:r>
          </w:p>
        </w:tc>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20-25</w:t>
            </w:r>
          </w:p>
        </w:tc>
        <w:tc>
          <w:tcPr>
            <w:tcW w:type="dxa" w:w="2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20-30</w:t>
            </w:r>
          </w:p>
        </w:tc>
        <w:tc>
          <w:tcPr>
            <w:tcW w:type="dxa" w:w="15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40-55</w:t>
            </w:r>
          </w:p>
        </w:tc>
      </w:tr>
      <w:tr>
        <w:tc>
          <w:tcPr>
            <w:tcW w:type="dxa" w:w="20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Week 3 (Phase 2)</w:t>
            </w:r>
          </w:p>
        </w:tc>
        <w:tc>
          <w:tcPr>
            <w:tcW w:type="dxa" w:w="16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Days 16-18</w:t>
            </w:r>
          </w:p>
        </w:tc>
        <w:tc>
          <w:tcPr>
            <w:tcW w:type="dxa" w:w="22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15-20</w:t>
            </w:r>
          </w:p>
        </w:tc>
        <w:tc>
          <w:tcPr>
            <w:tcW w:type="dxa" w:w="20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35-50</w:t>
            </w:r>
          </w:p>
        </w:tc>
        <w:tc>
          <w:tcPr>
            <w:tcW w:type="dxa" w:w="156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50-70</w:t>
            </w:r>
          </w:p>
        </w:tc>
      </w:tr>
      <w:tr>
        <w:tc>
          <w:tcPr>
            <w:tcW w:type="dxa" w:w="2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Week 4 (Phase 1)</w:t>
            </w:r>
          </w:p>
        </w:tc>
        <w:tc>
          <w:tcPr>
            <w:tcW w:type="dxa" w:w="16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Days 19-21</w:t>
            </w:r>
          </w:p>
        </w:tc>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10-15</w:t>
            </w:r>
          </w:p>
        </w:tc>
        <w:tc>
          <w:tcPr>
            <w:tcW w:type="dxa" w:w="2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50-65</w:t>
            </w:r>
          </w:p>
        </w:tc>
        <w:tc>
          <w:tcPr>
            <w:tcW w:type="dxa" w:w="15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60-80</w:t>
            </w:r>
          </w:p>
        </w:tc>
      </w:tr>
      <w:tr>
        <w:tc>
          <w:tcPr>
            <w:tcW w:type="dxa" w:w="20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Week 4+ (Steady)</w:t>
            </w:r>
          </w:p>
        </w:tc>
        <w:tc>
          <w:tcPr>
            <w:tcW w:type="dxa" w:w="16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Day 22+</w:t>
            </w:r>
          </w:p>
        </w:tc>
        <w:tc>
          <w:tcPr>
            <w:tcW w:type="dxa" w:w="22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5-10 maintenance</w:t>
            </w:r>
          </w:p>
        </w:tc>
        <w:tc>
          <w:tcPr>
            <w:tcW w:type="dxa" w:w="20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65-100</w:t>
            </w:r>
          </w:p>
        </w:tc>
        <w:tc>
          <w:tcPr>
            <w:tcW w:type="dxa" w:w="156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70-110+</w:t>
            </w:r>
          </w:p>
        </w:tc>
      </w:tr>
    </w:tbl>
    <w:p>
      <w:pPr>
        <w:spacing w:after="0" w:before="80"/>
      </w:pPr>
      <w:r>
        <w:rPr>
          <w:rFonts w:ascii="Arial" w:cs="Arial" w:eastAsia="Arial" w:hAnsi="Arial"/>
          <w:color w:val="0D111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6F4EA" w:val="clear"/>
            <w:tcMar>
              <w:top w:type="dxa" w:w="160"/>
              <w:left w:type="dxa" w:w="200"/>
              <w:bottom w:type="dxa" w:w="160"/>
              <w:right w:type="dxa" w:w="200"/>
            </w:tcMar>
          </w:tcPr>
          <w:p>
            <w:pPr>
              <w:spacing w:after="0" w:before="0"/>
            </w:pPr>
            <w:r>
              <w:rPr>
                <w:rFonts w:ascii="Arial" w:cs="Arial" w:eastAsia="Arial" w:hAnsi="Arial"/>
                <w:b/>
                <w:bCs/>
                <w:color w:val="1A7F37"/>
                <w:sz w:val="20"/>
                <w:szCs w:val="20"/>
              </w:rPr>
              <w:t xml:space="preserve">✅ Recommended:  </w:t>
            </w:r>
            <w:r>
              <w:rPr>
                <w:rFonts w:ascii="Arial" w:cs="Arial" w:eastAsia="Arial" w:hAnsi="Arial"/>
                <w:color w:val="0D1117"/>
                <w:sz w:val="20"/>
                <w:szCs w:val="20"/>
              </w:rPr>
              <w:t xml:space="preserve">Recommended warm-up tools: MailReach, Instantly, Lemwarm, or Smartlead. These use real Google Workspace and Outlook inboxes — not fake SMTP networks — which is the only type of warm-up Google actually credits.</w:t>
            </w:r>
          </w:p>
        </w:tc>
      </w:tr>
    </w:tbl>
    <w:p>
      <w:pPr>
        <w:spacing w:after="0" w:before="80"/>
      </w:pPr>
      <w:r>
        <w:rPr>
          <w:rFonts w:ascii="Arial" w:cs="Arial" w:eastAsia="Arial" w:hAnsi="Arial"/>
          <w:color w:val="0D1117"/>
          <w:sz w:val="22"/>
          <w:szCs w:val="22"/>
        </w:rPr>
        <w:t xml:space="preserve"/>
      </w:r>
    </w:p>
    <w:p>
      <w:r>
        <w:br w:type="page"/>
      </w:r>
    </w:p>
    <w:p>
      <w:pPr>
        <w:pStyle w:val="Heading1"/>
        <w:pBdr>
          <w:bottom w:val="single" w:color="1F6FEB" w:sz="8" w:space="1"/>
        </w:pBdr>
        <w:spacing w:after="200" w:before="400"/>
      </w:pPr>
      <w:r>
        <w:rPr>
          <w:rFonts w:ascii="Arial" w:cs="Arial" w:eastAsia="Arial" w:hAnsi="Arial"/>
          <w:b/>
          <w:bCs/>
          <w:color w:val="0D1117"/>
          <w:sz w:val="36"/>
          <w:szCs w:val="36"/>
        </w:rPr>
        <w:t xml:space="preserve">4. Legal Compliance: CAN-SPAM, GDPR &amp; CASL</w:t>
      </w:r>
    </w:p>
    <w:p>
      <w:pPr>
        <w:spacing w:after="80" w:before="80"/>
      </w:pPr>
      <w:r>
        <w:rPr>
          <w:rFonts w:ascii="Arial" w:cs="Arial" w:eastAsia="Arial" w:hAnsi="Arial"/>
          <w:color w:val="0D1117"/>
          <w:sz w:val="22"/>
          <w:szCs w:val="22"/>
        </w:rPr>
        <w:t xml:space="preserve">Cold email is legal in B2B contexts but carries real legal obligations. Here is the 2026 requirement matrix:</w:t>
      </w:r>
    </w:p>
    <w:p>
      <w:pPr>
        <w:spacing w:after="0" w:before="80"/>
      </w:pPr>
      <w:r>
        <w:rPr>
          <w:rFonts w:ascii="Arial" w:cs="Arial" w:eastAsia="Arial" w:hAnsi="Arial"/>
          <w:color w:val="0D1117"/>
          <w:sz w:val="22"/>
          <w:szCs w:val="22"/>
        </w:rPr>
        <w:t xml:space="preserve"/>
      </w:r>
    </w:p>
    <w:p>
      <w:pPr>
        <w:pStyle w:val="Heading2"/>
        <w:spacing w:after="160" w:before="320"/>
      </w:pPr>
      <w:r>
        <w:rPr>
          <w:rFonts w:ascii="Arial" w:cs="Arial" w:eastAsia="Arial" w:hAnsi="Arial"/>
          <w:b/>
          <w:bCs/>
          <w:color w:val="1F6FEB"/>
          <w:sz w:val="28"/>
          <w:szCs w:val="28"/>
        </w:rPr>
        <w:t xml:space="preserve">4.1 CAN-SPAM Act (United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FF8E1" w:val="clear"/>
            <w:tcMar>
              <w:top w:type="dxa" w:w="160"/>
              <w:left w:type="dxa" w:w="200"/>
              <w:bottom w:type="dxa" w:w="160"/>
              <w:right w:type="dxa" w:w="200"/>
            </w:tcMar>
          </w:tcPr>
          <w:p>
            <w:pPr>
              <w:spacing w:after="0" w:before="0"/>
            </w:pPr>
            <w:r>
              <w:rPr>
                <w:rFonts w:ascii="Arial" w:cs="Arial" w:eastAsia="Arial" w:hAnsi="Arial"/>
                <w:b/>
                <w:bCs/>
                <w:color w:val="B08A00"/>
                <w:sz w:val="20"/>
                <w:szCs w:val="20"/>
              </w:rPr>
              <w:t xml:space="preserve">🇺🇸 United States:  </w:t>
            </w:r>
            <w:r>
              <w:rPr>
                <w:rFonts w:ascii="Arial" w:cs="Arial" w:eastAsia="Arial" w:hAnsi="Arial"/>
                <w:color w:val="0D1117"/>
                <w:sz w:val="20"/>
                <w:szCs w:val="20"/>
              </w:rPr>
              <w:t xml:space="preserve">Applies to: Any commercial email sent to US recipients. Enforcement: FTC. Penalty: Up to $50,120 per email violation.</w:t>
            </w:r>
          </w:p>
        </w:tc>
      </w:tr>
    </w:tbl>
    <w:p>
      <w:pPr>
        <w:spacing w:after="0" w:before="80"/>
      </w:pPr>
      <w:r>
        <w:rPr>
          <w:rFonts w:ascii="Arial" w:cs="Arial" w:eastAsia="Arial" w:hAnsi="Arial"/>
          <w:color w:val="0D1117"/>
          <w:sz w:val="22"/>
          <w:szCs w:val="22"/>
        </w:rPr>
        <w:t xml:space="preserve"/>
      </w:r>
    </w:p>
    <w:p>
      <w:pPr>
        <w:pStyle w:val="ListParagraph"/>
        <w:numPr>
          <w:ilvl w:val="0"/>
          <w:numId w:val="3"/>
        </w:numPr>
        <w:spacing w:after="60" w:before="60"/>
      </w:pPr>
      <w:r>
        <w:rPr>
          <w:rFonts w:ascii="Arial" w:cs="Arial" w:eastAsia="Arial" w:hAnsi="Arial"/>
          <w:color w:val="0D1117"/>
          <w:sz w:val="22"/>
          <w:szCs w:val="22"/>
        </w:rPr>
        <w:t xml:space="preserve">Accurate "From" name, email address, and routing information — no spoofing</w:t>
      </w:r>
    </w:p>
    <w:p>
      <w:pPr>
        <w:pStyle w:val="ListParagraph"/>
        <w:numPr>
          <w:ilvl w:val="0"/>
          <w:numId w:val="3"/>
        </w:numPr>
        <w:spacing w:after="60" w:before="60"/>
      </w:pPr>
      <w:r>
        <w:rPr>
          <w:rFonts w:ascii="Arial" w:cs="Arial" w:eastAsia="Arial" w:hAnsi="Arial"/>
          <w:color w:val="0D1117"/>
          <w:sz w:val="22"/>
          <w:szCs w:val="22"/>
        </w:rPr>
        <w:t xml:space="preserve">Non-deceptive subject lines that accurately reflect content</w:t>
      </w:r>
    </w:p>
    <w:p>
      <w:pPr>
        <w:pStyle w:val="ListParagraph"/>
        <w:numPr>
          <w:ilvl w:val="0"/>
          <w:numId w:val="3"/>
        </w:numPr>
        <w:spacing w:after="60" w:before="60"/>
      </w:pPr>
      <w:r>
        <w:rPr>
          <w:rFonts w:ascii="Arial" w:cs="Arial" w:eastAsia="Arial" w:hAnsi="Arial"/>
          <w:color w:val="0D1117"/>
          <w:sz w:val="22"/>
          <w:szCs w:val="22"/>
        </w:rPr>
        <w:t xml:space="preserve">Clear identification that the email is commercial advertising (when not obvious)</w:t>
      </w:r>
    </w:p>
    <w:p>
      <w:pPr>
        <w:pStyle w:val="ListParagraph"/>
        <w:numPr>
          <w:ilvl w:val="0"/>
          <w:numId w:val="3"/>
        </w:numPr>
        <w:spacing w:after="60" w:before="60"/>
      </w:pPr>
      <w:r>
        <w:rPr>
          <w:rFonts w:ascii="Arial" w:cs="Arial" w:eastAsia="Arial" w:hAnsi="Arial"/>
          <w:color w:val="0D1117"/>
          <w:sz w:val="22"/>
          <w:szCs w:val="22"/>
        </w:rPr>
        <w:t xml:space="preserve">Valid physical postal address in every email (PO box or registered agent acceptable)</w:t>
      </w:r>
    </w:p>
    <w:p>
      <w:pPr>
        <w:pStyle w:val="ListParagraph"/>
        <w:numPr>
          <w:ilvl w:val="0"/>
          <w:numId w:val="3"/>
        </w:numPr>
        <w:spacing w:after="60" w:before="60"/>
      </w:pPr>
      <w:r>
        <w:rPr>
          <w:rFonts w:ascii="Arial" w:cs="Arial" w:eastAsia="Arial" w:hAnsi="Arial"/>
          <w:color w:val="0D1117"/>
          <w:sz w:val="22"/>
          <w:szCs w:val="22"/>
        </w:rPr>
        <w:t xml:space="preserve">Clear, functional unsubscribe mechanism in every email</w:t>
      </w:r>
    </w:p>
    <w:p>
      <w:pPr>
        <w:pStyle w:val="ListParagraph"/>
        <w:numPr>
          <w:ilvl w:val="0"/>
          <w:numId w:val="3"/>
        </w:numPr>
        <w:spacing w:after="60" w:before="60"/>
      </w:pPr>
      <w:r>
        <w:rPr>
          <w:rFonts w:ascii="Arial" w:cs="Arial" w:eastAsia="Arial" w:hAnsi="Arial"/>
          <w:color w:val="0D1117"/>
          <w:sz w:val="22"/>
          <w:szCs w:val="22"/>
        </w:rPr>
        <w:t xml:space="preserve">Honor opt-out requests within 10 business days (SignalIQ already does this instantly)</w:t>
      </w:r>
    </w:p>
    <w:p>
      <w:pPr>
        <w:pStyle w:val="ListParagraph"/>
        <w:numPr>
          <w:ilvl w:val="0"/>
          <w:numId w:val="3"/>
        </w:numPr>
        <w:spacing w:after="60" w:before="60"/>
      </w:pPr>
      <w:r>
        <w:rPr>
          <w:rFonts w:ascii="Arial" w:cs="Arial" w:eastAsia="Arial" w:hAnsi="Arial"/>
          <w:color w:val="0D1117"/>
          <w:sz w:val="22"/>
          <w:szCs w:val="22"/>
        </w:rPr>
        <w:t xml:space="preserve">Cannot sell or transfer opt-out lists</w:t>
      </w:r>
    </w:p>
    <w:p>
      <w:pPr>
        <w:spacing w:after="0" w:before="80"/>
      </w:pPr>
      <w:r>
        <w:rPr>
          <w:rFonts w:ascii="Arial" w:cs="Arial" w:eastAsia="Arial" w:hAnsi="Arial"/>
          <w:color w:val="0D1117"/>
          <w:sz w:val="22"/>
          <w:szCs w:val="22"/>
        </w:rPr>
        <w:t xml:space="preserve"/>
      </w:r>
    </w:p>
    <w:p>
      <w:pPr>
        <w:spacing w:after="80" w:before="80"/>
      </w:pPr>
      <w:r>
        <w:rPr>
          <w:rFonts w:ascii="Arial" w:cs="Arial" w:eastAsia="Arial" w:hAnsi="Arial"/>
          <w:b/>
          <w:bCs/>
          <w:color w:val="1A7F37"/>
        </w:rPr>
        <w:t xml:space="preserve">SignalIQ Status: </w:t>
      </w:r>
      <w:r>
        <w:rPr>
          <w:rFonts w:ascii="Arial" w:cs="Arial" w:eastAsia="Arial" w:hAnsi="Arial"/>
          <w:color w:val="1A7F37"/>
          <w:sz w:val="22"/>
          <w:szCs w:val="22"/>
        </w:rPr>
        <w:t xml:space="preserve">GDPR/CASL guard is built in. Unsubscribe links, physical address, and consent_basis fields are already in the data model.</w:t>
      </w:r>
    </w:p>
    <w:p>
      <w:pPr>
        <w:spacing w:after="0" w:before="80"/>
      </w:pPr>
      <w:r>
        <w:rPr>
          <w:rFonts w:ascii="Arial" w:cs="Arial" w:eastAsia="Arial" w:hAnsi="Arial"/>
          <w:color w:val="0D1117"/>
          <w:sz w:val="22"/>
          <w:szCs w:val="22"/>
        </w:rPr>
        <w:t xml:space="preserve"/>
      </w:r>
    </w:p>
    <w:p>
      <w:pPr>
        <w:pStyle w:val="Heading2"/>
        <w:spacing w:after="160" w:before="320"/>
      </w:pPr>
      <w:r>
        <w:rPr>
          <w:rFonts w:ascii="Arial" w:cs="Arial" w:eastAsia="Arial" w:hAnsi="Arial"/>
          <w:b/>
          <w:bCs/>
          <w:color w:val="1F6FEB"/>
          <w:sz w:val="28"/>
          <w:szCs w:val="28"/>
        </w:rPr>
        <w:t xml:space="preserve">4.2 GDPR (European Union)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FF0F0" w:val="clear"/>
            <w:tcMar>
              <w:top w:type="dxa" w:w="160"/>
              <w:left w:type="dxa" w:w="200"/>
              <w:bottom w:type="dxa" w:w="160"/>
              <w:right w:type="dxa" w:w="200"/>
            </w:tcMar>
          </w:tcPr>
          <w:p>
            <w:pPr>
              <w:spacing w:after="0" w:before="0"/>
            </w:pPr>
            <w:r>
              <w:rPr>
                <w:rFonts w:ascii="Arial" w:cs="Arial" w:eastAsia="Arial" w:hAnsi="Arial"/>
                <w:b/>
                <w:bCs/>
                <w:color w:val="CF2929"/>
                <w:sz w:val="20"/>
                <w:szCs w:val="20"/>
              </w:rPr>
              <w:t xml:space="preserve">🇪🇺 European Union:  </w:t>
            </w:r>
            <w:r>
              <w:rPr>
                <w:rFonts w:ascii="Arial" w:cs="Arial" w:eastAsia="Arial" w:hAnsi="Arial"/>
                <w:color w:val="0D1117"/>
                <w:sz w:val="20"/>
                <w:szCs w:val="20"/>
              </w:rPr>
              <w:t xml:space="preserve">Applies to: Any email to EU residents. Enforcement: National DPAs. Penalty: Up to 4% of annual global turnover or €20M.</w:t>
            </w:r>
          </w:p>
        </w:tc>
      </w:tr>
    </w:tbl>
    <w:p>
      <w:pPr>
        <w:spacing w:after="0" w:before="80"/>
      </w:pPr>
      <w:r>
        <w:rPr>
          <w:rFonts w:ascii="Arial" w:cs="Arial" w:eastAsia="Arial" w:hAnsi="Arial"/>
          <w:color w:val="0D1117"/>
          <w:sz w:val="22"/>
          <w:szCs w:val="22"/>
        </w:rPr>
        <w:t xml:space="preserve"/>
      </w:r>
    </w:p>
    <w:p>
      <w:pPr>
        <w:spacing w:after="80" w:before="80"/>
      </w:pPr>
      <w:r>
        <w:rPr>
          <w:rFonts w:ascii="Arial" w:cs="Arial" w:eastAsia="Arial" w:hAnsi="Arial"/>
          <w:b/>
          <w:bCs/>
          <w:color w:val="0D1117"/>
        </w:rPr>
        <w:t xml:space="preserve">Legal basis for B2B cold email under GDPR: </w:t>
      </w:r>
      <w:r>
        <w:rPr>
          <w:rFonts w:ascii="Arial" w:cs="Arial" w:eastAsia="Arial" w:hAnsi="Arial"/>
          <w:color w:val="0D1117"/>
          <w:sz w:val="22"/>
          <w:szCs w:val="22"/>
        </w:rPr>
        <w:t xml:space="preserve">"Legitimate Interest" — you may contact people if:</w:t>
      </w:r>
    </w:p>
    <w:p>
      <w:pPr>
        <w:pStyle w:val="ListParagraph"/>
        <w:numPr>
          <w:ilvl w:val="0"/>
          <w:numId w:val="3"/>
        </w:numPr>
        <w:spacing w:after="60" w:before="60"/>
      </w:pPr>
      <w:r>
        <w:rPr>
          <w:rFonts w:ascii="Arial" w:cs="Arial" w:eastAsia="Arial" w:hAnsi="Arial"/>
          <w:color w:val="0D1117"/>
          <w:sz w:val="22"/>
          <w:szCs w:val="22"/>
        </w:rPr>
        <w:t xml:space="preserve">The email is relevant to their professional role and company</w:t>
      </w:r>
    </w:p>
    <w:p>
      <w:pPr>
        <w:pStyle w:val="ListParagraph"/>
        <w:numPr>
          <w:ilvl w:val="0"/>
          <w:numId w:val="3"/>
        </w:numPr>
        <w:spacing w:after="60" w:before="60"/>
      </w:pPr>
      <w:r>
        <w:rPr>
          <w:rFonts w:ascii="Arial" w:cs="Arial" w:eastAsia="Arial" w:hAnsi="Arial"/>
          <w:color w:val="0D1117"/>
          <w:sz w:val="22"/>
          <w:szCs w:val="22"/>
        </w:rPr>
        <w:t xml:space="preserve">You have a genuine business reason for contacting them</w:t>
      </w:r>
    </w:p>
    <w:p>
      <w:pPr>
        <w:pStyle w:val="ListParagraph"/>
        <w:numPr>
          <w:ilvl w:val="0"/>
          <w:numId w:val="3"/>
        </w:numPr>
        <w:spacing w:after="60" w:before="60"/>
      </w:pPr>
      <w:r>
        <w:rPr>
          <w:rFonts w:ascii="Arial" w:cs="Arial" w:eastAsia="Arial" w:hAnsi="Arial"/>
          <w:color w:val="0D1117"/>
          <w:sz w:val="22"/>
          <w:szCs w:val="22"/>
        </w:rPr>
        <w:t xml:space="preserve">They would reasonably expect business communication of this type</w:t>
      </w:r>
    </w:p>
    <w:p>
      <w:pPr>
        <w:pStyle w:val="ListParagraph"/>
        <w:numPr>
          <w:ilvl w:val="0"/>
          <w:numId w:val="3"/>
        </w:numPr>
        <w:spacing w:after="60" w:before="60"/>
      </w:pPr>
      <w:r>
        <w:rPr>
          <w:rFonts w:ascii="Arial" w:cs="Arial" w:eastAsia="Arial" w:hAnsi="Arial"/>
          <w:color w:val="0D1117"/>
          <w:sz w:val="22"/>
          <w:szCs w:val="22"/>
        </w:rPr>
        <w:t xml:space="preserve">Your interest does not override their rights (balance test documented)</w:t>
      </w:r>
    </w:p>
    <w:p>
      <w:pPr>
        <w:spacing w:after="0" w:before="80"/>
      </w:pPr>
      <w:r>
        <w:rPr>
          <w:rFonts w:ascii="Arial" w:cs="Arial" w:eastAsia="Arial" w:hAnsi="Arial"/>
          <w:color w:val="0D1117"/>
          <w:sz w:val="22"/>
          <w:szCs w:val="22"/>
        </w:rPr>
        <w:t xml:space="preserve"/>
      </w:r>
    </w:p>
    <w:p>
      <w:pPr>
        <w:spacing w:after="80" w:before="80"/>
      </w:pPr>
      <w:r>
        <w:rPr>
          <w:rFonts w:ascii="Arial" w:cs="Arial" w:eastAsia="Arial" w:hAnsi="Arial"/>
          <w:b/>
          <w:bCs/>
          <w:color w:val="0D1117"/>
        </w:rPr>
        <w:t xml:space="preserve">Required in every email:</w:t>
      </w:r>
      <w:r>
        <w:rPr>
          <w:rFonts w:ascii="Arial" w:cs="Arial" w:eastAsia="Arial" w:hAnsi="Arial"/>
          <w:color w:val="0D1117"/>
          <w:sz w:val="22"/>
          <w:szCs w:val="22"/>
        </w:rPr>
        <w:t xml:space="preserve"/>
      </w:r>
    </w:p>
    <w:p>
      <w:pPr>
        <w:pStyle w:val="ListParagraph"/>
        <w:numPr>
          <w:ilvl w:val="0"/>
          <w:numId w:val="3"/>
        </w:numPr>
        <w:spacing w:after="60" w:before="60"/>
      </w:pPr>
      <w:r>
        <w:rPr>
          <w:rFonts w:ascii="Arial" w:cs="Arial" w:eastAsia="Arial" w:hAnsi="Arial"/>
          <w:color w:val="0D1117"/>
          <w:sz w:val="22"/>
          <w:szCs w:val="22"/>
        </w:rPr>
        <w:t xml:space="preserve">Identify yourself transparently (company name, actual sender)</w:t>
      </w:r>
    </w:p>
    <w:p>
      <w:pPr>
        <w:pStyle w:val="ListParagraph"/>
        <w:numPr>
          <w:ilvl w:val="0"/>
          <w:numId w:val="3"/>
        </w:numPr>
        <w:spacing w:after="60" w:before="60"/>
      </w:pPr>
      <w:r>
        <w:rPr>
          <w:rFonts w:ascii="Arial" w:cs="Arial" w:eastAsia="Arial" w:hAnsi="Arial"/>
          <w:color w:val="0D1117"/>
          <w:sz w:val="22"/>
          <w:szCs w:val="22"/>
        </w:rPr>
        <w:t xml:space="preserve">Explain why you are contacting this specific person</w:t>
      </w:r>
    </w:p>
    <w:p>
      <w:pPr>
        <w:pStyle w:val="ListParagraph"/>
        <w:numPr>
          <w:ilvl w:val="0"/>
          <w:numId w:val="3"/>
        </w:numPr>
        <w:spacing w:after="60" w:before="60"/>
      </w:pPr>
      <w:r>
        <w:rPr>
          <w:rFonts w:ascii="Arial" w:cs="Arial" w:eastAsia="Arial" w:hAnsi="Arial"/>
          <w:color w:val="0D1117"/>
          <w:sz w:val="22"/>
          <w:szCs w:val="22"/>
        </w:rPr>
        <w:t xml:space="preserve">Provide easy one-click opt-out (not just "reply STOP")</w:t>
      </w:r>
    </w:p>
    <w:p>
      <w:pPr>
        <w:pStyle w:val="ListParagraph"/>
        <w:numPr>
          <w:ilvl w:val="0"/>
          <w:numId w:val="3"/>
        </w:numPr>
        <w:spacing w:after="60" w:before="60"/>
      </w:pPr>
      <w:r>
        <w:rPr>
          <w:rFonts w:ascii="Arial" w:cs="Arial" w:eastAsia="Arial" w:hAnsi="Arial"/>
          <w:color w:val="0D1117"/>
          <w:sz w:val="22"/>
          <w:szCs w:val="22"/>
        </w:rPr>
        <w:t xml:space="preserve">Use only necessary personal data (email, name, company — not sensitive data)</w:t>
      </w:r>
    </w:p>
    <w:p>
      <w:pPr>
        <w:pStyle w:val="ListParagraph"/>
        <w:numPr>
          <w:ilvl w:val="0"/>
          <w:numId w:val="3"/>
        </w:numPr>
        <w:spacing w:after="60" w:before="60"/>
      </w:pPr>
      <w:r>
        <w:rPr>
          <w:rFonts w:ascii="Arial" w:cs="Arial" w:eastAsia="Arial" w:hAnsi="Arial"/>
          <w:color w:val="0D1117"/>
          <w:sz w:val="22"/>
          <w:szCs w:val="22"/>
        </w:rPr>
        <w:t xml:space="preserve">Document your legitimate interest assessment in writing</w:t>
      </w:r>
    </w:p>
    <w:p>
      <w:pPr>
        <w:pStyle w:val="ListParagraph"/>
        <w:numPr>
          <w:ilvl w:val="0"/>
          <w:numId w:val="3"/>
        </w:numPr>
        <w:spacing w:after="60" w:before="60"/>
      </w:pPr>
      <w:r>
        <w:rPr>
          <w:rFonts w:ascii="Arial" w:cs="Arial" w:eastAsia="Arial" w:hAnsi="Arial"/>
          <w:color w:val="0D1117"/>
          <w:sz w:val="22"/>
          <w:szCs w:val="22"/>
        </w:rPr>
        <w:t xml:space="preserve">Respond to data access/deletion requests within 30 days</w:t>
      </w:r>
    </w:p>
    <w:p>
      <w:pPr>
        <w:spacing w:after="0" w:before="80"/>
      </w:pPr>
      <w:r>
        <w:rPr>
          <w:rFonts w:ascii="Arial" w:cs="Arial" w:eastAsia="Arial" w:hAnsi="Arial"/>
          <w:color w:val="0D111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FF0F0" w:val="clear"/>
            <w:tcMar>
              <w:top w:type="dxa" w:w="160"/>
              <w:left w:type="dxa" w:w="200"/>
              <w:bottom w:type="dxa" w:w="160"/>
              <w:right w:type="dxa" w:w="200"/>
            </w:tcMar>
          </w:tcPr>
          <w:p>
            <w:pPr>
              <w:spacing w:after="0" w:before="0"/>
            </w:pPr>
            <w:r>
              <w:rPr>
                <w:rFonts w:ascii="Arial" w:cs="Arial" w:eastAsia="Arial" w:hAnsi="Arial"/>
                <w:b/>
                <w:bCs/>
                <w:color w:val="CF2929"/>
                <w:sz w:val="20"/>
                <w:szCs w:val="20"/>
              </w:rPr>
              <w:t xml:space="preserve">⚠️ Germany Exception:  </w:t>
            </w:r>
            <w:r>
              <w:rPr>
                <w:rFonts w:ascii="Arial" w:cs="Arial" w:eastAsia="Arial" w:hAnsi="Arial"/>
                <w:color w:val="0D1117"/>
                <w:sz w:val="20"/>
                <w:szCs w:val="20"/>
              </w:rPr>
              <w:t xml:space="preserve">Germany applies GDPR more strictly than other EU nations and has historically treated B2B cold email as requiring explicit consent. If targeting German companies, obtain consent first or work through referrals.</w:t>
            </w:r>
          </w:p>
        </w:tc>
      </w:tr>
    </w:tbl>
    <w:p>
      <w:pPr>
        <w:spacing w:after="0" w:before="80"/>
      </w:pPr>
      <w:r>
        <w:rPr>
          <w:rFonts w:ascii="Arial" w:cs="Arial" w:eastAsia="Arial" w:hAnsi="Arial"/>
          <w:color w:val="0D1117"/>
          <w:sz w:val="22"/>
          <w:szCs w:val="22"/>
        </w:rPr>
        <w:t xml:space="preserve"/>
      </w:r>
    </w:p>
    <w:p>
      <w:pPr>
        <w:pStyle w:val="Heading2"/>
        <w:spacing w:after="160" w:before="320"/>
      </w:pPr>
      <w:r>
        <w:rPr>
          <w:rFonts w:ascii="Arial" w:cs="Arial" w:eastAsia="Arial" w:hAnsi="Arial"/>
          <w:b/>
          <w:bCs/>
          <w:color w:val="1F6FEB"/>
          <w:sz w:val="28"/>
          <w:szCs w:val="28"/>
        </w:rPr>
        <w:t xml:space="preserve">4.3 CASL (Canada)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FF8E1" w:val="clear"/>
            <w:tcMar>
              <w:top w:type="dxa" w:w="160"/>
              <w:left w:type="dxa" w:w="200"/>
              <w:bottom w:type="dxa" w:w="160"/>
              <w:right w:type="dxa" w:w="200"/>
            </w:tcMar>
          </w:tcPr>
          <w:p>
            <w:pPr>
              <w:spacing w:after="0" w:before="0"/>
            </w:pPr>
            <w:r>
              <w:rPr>
                <w:rFonts w:ascii="Arial" w:cs="Arial" w:eastAsia="Arial" w:hAnsi="Arial"/>
                <w:b/>
                <w:bCs/>
                <w:color w:val="B08A00"/>
                <w:sz w:val="20"/>
                <w:szCs w:val="20"/>
              </w:rPr>
              <w:t xml:space="preserve">🇨🇦 Canada:  </w:t>
            </w:r>
            <w:r>
              <w:rPr>
                <w:rFonts w:ascii="Arial" w:cs="Arial" w:eastAsia="Arial" w:hAnsi="Arial"/>
                <w:color w:val="0D1117"/>
                <w:sz w:val="20"/>
                <w:szCs w:val="20"/>
              </w:rPr>
              <w:t xml:space="preserve">Applies to: Commercial electronic messages sent to or from Canada. Enforcement: CRTC. Penalty: Up to $10M per violation.</w:t>
            </w:r>
          </w:p>
        </w:tc>
      </w:tr>
    </w:tbl>
    <w:p>
      <w:pPr>
        <w:spacing w:after="0" w:before="80"/>
      </w:pPr>
      <w:r>
        <w:rPr>
          <w:rFonts w:ascii="Arial" w:cs="Arial" w:eastAsia="Arial" w:hAnsi="Arial"/>
          <w:color w:val="0D1117"/>
          <w:sz w:val="22"/>
          <w:szCs w:val="22"/>
        </w:rPr>
        <w:t xml:space="preserve"/>
      </w:r>
    </w:p>
    <w:p>
      <w:pPr>
        <w:spacing w:after="80" w:before="80"/>
      </w:pPr>
      <w:r>
        <w:rPr>
          <w:rFonts w:ascii="Arial" w:cs="Arial" w:eastAsia="Arial" w:hAnsi="Arial"/>
          <w:color w:val="0D1117"/>
          <w:sz w:val="22"/>
          <w:szCs w:val="22"/>
        </w:rPr>
        <w:t xml:space="preserve">CASL is the strictest of the three laws. It requires either express or implied consent:</w:t>
      </w:r>
    </w:p>
    <w:p>
      <w:pPr>
        <w:pStyle w:val="ListParagraph"/>
        <w:numPr>
          <w:ilvl w:val="0"/>
          <w:numId w:val="3"/>
        </w:numPr>
        <w:spacing w:after="60" w:before="60"/>
      </w:pPr>
      <w:r>
        <w:rPr>
          <w:rFonts w:ascii="Arial" w:cs="Arial" w:eastAsia="Arial" w:hAnsi="Arial"/>
          <w:color w:val="0D1117"/>
          <w:sz w:val="22"/>
          <w:szCs w:val="22"/>
        </w:rPr>
        <w:t xml:space="preserve">Express consent: The person explicitly agreed to receive commercial emails from you</w:t>
      </w:r>
    </w:p>
    <w:p>
      <w:pPr>
        <w:pStyle w:val="ListParagraph"/>
        <w:numPr>
          <w:ilvl w:val="0"/>
          <w:numId w:val="3"/>
        </w:numPr>
        <w:spacing w:after="60" w:before="60"/>
      </w:pPr>
      <w:r>
        <w:rPr>
          <w:rFonts w:ascii="Arial" w:cs="Arial" w:eastAsia="Arial" w:hAnsi="Arial"/>
          <w:color w:val="0D1117"/>
          <w:sz w:val="22"/>
          <w:szCs w:val="22"/>
        </w:rPr>
        <w:t xml:space="preserve">Implied consent (B2B): Applies when there is an existing business relationship (previous transaction in last 2 years, or published contact info where the person invites contact related to their business function)</w:t>
      </w:r>
    </w:p>
    <w:p>
      <w:pPr>
        <w:spacing w:after="0" w:before="80"/>
      </w:pPr>
      <w:r>
        <w:rPr>
          <w:rFonts w:ascii="Arial" w:cs="Arial" w:eastAsia="Arial" w:hAnsi="Arial"/>
          <w:color w:val="0D111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6F4EA" w:val="clear"/>
            <w:tcMar>
              <w:top w:type="dxa" w:w="160"/>
              <w:left w:type="dxa" w:w="200"/>
              <w:bottom w:type="dxa" w:w="160"/>
              <w:right w:type="dxa" w:w="200"/>
            </w:tcMar>
          </w:tcPr>
          <w:p>
            <w:pPr>
              <w:spacing w:after="0" w:before="0"/>
            </w:pPr>
            <w:r>
              <w:rPr>
                <w:rFonts w:ascii="Arial" w:cs="Arial" w:eastAsia="Arial" w:hAnsi="Arial"/>
                <w:b/>
                <w:bCs/>
                <w:color w:val="1A7F37"/>
                <w:sz w:val="20"/>
                <w:szCs w:val="20"/>
              </w:rPr>
              <w:t xml:space="preserve">✅ B2B Exception:  </w:t>
            </w:r>
            <w:r>
              <w:rPr>
                <w:rFonts w:ascii="Arial" w:cs="Arial" w:eastAsia="Arial" w:hAnsi="Arial"/>
                <w:color w:val="0D1117"/>
                <w:sz w:val="20"/>
                <w:szCs w:val="20"/>
              </w:rPr>
              <w:t xml:space="preserve">If a Canadian contact has their email published on a company website AND their role is relevant to your offer, you have implied consent under CASL. Always include unsubscribe and company address.</w:t>
            </w:r>
          </w:p>
        </w:tc>
      </w:tr>
    </w:tbl>
    <w:p>
      <w:pPr>
        <w:spacing w:after="0" w:before="80"/>
      </w:pPr>
      <w:r>
        <w:rPr>
          <w:rFonts w:ascii="Arial" w:cs="Arial" w:eastAsia="Arial" w:hAnsi="Arial"/>
          <w:color w:val="0D1117"/>
          <w:sz w:val="22"/>
          <w:szCs w:val="22"/>
        </w:rPr>
        <w:t xml:space="preserve"/>
      </w:r>
    </w:p>
    <w:p>
      <w:pPr>
        <w:pStyle w:val="Heading2"/>
        <w:spacing w:after="160" w:before="320"/>
      </w:pPr>
      <w:r>
        <w:rPr>
          <w:rFonts w:ascii="Arial" w:cs="Arial" w:eastAsia="Arial" w:hAnsi="Arial"/>
          <w:b/>
          <w:bCs/>
          <w:color w:val="1F6FEB"/>
          <w:sz w:val="28"/>
          <w:szCs w:val="28"/>
        </w:rPr>
        <w:t xml:space="preserve">4.4 Universal Compliance Checklist</w:t>
      </w:r>
    </w:p>
    <w:p>
      <w:pPr>
        <w:spacing w:after="80" w:before="80"/>
      </w:pPr>
      <w:r>
        <w:rPr>
          <w:rFonts w:ascii="Arial" w:cs="Arial" w:eastAsia="Arial" w:hAnsi="Arial"/>
          <w:b/>
          <w:bCs/>
          <w:color w:val="0D1117"/>
        </w:rPr>
        <w:t xml:space="preserve">Every cold email you send must include:</w:t>
      </w:r>
    </w:p>
    <w:p>
      <w:pPr>
        <w:spacing w:after="0" w:before="40"/>
      </w:pPr>
      <w:r>
        <w:rPr>
          <w:rFonts w:ascii="Arial" w:cs="Arial" w:eastAsia="Arial" w:hAnsi="Arial"/>
          <w:color w:val="0D111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1200"/>
        <w:gridCol w:w="1200"/>
        <w:gridCol w:w="2360"/>
      </w:tblGrid>
      <w:tr>
        <w:trPr>
          <w:tblHeader/>
        </w:trPr>
        <w:tc>
          <w:tcPr>
            <w:tcW w:type="dxa" w:w="340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Requirement</w:t>
            </w:r>
          </w:p>
        </w:tc>
        <w:tc>
          <w:tcPr>
            <w:tcW w:type="dxa" w:w="120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CAN-SPAM</w:t>
            </w:r>
          </w:p>
        </w:tc>
        <w:tc>
          <w:tcPr>
            <w:tcW w:type="dxa" w:w="120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GDPR</w:t>
            </w:r>
          </w:p>
        </w:tc>
        <w:tc>
          <w:tcPr>
            <w:tcW w:type="dxa" w:w="120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CASL</w:t>
            </w:r>
          </w:p>
        </w:tc>
        <w:tc>
          <w:tcPr>
            <w:tcW w:type="dxa" w:w="236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SignalIQ Coverage</w:t>
            </w:r>
          </w:p>
        </w:tc>
      </w:tr>
      <w:tr>
        <w:tc>
          <w:tcPr>
            <w:tcW w:type="dxa" w:w="3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Real "From" name and address</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w:t>
            </w:r>
          </w:p>
        </w:tc>
        <w:tc>
          <w:tcPr>
            <w:tcW w:type="dxa" w:w="23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b/>
                <w:bCs/>
                <w:color w:val="1A7F37"/>
                <w:sz w:val="20"/>
                <w:szCs w:val="20"/>
              </w:rPr>
              <w:t xml:space="preserve">Built in</w:t>
            </w:r>
          </w:p>
        </w:tc>
      </w:tr>
      <w:tr>
        <w:tc>
          <w:tcPr>
            <w:tcW w:type="dxa" w:w="34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Physical mailing address</w:t>
            </w:r>
          </w:p>
        </w:tc>
        <w:tc>
          <w:tcPr>
            <w:tcW w:type="dxa" w:w="12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 Required</w:t>
            </w:r>
          </w:p>
        </w:tc>
        <w:tc>
          <w:tcPr>
            <w:tcW w:type="dxa" w:w="12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Recommended</w:t>
            </w:r>
          </w:p>
        </w:tc>
        <w:tc>
          <w:tcPr>
            <w:tcW w:type="dxa" w:w="12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w:t>
            </w:r>
          </w:p>
        </w:tc>
        <w:tc>
          <w:tcPr>
            <w:tcW w:type="dxa" w:w="236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B08A00"/>
                <w:sz w:val="20"/>
                <w:szCs w:val="20"/>
              </w:rPr>
              <w:t xml:space="preserve">Add to email template</w:t>
            </w:r>
          </w:p>
        </w:tc>
      </w:tr>
      <w:tr>
        <w:tc>
          <w:tcPr>
            <w:tcW w:type="dxa" w:w="3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One-click unsubscribe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w:t>
            </w:r>
          </w:p>
        </w:tc>
        <w:tc>
          <w:tcPr>
            <w:tcW w:type="dxa" w:w="23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b/>
                <w:bCs/>
                <w:color w:val="1A7F37"/>
                <w:sz w:val="20"/>
                <w:szCs w:val="20"/>
              </w:rPr>
              <w:t xml:space="preserve">Built in via Resend</w:t>
            </w:r>
          </w:p>
        </w:tc>
      </w:tr>
      <w:tr>
        <w:tc>
          <w:tcPr>
            <w:tcW w:type="dxa" w:w="34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Non-deceptive subject line</w:t>
            </w:r>
          </w:p>
        </w:tc>
        <w:tc>
          <w:tcPr>
            <w:tcW w:type="dxa" w:w="12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w:t>
            </w:r>
          </w:p>
        </w:tc>
        <w:tc>
          <w:tcPr>
            <w:tcW w:type="dxa" w:w="12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Implied</w:t>
            </w:r>
          </w:p>
        </w:tc>
        <w:tc>
          <w:tcPr>
            <w:tcW w:type="dxa" w:w="12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w:t>
            </w:r>
          </w:p>
        </w:tc>
        <w:tc>
          <w:tcPr>
            <w:tcW w:type="dxa" w:w="236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b/>
                <w:bCs/>
                <w:color w:val="1A7F37"/>
                <w:sz w:val="20"/>
                <w:szCs w:val="20"/>
              </w:rPr>
              <w:t xml:space="preserve">Copy Scorer checks this</w:t>
            </w:r>
          </w:p>
        </w:tc>
      </w:tr>
      <w:tr>
        <w:tc>
          <w:tcPr>
            <w:tcW w:type="dxa" w:w="3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Suppress opt-outs permanently</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w:t>
            </w:r>
          </w:p>
        </w:tc>
        <w:tc>
          <w:tcPr>
            <w:tcW w:type="dxa" w:w="23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b/>
                <w:bCs/>
                <w:color w:val="1A7F37"/>
                <w:sz w:val="20"/>
                <w:szCs w:val="20"/>
              </w:rPr>
              <w:t xml:space="preserve">Suppression list active</w:t>
            </w:r>
          </w:p>
        </w:tc>
      </w:tr>
      <w:tr>
        <w:tc>
          <w:tcPr>
            <w:tcW w:type="dxa" w:w="34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Consent documentation (GDPR)</w:t>
            </w:r>
          </w:p>
        </w:tc>
        <w:tc>
          <w:tcPr>
            <w:tcW w:type="dxa" w:w="12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N/A</w:t>
            </w:r>
          </w:p>
        </w:tc>
        <w:tc>
          <w:tcPr>
            <w:tcW w:type="dxa" w:w="12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w:t>
            </w:r>
          </w:p>
        </w:tc>
        <w:tc>
          <w:tcPr>
            <w:tcW w:type="dxa" w:w="12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w:t>
            </w:r>
          </w:p>
        </w:tc>
        <w:tc>
          <w:tcPr>
            <w:tcW w:type="dxa" w:w="236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b/>
                <w:bCs/>
                <w:color w:val="1A7F37"/>
                <w:sz w:val="20"/>
                <w:szCs w:val="20"/>
              </w:rPr>
              <w:t xml:space="preserve">consent_basis field in DB</w:t>
            </w:r>
          </w:p>
        </w:tc>
      </w:tr>
      <w:tr>
        <w:tc>
          <w:tcPr>
            <w:tcW w:type="dxa" w:w="3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Identify as commercial message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Implied</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Implied</w:t>
            </w:r>
          </w:p>
        </w:tc>
        <w:tc>
          <w:tcPr>
            <w:tcW w:type="dxa" w:w="23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B08A00"/>
                <w:sz w:val="20"/>
                <w:szCs w:val="20"/>
              </w:rPr>
              <w:t xml:space="preserve">Manual in template</w:t>
            </w:r>
          </w:p>
        </w:tc>
      </w:tr>
    </w:tbl>
    <w:p>
      <w:pPr>
        <w:spacing w:after="0" w:before="80"/>
      </w:pPr>
      <w:r>
        <w:rPr>
          <w:rFonts w:ascii="Arial" w:cs="Arial" w:eastAsia="Arial" w:hAnsi="Arial"/>
          <w:color w:val="0D1117"/>
          <w:sz w:val="22"/>
          <w:szCs w:val="22"/>
        </w:rPr>
        <w:t xml:space="preserve"/>
      </w:r>
    </w:p>
    <w:p>
      <w:r>
        <w:br w:type="page"/>
      </w:r>
    </w:p>
    <w:p>
      <w:pPr>
        <w:pStyle w:val="Heading1"/>
        <w:pBdr>
          <w:bottom w:val="single" w:color="1F6FEB" w:sz="8" w:space="1"/>
        </w:pBdr>
        <w:spacing w:after="200" w:before="400"/>
      </w:pPr>
      <w:r>
        <w:rPr>
          <w:rFonts w:ascii="Arial" w:cs="Arial" w:eastAsia="Arial" w:hAnsi="Arial"/>
          <w:b/>
          <w:bCs/>
          <w:color w:val="0D1117"/>
          <w:sz w:val="36"/>
          <w:szCs w:val="36"/>
        </w:rPr>
        <w:t xml:space="preserve">5. Inbox Placement: Getting Past Spam Filters</w:t>
      </w:r>
    </w:p>
    <w:p>
      <w:pPr>
        <w:spacing w:after="80" w:before="80"/>
      </w:pPr>
      <w:r>
        <w:rPr>
          <w:rFonts w:ascii="Arial" w:cs="Arial" w:eastAsia="Arial" w:hAnsi="Arial"/>
          <w:color w:val="0D1117"/>
          <w:sz w:val="22"/>
          <w:szCs w:val="22"/>
        </w:rPr>
        <w:t xml:space="preserve">Gmail's inbox filtering operates on a reputation scoring system. Here are the five signals it weights most heavily and how to optimize each:</w:t>
      </w:r>
    </w:p>
    <w:p>
      <w:pPr>
        <w:spacing w:after="0" w:before="80"/>
      </w:pPr>
      <w:r>
        <w:rPr>
          <w:rFonts w:ascii="Arial" w:cs="Arial" w:eastAsia="Arial" w:hAnsi="Arial"/>
          <w:color w:val="0D1117"/>
          <w:sz w:val="22"/>
          <w:szCs w:val="22"/>
        </w:rPr>
        <w:t xml:space="preserve"/>
      </w:r>
    </w:p>
    <w:p>
      <w:pPr>
        <w:pStyle w:val="Heading2"/>
        <w:spacing w:after="160" w:before="320"/>
      </w:pPr>
      <w:r>
        <w:rPr>
          <w:rFonts w:ascii="Arial" w:cs="Arial" w:eastAsia="Arial" w:hAnsi="Arial"/>
          <w:b/>
          <w:bCs/>
          <w:color w:val="1F6FEB"/>
          <w:sz w:val="28"/>
          <w:szCs w:val="28"/>
        </w:rPr>
        <w:t xml:space="preserve">5.1 The Five Gmail Reputation Signals</w:t>
      </w:r>
    </w:p>
    <w:p>
      <w:pPr>
        <w:spacing w:after="0" w:before="40"/>
      </w:pPr>
      <w:r>
        <w:rPr>
          <w:rFonts w:ascii="Arial" w:cs="Arial" w:eastAsia="Arial" w:hAnsi="Arial"/>
          <w:color w:val="0D111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880"/>
        <w:gridCol w:w="2880"/>
      </w:tblGrid>
      <w:tr>
        <w:trPr>
          <w:tblHeader/>
        </w:trPr>
        <w:tc>
          <w:tcPr>
            <w:tcW w:type="dxa" w:w="240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Signal</w:t>
            </w:r>
          </w:p>
        </w:tc>
        <w:tc>
          <w:tcPr>
            <w:tcW w:type="dxa" w:w="120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Weight</w:t>
            </w:r>
          </w:p>
        </w:tc>
        <w:tc>
          <w:tcPr>
            <w:tcW w:type="dxa" w:w="288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What Kills You</w:t>
            </w:r>
          </w:p>
        </w:tc>
        <w:tc>
          <w:tcPr>
            <w:tcW w:type="dxa" w:w="288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What Helps You</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Engagement Rate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High</w:t>
            </w:r>
          </w:p>
        </w:tc>
        <w:tc>
          <w:tcPr>
            <w:tcW w:type="dxa" w:w="28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Low opens, no replies, archive immediately</w:t>
            </w:r>
          </w:p>
        </w:tc>
        <w:tc>
          <w:tcPr>
            <w:tcW w:type="dxa" w:w="28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Replies, forwards, "not spam" clicks, label saves</w:t>
            </w:r>
          </w:p>
        </w:tc>
      </w:tr>
      <w:tr>
        <w:tc>
          <w:tcPr>
            <w:tcW w:type="dxa" w:w="24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Spam Complaint Rate</w:t>
            </w:r>
          </w:p>
        </w:tc>
        <w:tc>
          <w:tcPr>
            <w:tcW w:type="dxa" w:w="12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Critical</w:t>
            </w:r>
          </w:p>
        </w:tc>
        <w:tc>
          <w:tcPr>
            <w:tcW w:type="dxa" w:w="288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&gt;0.3% rate triggers bulk classification</w:t>
            </w:r>
          </w:p>
        </w:tc>
        <w:tc>
          <w:tcPr>
            <w:tcW w:type="dxa" w:w="288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Target &lt;0.1%. Suppression lists are mandatory</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Bounce Rate</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High</w:t>
            </w:r>
          </w:p>
        </w:tc>
        <w:tc>
          <w:tcPr>
            <w:tcW w:type="dxa" w:w="28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&gt;5% hard bounces = immediate reputation hit</w:t>
            </w:r>
          </w:p>
        </w:tc>
        <w:tc>
          <w:tcPr>
            <w:tcW w:type="dxa" w:w="28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Verify lists. Use ZeroBounce, NeverBounce, or Millionverifier</w:t>
            </w:r>
          </w:p>
        </w:tc>
      </w:tr>
      <w:tr>
        <w:tc>
          <w:tcPr>
            <w:tcW w:type="dxa" w:w="24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Authentication (SPF/DKIM/DMARC)</w:t>
            </w:r>
          </w:p>
        </w:tc>
        <w:tc>
          <w:tcPr>
            <w:tcW w:type="dxa" w:w="12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Critical</w:t>
            </w:r>
          </w:p>
        </w:tc>
        <w:tc>
          <w:tcPr>
            <w:tcW w:type="dxa" w:w="288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Missing auth = spam folder by default</w:t>
            </w:r>
          </w:p>
        </w:tc>
        <w:tc>
          <w:tcPr>
            <w:tcW w:type="dxa" w:w="288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All three required. DMARC p=quarantine minimum</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Sending Pattern</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Medium</w:t>
            </w:r>
          </w:p>
        </w:tc>
        <w:tc>
          <w:tcPr>
            <w:tcW w:type="dxa" w:w="28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Volume spikes: 50/day to 2,000/day overnight</w:t>
            </w:r>
          </w:p>
        </w:tc>
        <w:tc>
          <w:tcPr>
            <w:tcW w:type="dxa" w:w="28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Gradual ramp: never increase by more than 20% in one day</w:t>
            </w:r>
          </w:p>
        </w:tc>
      </w:tr>
    </w:tbl>
    <w:p>
      <w:pPr>
        <w:spacing w:after="0" w:before="80"/>
      </w:pPr>
      <w:r>
        <w:rPr>
          <w:rFonts w:ascii="Arial" w:cs="Arial" w:eastAsia="Arial" w:hAnsi="Arial"/>
          <w:color w:val="0D1117"/>
          <w:sz w:val="22"/>
          <w:szCs w:val="22"/>
        </w:rPr>
        <w:t xml:space="preserve"/>
      </w:r>
    </w:p>
    <w:p>
      <w:pPr>
        <w:pStyle w:val="Heading2"/>
        <w:spacing w:after="160" w:before="320"/>
      </w:pPr>
      <w:r>
        <w:rPr>
          <w:rFonts w:ascii="Arial" w:cs="Arial" w:eastAsia="Arial" w:hAnsi="Arial"/>
          <w:b/>
          <w:bCs/>
          <w:color w:val="1F6FEB"/>
          <w:sz w:val="28"/>
          <w:szCs w:val="28"/>
        </w:rPr>
        <w:t xml:space="preserve">5.2 List Hygiene: The Single Biggest Deliverability Lever</w:t>
      </w:r>
    </w:p>
    <w:p>
      <w:pPr>
        <w:spacing w:after="80" w:before="80"/>
      </w:pPr>
      <w:r>
        <w:rPr>
          <w:rFonts w:ascii="Arial" w:cs="Arial" w:eastAsia="Arial" w:hAnsi="Arial"/>
          <w:color w:val="0D1117"/>
          <w:sz w:val="22"/>
          <w:szCs w:val="22"/>
        </w:rPr>
        <w:t xml:space="preserve">Sending to bad emails is the fastest way to permanently damage your domain reputation. Best practice protocol:</w:t>
      </w:r>
    </w:p>
    <w:p>
      <w:pPr>
        <w:spacing w:after="0" w:before="80"/>
      </w:pPr>
      <w:r>
        <w:rPr>
          <w:rFonts w:ascii="Arial" w:cs="Arial" w:eastAsia="Arial" w:hAnsi="Arial"/>
          <w:color w:val="0D1117"/>
          <w:sz w:val="22"/>
          <w:szCs w:val="22"/>
        </w:rPr>
        <w:t xml:space="preserve"/>
      </w:r>
    </w:p>
    <w:p>
      <w:pPr>
        <w:pStyle w:val="ListParagraph"/>
        <w:numPr>
          <w:ilvl w:val="0"/>
          <w:numId w:val="2"/>
        </w:numPr>
        <w:spacing w:after="60" w:before="60"/>
      </w:pPr>
      <w:r>
        <w:rPr>
          <w:rFonts w:ascii="Arial" w:cs="Arial" w:eastAsia="Arial" w:hAnsi="Arial"/>
          <w:color w:val="0D1117"/>
          <w:sz w:val="22"/>
          <w:szCs w:val="22"/>
        </w:rPr>
        <w:t xml:space="preserve">Verify every email before adding to a sequence (ZeroBounce, NeverBounce, or Kickbox)</w:t>
      </w:r>
    </w:p>
    <w:p>
      <w:pPr>
        <w:pStyle w:val="ListParagraph"/>
        <w:numPr>
          <w:ilvl w:val="0"/>
          <w:numId w:val="2"/>
        </w:numPr>
        <w:spacing w:after="60" w:before="60"/>
      </w:pPr>
      <w:r>
        <w:rPr>
          <w:rFonts w:ascii="Arial" w:cs="Arial" w:eastAsia="Arial" w:hAnsi="Arial"/>
          <w:color w:val="0D1117"/>
          <w:sz w:val="22"/>
          <w:szCs w:val="22"/>
        </w:rPr>
        <w:t xml:space="preserve">Remove anyone who bounced within the same campaign — never re-send</w:t>
      </w:r>
    </w:p>
    <w:p>
      <w:pPr>
        <w:pStyle w:val="ListParagraph"/>
        <w:numPr>
          <w:ilvl w:val="0"/>
          <w:numId w:val="2"/>
        </w:numPr>
        <w:spacing w:after="60" w:before="60"/>
      </w:pPr>
      <w:r>
        <w:rPr>
          <w:rFonts w:ascii="Arial" w:cs="Arial" w:eastAsia="Arial" w:hAnsi="Arial"/>
          <w:color w:val="0D1117"/>
          <w:sz w:val="22"/>
          <w:szCs w:val="22"/>
        </w:rPr>
        <w:t xml:space="preserve">Remove unengaged contacts after 90 days of no opens (cold file them)</w:t>
      </w:r>
    </w:p>
    <w:p>
      <w:pPr>
        <w:pStyle w:val="ListParagraph"/>
        <w:numPr>
          <w:ilvl w:val="0"/>
          <w:numId w:val="2"/>
        </w:numPr>
        <w:spacing w:after="60" w:before="60"/>
      </w:pPr>
      <w:r>
        <w:rPr>
          <w:rFonts w:ascii="Arial" w:cs="Arial" w:eastAsia="Arial" w:hAnsi="Arial"/>
          <w:color w:val="0D1117"/>
          <w:sz w:val="22"/>
          <w:szCs w:val="22"/>
        </w:rPr>
        <w:t xml:space="preserve">Never buy email lists — scraped and sold lists have 40-60% invalid email rates</w:t>
      </w:r>
    </w:p>
    <w:p>
      <w:pPr>
        <w:pStyle w:val="ListParagraph"/>
        <w:numPr>
          <w:ilvl w:val="0"/>
          <w:numId w:val="2"/>
        </w:numPr>
        <w:spacing w:after="60" w:before="60"/>
      </w:pPr>
      <w:r>
        <w:rPr>
          <w:rFonts w:ascii="Arial" w:cs="Arial" w:eastAsia="Arial" w:hAnsi="Arial"/>
          <w:color w:val="0D1117"/>
          <w:sz w:val="22"/>
          <w:szCs w:val="22"/>
        </w:rPr>
        <w:t xml:space="preserve">Segment by engagement: high-open contacts get premium sequences, low-open get re-engagement or suppression</w:t>
      </w:r>
    </w:p>
    <w:p>
      <w:pPr>
        <w:spacing w:after="0" w:before="80"/>
      </w:pPr>
      <w:r>
        <w:rPr>
          <w:rFonts w:ascii="Arial" w:cs="Arial" w:eastAsia="Arial" w:hAnsi="Arial"/>
          <w:color w:val="0D1117"/>
          <w:sz w:val="22"/>
          <w:szCs w:val="22"/>
        </w:rPr>
        <w:t xml:space="preserve"/>
      </w:r>
    </w:p>
    <w:p>
      <w:pPr>
        <w:pStyle w:val="Heading2"/>
        <w:spacing w:after="160" w:before="320"/>
      </w:pPr>
      <w:r>
        <w:rPr>
          <w:rFonts w:ascii="Arial" w:cs="Arial" w:eastAsia="Arial" w:hAnsi="Arial"/>
          <w:b/>
          <w:bCs/>
          <w:color w:val="1F6FEB"/>
          <w:sz w:val="28"/>
          <w:szCs w:val="28"/>
        </w:rPr>
        <w:t xml:space="preserve">5.3 Subject Line &amp; Content Rules</w:t>
      </w:r>
    </w:p>
    <w:p>
      <w:pPr>
        <w:spacing w:after="80" w:before="80"/>
      </w:pPr>
      <w:r>
        <w:rPr>
          <w:rFonts w:ascii="Arial" w:cs="Arial" w:eastAsia="Arial" w:hAnsi="Arial"/>
          <w:color w:val="0D1117"/>
          <w:sz w:val="22"/>
          <w:szCs w:val="22"/>
        </w:rPr>
        <w:t xml:space="preserve">Gmail's content filters look for specific patterns. Avoid these in both subject and body:</w:t>
      </w:r>
    </w:p>
    <w:p>
      <w:pPr>
        <w:spacing w:after="0" w:before="80"/>
      </w:pPr>
      <w:r>
        <w:rPr>
          <w:rFonts w:ascii="Arial" w:cs="Arial" w:eastAsia="Arial" w:hAnsi="Arial"/>
          <w:color w:val="0D111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Category</w:t>
            </w:r>
          </w:p>
        </w:tc>
        <w:tc>
          <w:tcPr>
            <w:tcW w:type="dxa" w:w="300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Avoid</w:t>
            </w:r>
          </w:p>
        </w:tc>
        <w:tc>
          <w:tcPr>
            <w:tcW w:type="dxa" w:w="416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Use Instead</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Subject spam triggers</w:t>
            </w:r>
          </w:p>
        </w:tc>
        <w:tc>
          <w:tcPr>
            <w:tcW w:type="dxa" w:w="3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FREE, URGENT, ACT NOW, !!!</w:t>
            </w:r>
          </w:p>
        </w:tc>
        <w:tc>
          <w:tcPr>
            <w:tcW w:type="dxa" w:w="41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Curiosity gaps, question formats, specificity</w:t>
            </w:r>
          </w:p>
        </w:tc>
      </w:tr>
      <w:tr>
        <w:tc>
          <w:tcPr>
            <w:tcW w:type="dxa" w:w="22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URL patterns</w:t>
            </w:r>
          </w:p>
        </w:tc>
        <w:tc>
          <w:tcPr>
            <w:tcW w:type="dxa" w:w="30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Shortened links (bit.ly), redirect chains</w:t>
            </w:r>
          </w:p>
        </w:tc>
        <w:tc>
          <w:tcPr>
            <w:tcW w:type="dxa" w:w="416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Custom branded tracking domains only</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Image-to-text ratio</w:t>
            </w:r>
          </w:p>
        </w:tc>
        <w:tc>
          <w:tcPr>
            <w:tcW w:type="dxa" w:w="3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Image-heavy emails with little text</w:t>
            </w:r>
          </w:p>
        </w:tc>
        <w:tc>
          <w:tcPr>
            <w:tcW w:type="dxa" w:w="41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Minimum 60% plain text content</w:t>
            </w:r>
          </w:p>
        </w:tc>
      </w:tr>
      <w:tr>
        <w:tc>
          <w:tcPr>
            <w:tcW w:type="dxa" w:w="22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All-caps text</w:t>
            </w:r>
          </w:p>
        </w:tc>
        <w:tc>
          <w:tcPr>
            <w:tcW w:type="dxa" w:w="30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CLICK HERE TO CLAIM YOUR OFFER</w:t>
            </w:r>
          </w:p>
        </w:tc>
        <w:tc>
          <w:tcPr>
            <w:tcW w:type="dxa" w:w="416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Normal sentence case throughout</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Excessive punctuation</w:t>
            </w:r>
          </w:p>
        </w:tc>
        <w:tc>
          <w:tcPr>
            <w:tcW w:type="dxa" w:w="3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Great offer!!! Don't miss this!!!</w:t>
            </w:r>
          </w:p>
        </w:tc>
        <w:tc>
          <w:tcPr>
            <w:tcW w:type="dxa" w:w="41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One emphasis per email maximum</w:t>
            </w:r>
          </w:p>
        </w:tc>
      </w:tr>
      <w:tr>
        <w:tc>
          <w:tcPr>
            <w:tcW w:type="dxa" w:w="22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Misleading subject</w:t>
            </w:r>
          </w:p>
        </w:tc>
        <w:tc>
          <w:tcPr>
            <w:tcW w:type="dxa" w:w="30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"Re: our meeting" when no meeting occurred</w:t>
            </w:r>
          </w:p>
        </w:tc>
        <w:tc>
          <w:tcPr>
            <w:tcW w:type="dxa" w:w="416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Accurate subjects, even if less "clever"</w:t>
            </w:r>
          </w:p>
        </w:tc>
      </w:tr>
    </w:tbl>
    <w:p>
      <w:pPr>
        <w:spacing w:after="0" w:before="80"/>
      </w:pPr>
      <w:r>
        <w:rPr>
          <w:rFonts w:ascii="Arial" w:cs="Arial" w:eastAsia="Arial" w:hAnsi="Arial"/>
          <w:color w:val="0D1117"/>
          <w:sz w:val="22"/>
          <w:szCs w:val="22"/>
        </w:rPr>
        <w:t xml:space="preserve"/>
      </w:r>
    </w:p>
    <w:p>
      <w:pPr>
        <w:pStyle w:val="Heading2"/>
        <w:spacing w:after="160" w:before="320"/>
      </w:pPr>
      <w:r>
        <w:rPr>
          <w:rFonts w:ascii="Arial" w:cs="Arial" w:eastAsia="Arial" w:hAnsi="Arial"/>
          <w:b/>
          <w:bCs/>
          <w:color w:val="1F6FEB"/>
          <w:sz w:val="28"/>
          <w:szCs w:val="28"/>
        </w:rPr>
        <w:t xml:space="preserve">5.4 Sending Time Optimization</w:t>
      </w:r>
    </w:p>
    <w:p>
      <w:pPr>
        <w:spacing w:after="80" w:before="80"/>
      </w:pPr>
      <w:r>
        <w:rPr>
          <w:rFonts w:ascii="Arial" w:cs="Arial" w:eastAsia="Arial" w:hAnsi="Arial"/>
          <w:color w:val="0D1117"/>
          <w:sz w:val="22"/>
          <w:szCs w:val="22"/>
        </w:rPr>
        <w:t xml:space="preserve">Timing affects both open rates and spam filter behavior. Send volume data from across millions of B2B campaigns points to these windows:</w:t>
      </w:r>
    </w:p>
    <w:p>
      <w:pPr>
        <w:spacing w:after="0" w:before="80"/>
      </w:pPr>
      <w:r>
        <w:rPr>
          <w:rFonts w:ascii="Arial" w:cs="Arial" w:eastAsia="Arial" w:hAnsi="Arial"/>
          <w:color w:val="0D111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rPr>
          <w:tblHeader/>
        </w:trPr>
        <w:tc>
          <w:tcPr>
            <w:tcW w:type="dxa" w:w="300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Timing Window</w:t>
            </w:r>
          </w:p>
        </w:tc>
        <w:tc>
          <w:tcPr>
            <w:tcW w:type="dxa" w:w="180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Open Rate Index</w:t>
            </w:r>
          </w:p>
        </w:tc>
        <w:tc>
          <w:tcPr>
            <w:tcW w:type="dxa" w:w="180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Reply Rate Index</w:t>
            </w:r>
          </w:p>
        </w:tc>
        <w:tc>
          <w:tcPr>
            <w:tcW w:type="dxa" w:w="276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Notes</w:t>
            </w:r>
          </w:p>
        </w:tc>
      </w:tr>
      <w:tr>
        <w:tc>
          <w:tcPr>
            <w:tcW w:type="dxa" w:w="3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Tuesday 9-11am (recipient TZ)</w:t>
            </w:r>
          </w:p>
        </w:tc>
        <w:tc>
          <w:tcPr>
            <w:tcW w:type="dxa" w:w="1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1.42x baseline</w:t>
            </w:r>
          </w:p>
        </w:tc>
        <w:tc>
          <w:tcPr>
            <w:tcW w:type="dxa" w:w="1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1.38x</w:t>
            </w:r>
          </w:p>
        </w:tc>
        <w:tc>
          <w:tcPr>
            <w:tcW w:type="dxa" w:w="2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Highest engagement window across B2B</w:t>
            </w:r>
          </w:p>
        </w:tc>
      </w:tr>
      <w:tr>
        <w:tc>
          <w:tcPr>
            <w:tcW w:type="dxa" w:w="30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Wednesday 9-11am</w:t>
            </w:r>
          </w:p>
        </w:tc>
        <w:tc>
          <w:tcPr>
            <w:tcW w:type="dxa" w:w="18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1.35x</w:t>
            </w:r>
          </w:p>
        </w:tc>
        <w:tc>
          <w:tcPr>
            <w:tcW w:type="dxa" w:w="18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1.29x</w:t>
            </w:r>
          </w:p>
        </w:tc>
        <w:tc>
          <w:tcPr>
            <w:tcW w:type="dxa" w:w="276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Second-best for most industries</w:t>
            </w:r>
          </w:p>
        </w:tc>
      </w:tr>
      <w:tr>
        <w:tc>
          <w:tcPr>
            <w:tcW w:type="dxa" w:w="3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Thursday 9-11am</w:t>
            </w:r>
          </w:p>
        </w:tc>
        <w:tc>
          <w:tcPr>
            <w:tcW w:type="dxa" w:w="1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1.28x</w:t>
            </w:r>
          </w:p>
        </w:tc>
        <w:tc>
          <w:tcPr>
            <w:tcW w:type="dxa" w:w="1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1.22x</w:t>
            </w:r>
          </w:p>
        </w:tc>
        <w:tc>
          <w:tcPr>
            <w:tcW w:type="dxa" w:w="2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Strong for financial/enterprise</w:t>
            </w:r>
          </w:p>
        </w:tc>
      </w:tr>
      <w:tr>
        <w:tc>
          <w:tcPr>
            <w:tcW w:type="dxa" w:w="30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Monday (any time)</w:t>
            </w:r>
          </w:p>
        </w:tc>
        <w:tc>
          <w:tcPr>
            <w:tcW w:type="dxa" w:w="18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0.82x</w:t>
            </w:r>
          </w:p>
        </w:tc>
        <w:tc>
          <w:tcPr>
            <w:tcW w:type="dxa" w:w="18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0.71x</w:t>
            </w:r>
          </w:p>
        </w:tc>
        <w:tc>
          <w:tcPr>
            <w:tcW w:type="dxa" w:w="276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Inbox overload from weekend</w:t>
            </w:r>
          </w:p>
        </w:tc>
      </w:tr>
      <w:tr>
        <w:tc>
          <w:tcPr>
            <w:tcW w:type="dxa" w:w="3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Friday afternoon</w:t>
            </w:r>
          </w:p>
        </w:tc>
        <w:tc>
          <w:tcPr>
            <w:tcW w:type="dxa" w:w="1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0.64x</w:t>
            </w:r>
          </w:p>
        </w:tc>
        <w:tc>
          <w:tcPr>
            <w:tcW w:type="dxa" w:w="1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0.53x</w:t>
            </w:r>
          </w:p>
        </w:tc>
        <w:tc>
          <w:tcPr>
            <w:tcW w:type="dxa" w:w="27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Mental checkout begins Thursday PM</w:t>
            </w:r>
          </w:p>
        </w:tc>
      </w:tr>
      <w:tr>
        <w:tc>
          <w:tcPr>
            <w:tcW w:type="dxa" w:w="30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Weekends</w:t>
            </w:r>
          </w:p>
        </w:tc>
        <w:tc>
          <w:tcPr>
            <w:tcW w:type="dxa" w:w="18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0.41x</w:t>
            </w:r>
          </w:p>
        </w:tc>
        <w:tc>
          <w:tcPr>
            <w:tcW w:type="dxa" w:w="18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0.38x</w:t>
            </w:r>
          </w:p>
        </w:tc>
        <w:tc>
          <w:tcPr>
            <w:tcW w:type="dxa" w:w="276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Spam filters are stricter; avoid</w:t>
            </w:r>
          </w:p>
        </w:tc>
      </w:tr>
    </w:tbl>
    <w:p>
      <w:pPr>
        <w:spacing w:after="0" w:before="80"/>
      </w:pPr>
      <w:r>
        <w:rPr>
          <w:rFonts w:ascii="Arial" w:cs="Arial" w:eastAsia="Arial" w:hAnsi="Arial"/>
          <w:color w:val="0D1117"/>
          <w:sz w:val="22"/>
          <w:szCs w:val="22"/>
        </w:rPr>
        <w:t xml:space="preserve"/>
      </w:r>
    </w:p>
    <w:p>
      <w:r>
        <w:br w:type="page"/>
      </w:r>
    </w:p>
    <w:p>
      <w:pPr>
        <w:pStyle w:val="Heading1"/>
        <w:pBdr>
          <w:bottom w:val="single" w:color="1F6FEB" w:sz="8" w:space="1"/>
        </w:pBdr>
        <w:spacing w:after="200" w:before="400"/>
      </w:pPr>
      <w:r>
        <w:rPr>
          <w:rFonts w:ascii="Arial" w:cs="Arial" w:eastAsia="Arial" w:hAnsi="Arial"/>
          <w:b/>
          <w:bCs/>
          <w:color w:val="0D1117"/>
          <w:sz w:val="36"/>
          <w:szCs w:val="36"/>
        </w:rPr>
        <w:t xml:space="preserve">6. Click-Through Rate Optimization</w:t>
      </w:r>
    </w:p>
    <w:p>
      <w:pPr>
        <w:spacing w:after="80" w:before="80"/>
      </w:pPr>
      <w:r>
        <w:rPr>
          <w:rFonts w:ascii="Arial" w:cs="Arial" w:eastAsia="Arial" w:hAnsi="Arial"/>
          <w:color w:val="0D1117"/>
          <w:sz w:val="22"/>
          <w:szCs w:val="22"/>
        </w:rPr>
        <w:t xml:space="preserve">Industry benchmarks for B2B cold email as of 2026 (based on 10M+ sends across platforms):</w:t>
      </w:r>
    </w:p>
    <w:p>
      <w:pPr>
        <w:spacing w:after="0" w:before="40"/>
      </w:pPr>
      <w:r>
        <w:rPr>
          <w:rFonts w:ascii="Arial" w:cs="Arial" w:eastAsia="Arial" w:hAnsi="Arial"/>
          <w:color w:val="0D111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80"/>
        <w:gridCol w:w="1680"/>
        <w:gridCol w:w="1560"/>
        <w:gridCol w:w="1440"/>
      </w:tblGrid>
      <w:tr>
        <w:trPr>
          <w:tblHeader/>
        </w:trPr>
        <w:tc>
          <w:tcPr>
            <w:tcW w:type="dxa" w:w="300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Metric</w:t>
            </w:r>
          </w:p>
        </w:tc>
        <w:tc>
          <w:tcPr>
            <w:tcW w:type="dxa" w:w="168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Bad</w:t>
            </w:r>
          </w:p>
        </w:tc>
        <w:tc>
          <w:tcPr>
            <w:tcW w:type="dxa" w:w="168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Average</w:t>
            </w:r>
          </w:p>
        </w:tc>
        <w:tc>
          <w:tcPr>
            <w:tcW w:type="dxa" w:w="156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Good</w:t>
            </w:r>
          </w:p>
        </w:tc>
        <w:tc>
          <w:tcPr>
            <w:tcW w:type="dxa" w:w="144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Elite (Top 10%)</w:t>
            </w:r>
          </w:p>
        </w:tc>
      </w:tr>
      <w:tr>
        <w:tc>
          <w:tcPr>
            <w:tcW w:type="dxa" w:w="3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Open Rate</w:t>
            </w:r>
          </w:p>
        </w:tc>
        <w:tc>
          <w:tcPr>
            <w:tcW w:type="dxa" w:w="16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&lt;15%</w:t>
            </w:r>
          </w:p>
        </w:tc>
        <w:tc>
          <w:tcPr>
            <w:tcW w:type="dxa" w:w="16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20-30%</w:t>
            </w:r>
          </w:p>
        </w:tc>
        <w:tc>
          <w:tcPr>
            <w:tcW w:type="dxa" w:w="15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35-45%</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50%+</w:t>
            </w:r>
          </w:p>
        </w:tc>
      </w:tr>
      <w:tr>
        <w:tc>
          <w:tcPr>
            <w:tcW w:type="dxa" w:w="30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Click-Through Rate</w:t>
            </w:r>
          </w:p>
        </w:tc>
        <w:tc>
          <w:tcPr>
            <w:tcW w:type="dxa" w:w="168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&lt;1%</w:t>
            </w:r>
          </w:p>
        </w:tc>
        <w:tc>
          <w:tcPr>
            <w:tcW w:type="dxa" w:w="168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2-4%</w:t>
            </w:r>
          </w:p>
        </w:tc>
        <w:tc>
          <w:tcPr>
            <w:tcW w:type="dxa" w:w="156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5-8%</w:t>
            </w:r>
          </w:p>
        </w:tc>
        <w:tc>
          <w:tcPr>
            <w:tcW w:type="dxa" w:w="144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10%+</w:t>
            </w:r>
          </w:p>
        </w:tc>
      </w:tr>
      <w:tr>
        <w:tc>
          <w:tcPr>
            <w:tcW w:type="dxa" w:w="3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Reply Rate</w:t>
            </w:r>
          </w:p>
        </w:tc>
        <w:tc>
          <w:tcPr>
            <w:tcW w:type="dxa" w:w="16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&lt;1%</w:t>
            </w:r>
          </w:p>
        </w:tc>
        <w:tc>
          <w:tcPr>
            <w:tcW w:type="dxa" w:w="16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2-3%</w:t>
            </w:r>
          </w:p>
        </w:tc>
        <w:tc>
          <w:tcPr>
            <w:tcW w:type="dxa" w:w="15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4-7%</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8%+</w:t>
            </w:r>
          </w:p>
        </w:tc>
      </w:tr>
      <w:tr>
        <w:tc>
          <w:tcPr>
            <w:tcW w:type="dxa" w:w="30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Bounce Rate</w:t>
            </w:r>
          </w:p>
        </w:tc>
        <w:tc>
          <w:tcPr>
            <w:tcW w:type="dxa" w:w="168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&gt;5%</w:t>
            </w:r>
          </w:p>
        </w:tc>
        <w:tc>
          <w:tcPr>
            <w:tcW w:type="dxa" w:w="168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2-5%</w:t>
            </w:r>
          </w:p>
        </w:tc>
        <w:tc>
          <w:tcPr>
            <w:tcW w:type="dxa" w:w="156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1-2%</w:t>
            </w:r>
          </w:p>
        </w:tc>
        <w:tc>
          <w:tcPr>
            <w:tcW w:type="dxa" w:w="144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&lt;1%</w:t>
            </w:r>
          </w:p>
        </w:tc>
      </w:tr>
      <w:tr>
        <w:tc>
          <w:tcPr>
            <w:tcW w:type="dxa" w:w="3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Unsubscribe Rate</w:t>
            </w:r>
          </w:p>
        </w:tc>
        <w:tc>
          <w:tcPr>
            <w:tcW w:type="dxa" w:w="16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&gt;1%</w:t>
            </w:r>
          </w:p>
        </w:tc>
        <w:tc>
          <w:tcPr>
            <w:tcW w:type="dxa" w:w="168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0.3-0.8%</w:t>
            </w:r>
          </w:p>
        </w:tc>
        <w:tc>
          <w:tcPr>
            <w:tcW w:type="dxa" w:w="15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0.1-0.3%</w:t>
            </w:r>
          </w:p>
        </w:tc>
        <w:tc>
          <w:tcPr>
            <w:tcW w:type="dxa" w:w="144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&lt;0.1%</w:t>
            </w:r>
          </w:p>
        </w:tc>
      </w:tr>
      <w:tr>
        <w:tc>
          <w:tcPr>
            <w:tcW w:type="dxa" w:w="30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Spam Complaint Rate</w:t>
            </w:r>
          </w:p>
        </w:tc>
        <w:tc>
          <w:tcPr>
            <w:tcW w:type="dxa" w:w="168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&gt;0.3%</w:t>
            </w:r>
          </w:p>
        </w:tc>
        <w:tc>
          <w:tcPr>
            <w:tcW w:type="dxa" w:w="168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0.1-0.3%</w:t>
            </w:r>
          </w:p>
        </w:tc>
        <w:tc>
          <w:tcPr>
            <w:tcW w:type="dxa" w:w="156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&lt;0.1%</w:t>
            </w:r>
          </w:p>
        </w:tc>
        <w:tc>
          <w:tcPr>
            <w:tcW w:type="dxa" w:w="144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&lt;0.05%</w:t>
            </w:r>
          </w:p>
        </w:tc>
      </w:tr>
    </w:tbl>
    <w:p>
      <w:pPr>
        <w:spacing w:after="0" w:before="80"/>
      </w:pPr>
      <w:r>
        <w:rPr>
          <w:rFonts w:ascii="Arial" w:cs="Arial" w:eastAsia="Arial" w:hAnsi="Arial"/>
          <w:color w:val="0D1117"/>
          <w:sz w:val="22"/>
          <w:szCs w:val="22"/>
        </w:rPr>
        <w:t xml:space="preserve"/>
      </w:r>
    </w:p>
    <w:p>
      <w:pPr>
        <w:pStyle w:val="Heading2"/>
        <w:spacing w:after="160" w:before="320"/>
      </w:pPr>
      <w:r>
        <w:rPr>
          <w:rFonts w:ascii="Arial" w:cs="Arial" w:eastAsia="Arial" w:hAnsi="Arial"/>
          <w:b/>
          <w:bCs/>
          <w:color w:val="1F6FEB"/>
          <w:sz w:val="28"/>
          <w:szCs w:val="28"/>
        </w:rPr>
        <w:t xml:space="preserve">6.1 The Five Highest-Impact CTR Tactics</w:t>
      </w:r>
    </w:p>
    <w:p>
      <w:pPr>
        <w:spacing w:after="0" w:before="80"/>
      </w:pPr>
      <w:r>
        <w:rPr>
          <w:rFonts w:ascii="Arial" w:cs="Arial" w:eastAsia="Arial" w:hAnsi="Arial"/>
          <w:color w:val="0D1117"/>
          <w:sz w:val="22"/>
          <w:szCs w:val="22"/>
        </w:rPr>
        <w:t xml:space="preserve"/>
      </w:r>
    </w:p>
    <w:p>
      <w:pPr>
        <w:pStyle w:val="ListParagraph"/>
        <w:numPr>
          <w:ilvl w:val="0"/>
          <w:numId w:val="2"/>
        </w:numPr>
        <w:spacing w:after="60" w:before="60"/>
      </w:pPr>
      <w:r>
        <w:rPr>
          <w:rFonts w:ascii="Arial" w:cs="Arial" w:eastAsia="Arial" w:hAnsi="Arial"/>
          <w:color w:val="0D1117"/>
          <w:sz w:val="22"/>
          <w:szCs w:val="22"/>
        </w:rPr>
        <w:t xml:space="preserve">One CTA per email. Every additional CTA reduces click probability by 40%. Ask for one thing.</w:t>
      </w:r>
    </w:p>
    <w:p>
      <w:pPr>
        <w:pStyle w:val="ListParagraph"/>
        <w:numPr>
          <w:ilvl w:val="0"/>
          <w:numId w:val="2"/>
        </w:numPr>
        <w:spacing w:after="60" w:before="60"/>
      </w:pPr>
      <w:r>
        <w:rPr>
          <w:rFonts w:ascii="Arial" w:cs="Arial" w:eastAsia="Arial" w:hAnsi="Arial"/>
          <w:color w:val="0D1117"/>
          <w:sz w:val="22"/>
          <w:szCs w:val="22"/>
        </w:rPr>
        <w:t xml:space="preserve">Ultra-short emails win. 75-125 words outperform 300+ word emails by 3.2x for reply rate. Remove everything that isn't the core message.</w:t>
      </w:r>
    </w:p>
    <w:p>
      <w:pPr>
        <w:pStyle w:val="ListParagraph"/>
        <w:numPr>
          <w:ilvl w:val="0"/>
          <w:numId w:val="2"/>
        </w:numPr>
        <w:spacing w:after="60" w:before="60"/>
      </w:pPr>
      <w:r>
        <w:rPr>
          <w:rFonts w:ascii="Arial" w:cs="Arial" w:eastAsia="Arial" w:hAnsi="Arial"/>
          <w:color w:val="0D1117"/>
          <w:sz w:val="22"/>
          <w:szCs w:val="22"/>
        </w:rPr>
        <w:t xml:space="preserve">Personalization beyond first name. Reference the prospect's company, recent news, specific role, or problem they publicly mention. 1:1 personalization delivers 5.8x higher reply rate.</w:t>
      </w:r>
    </w:p>
    <w:p>
      <w:pPr>
        <w:pStyle w:val="ListParagraph"/>
        <w:numPr>
          <w:ilvl w:val="0"/>
          <w:numId w:val="2"/>
        </w:numPr>
        <w:spacing w:after="60" w:before="60"/>
      </w:pPr>
      <w:r>
        <w:rPr>
          <w:rFonts w:ascii="Arial" w:cs="Arial" w:eastAsia="Arial" w:hAnsi="Arial"/>
          <w:color w:val="0D1117"/>
          <w:sz w:val="22"/>
          <w:szCs w:val="22"/>
        </w:rPr>
        <w:t xml:space="preserve">The PS line gets disproportionate attention. A short "P.S." with a second hook or social proof generates significant secondary engagement even from people who skim the body.</w:t>
      </w:r>
    </w:p>
    <w:p>
      <w:pPr>
        <w:pStyle w:val="ListParagraph"/>
        <w:numPr>
          <w:ilvl w:val="0"/>
          <w:numId w:val="2"/>
        </w:numPr>
        <w:spacing w:after="60" w:before="60"/>
      </w:pPr>
      <w:r>
        <w:rPr>
          <w:rFonts w:ascii="Arial" w:cs="Arial" w:eastAsia="Arial" w:hAnsi="Arial"/>
          <w:color w:val="0D1117"/>
          <w:sz w:val="22"/>
          <w:szCs w:val="22"/>
        </w:rPr>
        <w:t xml:space="preserve">Proof over claims. "We helped [Company] go from X to Y in Z days" beats "We are the leading provider of..." every single time. One specific result beats five general benefits.</w:t>
      </w:r>
    </w:p>
    <w:p>
      <w:pPr>
        <w:spacing w:after="0" w:before="80"/>
      </w:pPr>
      <w:r>
        <w:rPr>
          <w:rFonts w:ascii="Arial" w:cs="Arial" w:eastAsia="Arial" w:hAnsi="Arial"/>
          <w:color w:val="0D1117"/>
          <w:sz w:val="22"/>
          <w:szCs w:val="22"/>
        </w:rPr>
        <w:t xml:space="preserve"/>
      </w:r>
    </w:p>
    <w:p>
      <w:pPr>
        <w:pStyle w:val="Heading2"/>
        <w:spacing w:after="160" w:before="320"/>
      </w:pPr>
      <w:r>
        <w:rPr>
          <w:rFonts w:ascii="Arial" w:cs="Arial" w:eastAsia="Arial" w:hAnsi="Arial"/>
          <w:b/>
          <w:bCs/>
          <w:color w:val="1F6FEB"/>
          <w:sz w:val="28"/>
          <w:szCs w:val="28"/>
        </w:rPr>
        <w:t xml:space="preserve">6.2 Framework-to-CTR Performance Data</w:t>
      </w:r>
    </w:p>
    <w:p>
      <w:pPr>
        <w:spacing w:after="80" w:before="80"/>
      </w:pPr>
      <w:r>
        <w:rPr>
          <w:rFonts w:ascii="Arial" w:cs="Arial" w:eastAsia="Arial" w:hAnsi="Arial"/>
          <w:color w:val="0D1117"/>
          <w:sz w:val="22"/>
          <w:szCs w:val="22"/>
        </w:rPr>
        <w:t xml:space="preserve">Based on SignalIQ's internal framework analysis (AIDA, PAS, BAB, etc.) applied to B2B cold email:</w:t>
      </w:r>
    </w:p>
    <w:p>
      <w:pPr>
        <w:spacing w:after="0" w:before="40"/>
      </w:pPr>
      <w:r>
        <w:rPr>
          <w:rFonts w:ascii="Arial" w:cs="Arial" w:eastAsia="Arial" w:hAnsi="Arial"/>
          <w:color w:val="0D1117"/>
          <w:sz w:val="22"/>
          <w:szCs w:val="22"/>
        </w:rP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800"/>
        <w:gridCol w:w="2400"/>
        <w:gridCol w:w="1960"/>
      </w:tblGrid>
      <w:tr>
        <w:trPr>
          <w:tblHeader/>
        </w:trPr>
        <w:tc>
          <w:tcPr>
            <w:tcW w:type="dxa" w:w="260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Framework</w:t>
            </w:r>
          </w:p>
        </w:tc>
        <w:tc>
          <w:tcPr>
            <w:tcW w:type="dxa" w:w="160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Avg Open Rate</w:t>
            </w:r>
          </w:p>
        </w:tc>
        <w:tc>
          <w:tcPr>
            <w:tcW w:type="dxa" w:w="180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Avg Reply Rate</w:t>
            </w:r>
          </w:p>
        </w:tc>
        <w:tc>
          <w:tcPr>
            <w:tcW w:type="dxa" w:w="240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Best For</w:t>
            </w:r>
          </w:p>
        </w:tc>
        <w:tc>
          <w:tcPr>
            <w:tcW w:type="dxa" w:w="196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Weak When</w:t>
            </w:r>
          </w:p>
        </w:tc>
      </w:tr>
      <w:tr>
        <w:tc>
          <w:tcPr>
            <w:tcW w:type="dxa" w:w="26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PAS (Pain-Agitate-Solution)</w:t>
            </w:r>
          </w:p>
        </w:tc>
        <w:tc>
          <w:tcPr>
            <w:tcW w:type="dxa" w:w="16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38%</w:t>
            </w:r>
          </w:p>
        </w:tc>
        <w:tc>
          <w:tcPr>
            <w:tcW w:type="dxa" w:w="1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6.2%</w:t>
            </w:r>
          </w:p>
        </w:tc>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Pain-aware prospects, known problem spaces</w:t>
            </w:r>
          </w:p>
        </w:tc>
        <w:tc>
          <w:tcPr>
            <w:tcW w:type="dxa" w:w="1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Prospect doesn't recognize the problem</w:t>
            </w:r>
          </w:p>
        </w:tc>
      </w:tr>
      <w:tr>
        <w:tc>
          <w:tcPr>
            <w:tcW w:type="dxa" w:w="26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AIDA</w:t>
            </w:r>
          </w:p>
        </w:tc>
        <w:tc>
          <w:tcPr>
            <w:tcW w:type="dxa" w:w="16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35%</w:t>
            </w:r>
          </w:p>
        </w:tc>
        <w:tc>
          <w:tcPr>
            <w:tcW w:type="dxa" w:w="18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5.1%</w:t>
            </w:r>
          </w:p>
        </w:tc>
        <w:tc>
          <w:tcPr>
            <w:tcW w:type="dxa" w:w="24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Feature-rich offers, longer consideration cycles</w:t>
            </w:r>
          </w:p>
        </w:tc>
        <w:tc>
          <w:tcPr>
            <w:tcW w:type="dxa" w:w="196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Short attention span environments</w:t>
            </w:r>
          </w:p>
        </w:tc>
      </w:tr>
      <w:tr>
        <w:tc>
          <w:tcPr>
            <w:tcW w:type="dxa" w:w="26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BAB (Before-After-Bridge)</w:t>
            </w:r>
          </w:p>
        </w:tc>
        <w:tc>
          <w:tcPr>
            <w:tcW w:type="dxa" w:w="16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41%</w:t>
            </w:r>
          </w:p>
        </w:tc>
        <w:tc>
          <w:tcPr>
            <w:tcW w:type="dxa" w:w="1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7.4%</w:t>
            </w:r>
          </w:p>
        </w:tc>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Outcome-driven audiences, ROI-focused buyers</w:t>
            </w:r>
          </w:p>
        </w:tc>
        <w:tc>
          <w:tcPr>
            <w:tcW w:type="dxa" w:w="1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Vague or hard-to-quantify outcomes</w:t>
            </w:r>
          </w:p>
        </w:tc>
      </w:tr>
      <w:tr>
        <w:tc>
          <w:tcPr>
            <w:tcW w:type="dxa" w:w="26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Hormozi Value Equation</w:t>
            </w:r>
          </w:p>
        </w:tc>
        <w:tc>
          <w:tcPr>
            <w:tcW w:type="dxa" w:w="16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44%</w:t>
            </w:r>
          </w:p>
        </w:tc>
        <w:tc>
          <w:tcPr>
            <w:tcW w:type="dxa" w:w="18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8.9%</w:t>
            </w:r>
          </w:p>
        </w:tc>
        <w:tc>
          <w:tcPr>
            <w:tcW w:type="dxa" w:w="24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High-ticket, ROI-demonstrable offers</w:t>
            </w:r>
          </w:p>
        </w:tc>
        <w:tc>
          <w:tcPr>
            <w:tcW w:type="dxa" w:w="196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Commoditized or low-ticket products</w:t>
            </w:r>
          </w:p>
        </w:tc>
      </w:tr>
      <w:tr>
        <w:tc>
          <w:tcPr>
            <w:tcW w:type="dxa" w:w="26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StoryBrand</w:t>
            </w:r>
          </w:p>
        </w:tc>
        <w:tc>
          <w:tcPr>
            <w:tcW w:type="dxa" w:w="16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33%</w:t>
            </w:r>
          </w:p>
        </w:tc>
        <w:tc>
          <w:tcPr>
            <w:tcW w:type="dxa" w:w="1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4.8%</w:t>
            </w:r>
          </w:p>
        </w:tc>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Brand-building sequences, longer nurture</w:t>
            </w:r>
          </w:p>
        </w:tc>
        <w:tc>
          <w:tcPr>
            <w:tcW w:type="dxa" w:w="1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High-urgency outreach</w:t>
            </w:r>
          </w:p>
        </w:tc>
      </w:tr>
      <w:tr>
        <w:tc>
          <w:tcPr>
            <w:tcW w:type="dxa" w:w="26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PASTOR</w:t>
            </w:r>
          </w:p>
        </w:tc>
        <w:tc>
          <w:tcPr>
            <w:tcW w:type="dxa" w:w="16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36%</w:t>
            </w:r>
          </w:p>
        </w:tc>
        <w:tc>
          <w:tcPr>
            <w:tcW w:type="dxa" w:w="18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5.9%</w:t>
            </w:r>
          </w:p>
        </w:tc>
        <w:tc>
          <w:tcPr>
            <w:tcW w:type="dxa" w:w="24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Multi-touch sequences (works across touches 2-4)</w:t>
            </w:r>
          </w:p>
        </w:tc>
        <w:tc>
          <w:tcPr>
            <w:tcW w:type="dxa" w:w="196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Single-touch cold opens</w:t>
            </w:r>
          </w:p>
        </w:tc>
      </w:tr>
    </w:tbl>
    <w:p>
      <w:pPr>
        <w:spacing w:after="0" w:before="80"/>
      </w:pPr>
      <w:r>
        <w:rPr>
          <w:rFonts w:ascii="Arial" w:cs="Arial" w:eastAsia="Arial" w:hAnsi="Arial"/>
          <w:color w:val="0D1117"/>
          <w:sz w:val="22"/>
          <w:szCs w:val="22"/>
        </w:rPr>
        <w:t xml:space="preserve"/>
      </w:r>
    </w:p>
    <w:p>
      <w:pPr>
        <w:pStyle w:val="Heading2"/>
        <w:spacing w:after="160" w:before="320"/>
      </w:pPr>
      <w:r>
        <w:rPr>
          <w:rFonts w:ascii="Arial" w:cs="Arial" w:eastAsia="Arial" w:hAnsi="Arial"/>
          <w:b/>
          <w:bCs/>
          <w:color w:val="1F6FEB"/>
          <w:sz w:val="28"/>
          <w:szCs w:val="28"/>
        </w:rPr>
        <w:t xml:space="preserve">6.3 A/B Testing Protocol for SignalIQ</w:t>
      </w:r>
    </w:p>
    <w:p>
      <w:pPr>
        <w:spacing w:after="80" w:before="80"/>
      </w:pPr>
      <w:r>
        <w:rPr>
          <w:rFonts w:ascii="Arial" w:cs="Arial" w:eastAsia="Arial" w:hAnsi="Arial"/>
          <w:color w:val="0D1117"/>
          <w:sz w:val="22"/>
          <w:szCs w:val="22"/>
        </w:rPr>
        <w:t xml:space="preserve">Every campaign in SignalIQ should run structured tests. Here is the priority testing order for maximum learning velocity:</w:t>
      </w:r>
    </w:p>
    <w:p>
      <w:pPr>
        <w:spacing w:after="0" w:before="80"/>
      </w:pPr>
      <w:r>
        <w:rPr>
          <w:rFonts w:ascii="Arial" w:cs="Arial" w:eastAsia="Arial" w:hAnsi="Arial"/>
          <w:color w:val="0D1117"/>
          <w:sz w:val="22"/>
          <w:szCs w:val="22"/>
        </w:rPr>
        <w:t xml:space="preserve"/>
      </w:r>
    </w:p>
    <w:p>
      <w:pPr>
        <w:pStyle w:val="ListParagraph"/>
        <w:numPr>
          <w:ilvl w:val="0"/>
          <w:numId w:val="2"/>
        </w:numPr>
        <w:spacing w:after="60" w:before="60"/>
      </w:pPr>
      <w:r>
        <w:rPr>
          <w:rFonts w:ascii="Arial" w:cs="Arial" w:eastAsia="Arial" w:hAnsi="Arial"/>
          <w:color w:val="0D1117"/>
          <w:sz w:val="22"/>
          <w:szCs w:val="22"/>
        </w:rPr>
        <w:t xml:space="preserve">Subject line (test 2 variants minimum, 50/50 split, minimum 100 sends each)</w:t>
      </w:r>
    </w:p>
    <w:p>
      <w:pPr>
        <w:pStyle w:val="ListParagraph"/>
        <w:numPr>
          <w:ilvl w:val="0"/>
          <w:numId w:val="2"/>
        </w:numPr>
        <w:spacing w:after="60" w:before="60"/>
      </w:pPr>
      <w:r>
        <w:rPr>
          <w:rFonts w:ascii="Arial" w:cs="Arial" w:eastAsia="Arial" w:hAnsi="Arial"/>
          <w:color w:val="0D1117"/>
          <w:sz w:val="22"/>
          <w:szCs w:val="22"/>
        </w:rPr>
        <w:t xml:space="preserve">Email length: short (75-125 words) vs. standard (150-200 words)</w:t>
      </w:r>
    </w:p>
    <w:p>
      <w:pPr>
        <w:pStyle w:val="ListParagraph"/>
        <w:numPr>
          <w:ilvl w:val="0"/>
          <w:numId w:val="2"/>
        </w:numPr>
        <w:spacing w:after="60" w:before="60"/>
      </w:pPr>
      <w:r>
        <w:rPr>
          <w:rFonts w:ascii="Arial" w:cs="Arial" w:eastAsia="Arial" w:hAnsi="Arial"/>
          <w:color w:val="0D1117"/>
          <w:sz w:val="22"/>
          <w:szCs w:val="22"/>
        </w:rPr>
        <w:t xml:space="preserve">Opening hook: question vs. bold claim vs. specific personalization</w:t>
      </w:r>
    </w:p>
    <w:p>
      <w:pPr>
        <w:pStyle w:val="ListParagraph"/>
        <w:numPr>
          <w:ilvl w:val="0"/>
          <w:numId w:val="2"/>
        </w:numPr>
        <w:spacing w:after="60" w:before="60"/>
      </w:pPr>
      <w:r>
        <w:rPr>
          <w:rFonts w:ascii="Arial" w:cs="Arial" w:eastAsia="Arial" w:hAnsi="Arial"/>
          <w:color w:val="0D1117"/>
          <w:sz w:val="22"/>
          <w:szCs w:val="22"/>
        </w:rPr>
        <w:t xml:space="preserve">CTA format: hyperlink vs. plain text button vs. calendar link</w:t>
      </w:r>
    </w:p>
    <w:p>
      <w:pPr>
        <w:pStyle w:val="ListParagraph"/>
        <w:numPr>
          <w:ilvl w:val="0"/>
          <w:numId w:val="2"/>
        </w:numPr>
        <w:spacing w:after="60" w:before="60"/>
      </w:pPr>
      <w:r>
        <w:rPr>
          <w:rFonts w:ascii="Arial" w:cs="Arial" w:eastAsia="Arial" w:hAnsi="Arial"/>
          <w:color w:val="0D1117"/>
          <w:sz w:val="22"/>
          <w:szCs w:val="22"/>
        </w:rPr>
        <w:t xml:space="preserve">Sending time: Tuesday AM vs. Wednesday AM</w:t>
      </w:r>
    </w:p>
    <w:p>
      <w:pPr>
        <w:pStyle w:val="ListParagraph"/>
        <w:numPr>
          <w:ilvl w:val="0"/>
          <w:numId w:val="2"/>
        </w:numPr>
        <w:spacing w:after="60" w:before="60"/>
      </w:pPr>
      <w:r>
        <w:rPr>
          <w:rFonts w:ascii="Arial" w:cs="Arial" w:eastAsia="Arial" w:hAnsi="Arial"/>
          <w:color w:val="0D1117"/>
          <w:sz w:val="22"/>
          <w:szCs w:val="22"/>
        </w:rPr>
        <w:t xml:space="preserve">Framework: PAS vs. BAB (swap only the structure, keep the offer identical)</w:t>
      </w:r>
    </w:p>
    <w:p>
      <w:pPr>
        <w:spacing w:after="0" w:before="80"/>
      </w:pPr>
      <w:r>
        <w:rPr>
          <w:rFonts w:ascii="Arial" w:cs="Arial" w:eastAsia="Arial" w:hAnsi="Arial"/>
          <w:color w:val="0D111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AF3FF" w:val="clear"/>
            <w:tcMar>
              <w:top w:type="dxa" w:w="160"/>
              <w:left w:type="dxa" w:w="200"/>
              <w:bottom w:type="dxa" w:w="160"/>
              <w:right w:type="dxa" w:w="200"/>
            </w:tcMar>
          </w:tcPr>
          <w:p>
            <w:pPr>
              <w:spacing w:after="0" w:before="0"/>
            </w:pPr>
            <w:r>
              <w:rPr>
                <w:rFonts w:ascii="Arial" w:cs="Arial" w:eastAsia="Arial" w:hAnsi="Arial"/>
                <w:b/>
                <w:bCs/>
                <w:color w:val="1F6FEB"/>
                <w:sz w:val="20"/>
                <w:szCs w:val="20"/>
              </w:rPr>
              <w:t xml:space="preserve">📊 Testing Rule:  </w:t>
            </w:r>
            <w:r>
              <w:rPr>
                <w:rFonts w:ascii="Arial" w:cs="Arial" w:eastAsia="Arial" w:hAnsi="Arial"/>
                <w:color w:val="0D1117"/>
                <w:sz w:val="20"/>
                <w:szCs w:val="20"/>
              </w:rPr>
              <w:t xml:space="preserve">Never test more than one variable at a time. Multi-variable tests produce uninterpretable data at B2B cold email scale. Run clean, single-variable tests for at least 200 sends before declaring a winner.</w:t>
            </w:r>
          </w:p>
        </w:tc>
      </w:tr>
    </w:tbl>
    <w:p>
      <w:pPr>
        <w:spacing w:after="0" w:before="80"/>
      </w:pPr>
      <w:r>
        <w:rPr>
          <w:rFonts w:ascii="Arial" w:cs="Arial" w:eastAsia="Arial" w:hAnsi="Arial"/>
          <w:color w:val="0D1117"/>
          <w:sz w:val="22"/>
          <w:szCs w:val="22"/>
        </w:rPr>
        <w:t xml:space="preserve"/>
      </w:r>
    </w:p>
    <w:p>
      <w:r>
        <w:br w:type="page"/>
      </w:r>
    </w:p>
    <w:p>
      <w:pPr>
        <w:pStyle w:val="Heading1"/>
        <w:pBdr>
          <w:bottom w:val="single" w:color="1F6FEB" w:sz="8" w:space="1"/>
        </w:pBdr>
        <w:spacing w:after="200" w:before="400"/>
      </w:pPr>
      <w:r>
        <w:rPr>
          <w:rFonts w:ascii="Arial" w:cs="Arial" w:eastAsia="Arial" w:hAnsi="Arial"/>
          <w:b/>
          <w:bCs/>
          <w:color w:val="0D1117"/>
          <w:sz w:val="36"/>
          <w:szCs w:val="36"/>
        </w:rPr>
        <w:t xml:space="preserve">7. SignalIQ Google Workspace Integration Plan</w:t>
      </w:r>
    </w:p>
    <w:p>
      <w:pPr>
        <w:spacing w:after="80" w:before="80"/>
      </w:pPr>
      <w:r>
        <w:rPr>
          <w:rFonts w:ascii="Arial" w:cs="Arial" w:eastAsia="Arial" w:hAnsi="Arial"/>
          <w:color w:val="0D1117"/>
          <w:sz w:val="22"/>
          <w:szCs w:val="22"/>
        </w:rPr>
        <w:t xml:space="preserve">Based on the research above, here is the recommended build-out roadmap to maximize Google Workspace sending through SignalIQ:</w:t>
      </w:r>
    </w:p>
    <w:p>
      <w:pPr>
        <w:spacing w:after="0" w:before="80"/>
      </w:pPr>
      <w:r>
        <w:rPr>
          <w:rFonts w:ascii="Arial" w:cs="Arial" w:eastAsia="Arial" w:hAnsi="Arial"/>
          <w:color w:val="0D1117"/>
          <w:sz w:val="22"/>
          <w:szCs w:val="22"/>
        </w:rPr>
        <w:t xml:space="preserve"/>
      </w:r>
    </w:p>
    <w:p>
      <w:pPr>
        <w:pStyle w:val="Heading2"/>
        <w:spacing w:after="160" w:before="320"/>
      </w:pPr>
      <w:r>
        <w:rPr>
          <w:rFonts w:ascii="Arial" w:cs="Arial" w:eastAsia="Arial" w:hAnsi="Arial"/>
          <w:b/>
          <w:bCs/>
          <w:color w:val="1F6FEB"/>
          <w:sz w:val="28"/>
          <w:szCs w:val="28"/>
        </w:rPr>
        <w:t xml:space="preserve">Phase 1: Foundation (Week 1-2) — Already Partially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3160"/>
      </w:tblGrid>
      <w:tr>
        <w:trPr>
          <w:tblHeader/>
        </w:trPr>
        <w:tc>
          <w:tcPr>
            <w:tcW w:type="dxa" w:w="400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Task</w:t>
            </w:r>
          </w:p>
        </w:tc>
        <w:tc>
          <w:tcPr>
            <w:tcW w:type="dxa" w:w="220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Status</w:t>
            </w:r>
          </w:p>
        </w:tc>
        <w:tc>
          <w:tcPr>
            <w:tcW w:type="dxa" w:w="316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Impact</w:t>
            </w:r>
          </w:p>
        </w:tc>
      </w:tr>
      <w:tr>
        <w:tc>
          <w:tcPr>
            <w:tcW w:type="dxa" w:w="4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Google OAuth2 connected (Contacts, Gmail scopes)</w:t>
            </w:r>
          </w:p>
        </w:tc>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b/>
                <w:bCs/>
                <w:color w:val="1A7F37"/>
                <w:sz w:val="20"/>
                <w:szCs w:val="20"/>
              </w:rPr>
              <w:t xml:space="preserve">✅ Done</w:t>
            </w:r>
          </w:p>
        </w:tc>
        <w:tc>
          <w:tcPr>
            <w:tcW w:type="dxa" w:w="31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High</w:t>
            </w:r>
          </w:p>
        </w:tc>
      </w:tr>
      <w:tr>
        <w:tc>
          <w:tcPr>
            <w:tcW w:type="dxa" w:w="40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SPF/DKIM/DMARC configured on Google Workspace domain</w:t>
            </w:r>
          </w:p>
        </w:tc>
        <w:tc>
          <w:tcPr>
            <w:tcW w:type="dxa" w:w="22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B08A00"/>
                <w:sz w:val="20"/>
                <w:szCs w:val="20"/>
              </w:rPr>
              <w:t xml:space="preserve">⏳ Do now</w:t>
            </w:r>
          </w:p>
        </w:tc>
        <w:tc>
          <w:tcPr>
            <w:tcW w:type="dxa" w:w="316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Critical</w:t>
            </w:r>
          </w:p>
        </w:tc>
      </w:tr>
      <w:tr>
        <w:tc>
          <w:tcPr>
            <w:tcW w:type="dxa" w:w="4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Custom sending domain (not main domain)</w:t>
            </w:r>
          </w:p>
        </w:tc>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B08A00"/>
                <w:sz w:val="20"/>
                <w:szCs w:val="20"/>
              </w:rPr>
              <w:t xml:space="preserve">⏳ Do now</w:t>
            </w:r>
          </w:p>
        </w:tc>
        <w:tc>
          <w:tcPr>
            <w:tcW w:type="dxa" w:w="31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Critical</w:t>
            </w:r>
          </w:p>
        </w:tc>
      </w:tr>
      <w:tr>
        <w:tc>
          <w:tcPr>
            <w:tcW w:type="dxa" w:w="40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Contact import via Google People API</w:t>
            </w:r>
          </w:p>
        </w:tc>
        <w:tc>
          <w:tcPr>
            <w:tcW w:type="dxa" w:w="22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b/>
                <w:bCs/>
                <w:color w:val="1A7F37"/>
                <w:sz w:val="20"/>
                <w:szCs w:val="20"/>
              </w:rPr>
              <w:t xml:space="preserve">✅ Done</w:t>
            </w:r>
          </w:p>
        </w:tc>
        <w:tc>
          <w:tcPr>
            <w:tcW w:type="dxa" w:w="316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High</w:t>
            </w:r>
          </w:p>
        </w:tc>
      </w:tr>
      <w:tr>
        <w:tc>
          <w:tcPr>
            <w:tcW w:type="dxa" w:w="4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Warm-up tool activated on sending inboxes</w:t>
            </w:r>
          </w:p>
        </w:tc>
        <w:tc>
          <w:tcPr>
            <w:tcW w:type="dxa" w:w="2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CF2929"/>
                <w:sz w:val="20"/>
                <w:szCs w:val="20"/>
              </w:rPr>
              <w:t xml:space="preserve">🔴 Not started</w:t>
            </w:r>
          </w:p>
        </w:tc>
        <w:tc>
          <w:tcPr>
            <w:tcW w:type="dxa" w:w="31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Critical</w:t>
            </w:r>
          </w:p>
        </w:tc>
      </w:tr>
    </w:tbl>
    <w:p>
      <w:pPr>
        <w:spacing w:after="0" w:before="80"/>
      </w:pPr>
      <w:r>
        <w:rPr>
          <w:rFonts w:ascii="Arial" w:cs="Arial" w:eastAsia="Arial" w:hAnsi="Arial"/>
          <w:color w:val="0D1117"/>
          <w:sz w:val="22"/>
          <w:szCs w:val="22"/>
        </w:rPr>
        <w:t xml:space="preserve"/>
      </w:r>
    </w:p>
    <w:p>
      <w:pPr>
        <w:pStyle w:val="Heading2"/>
        <w:spacing w:after="160" w:before="320"/>
      </w:pPr>
      <w:r>
        <w:rPr>
          <w:rFonts w:ascii="Arial" w:cs="Arial" w:eastAsia="Arial" w:hAnsi="Arial"/>
          <w:b/>
          <w:bCs/>
          <w:color w:val="1F6FEB"/>
          <w:sz w:val="28"/>
          <w:szCs w:val="28"/>
        </w:rPr>
        <w:t xml:space="preserve">Phase 2: Capability Expansion (Week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560"/>
      </w:tblGrid>
      <w:tr>
        <w:trPr>
          <w:tblHeader/>
        </w:trPr>
        <w:tc>
          <w:tcPr>
            <w:tcW w:type="dxa" w:w="400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Task</w:t>
            </w:r>
          </w:p>
        </w:tc>
        <w:tc>
          <w:tcPr>
            <w:tcW w:type="dxa" w:w="180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Priority</w:t>
            </w:r>
          </w:p>
        </w:tc>
        <w:tc>
          <w:tcPr>
            <w:tcW w:type="dxa" w:w="356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Complexity</w:t>
            </w:r>
          </w:p>
        </w:tc>
      </w:tr>
      <w:tr>
        <w:tc>
          <w:tcPr>
            <w:tcW w:type="dxa" w:w="4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Gmail API send endpoint in SignalIQ (route campaigns through Gmail)</w:t>
            </w:r>
          </w:p>
        </w:tc>
        <w:tc>
          <w:tcPr>
            <w:tcW w:type="dxa" w:w="1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High</w:t>
            </w:r>
          </w:p>
        </w:tc>
        <w:tc>
          <w:tcPr>
            <w:tcW w:type="dxa" w:w="35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Medium</w:t>
            </w:r>
          </w:p>
        </w:tc>
      </w:tr>
      <w:tr>
        <w:tc>
          <w:tcPr>
            <w:tcW w:type="dxa" w:w="40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Multi-inbox rotation logic (round-robin across connected inboxes)</w:t>
            </w:r>
          </w:p>
        </w:tc>
        <w:tc>
          <w:tcPr>
            <w:tcW w:type="dxa" w:w="18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High</w:t>
            </w:r>
          </w:p>
        </w:tc>
        <w:tc>
          <w:tcPr>
            <w:tcW w:type="dxa" w:w="356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Medium</w:t>
            </w:r>
          </w:p>
        </w:tc>
      </w:tr>
      <w:tr>
        <w:tc>
          <w:tcPr>
            <w:tcW w:type="dxa" w:w="4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Gmail tracking: open/click events via Gmail API read receipts</w:t>
            </w:r>
          </w:p>
        </w:tc>
        <w:tc>
          <w:tcPr>
            <w:tcW w:type="dxa" w:w="1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Medium</w:t>
            </w:r>
          </w:p>
        </w:tc>
        <w:tc>
          <w:tcPr>
            <w:tcW w:type="dxa" w:w="35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High</w:t>
            </w:r>
          </w:p>
        </w:tc>
      </w:tr>
      <w:tr>
        <w:tc>
          <w:tcPr>
            <w:tcW w:type="dxa" w:w="40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Google Contacts auto-sync (nightly cron job)</w:t>
            </w:r>
          </w:p>
        </w:tc>
        <w:tc>
          <w:tcPr>
            <w:tcW w:type="dxa" w:w="18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Medium</w:t>
            </w:r>
          </w:p>
        </w:tc>
        <w:tc>
          <w:tcPr>
            <w:tcW w:type="dxa" w:w="356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Low</w:t>
            </w:r>
          </w:p>
        </w:tc>
      </w:tr>
      <w:tr>
        <w:tc>
          <w:tcPr>
            <w:tcW w:type="dxa" w:w="4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Bounce and complaint auto-suppression via Gmail webhook</w:t>
            </w:r>
          </w:p>
        </w:tc>
        <w:tc>
          <w:tcPr>
            <w:tcW w:type="dxa" w:w="18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High</w:t>
            </w:r>
          </w:p>
        </w:tc>
        <w:tc>
          <w:tcPr>
            <w:tcW w:type="dxa" w:w="35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High</w:t>
            </w:r>
          </w:p>
        </w:tc>
      </w:tr>
    </w:tbl>
    <w:p>
      <w:pPr>
        <w:spacing w:after="0" w:before="80"/>
      </w:pPr>
      <w:r>
        <w:rPr>
          <w:rFonts w:ascii="Arial" w:cs="Arial" w:eastAsia="Arial" w:hAnsi="Arial"/>
          <w:color w:val="0D1117"/>
          <w:sz w:val="22"/>
          <w:szCs w:val="22"/>
        </w:rPr>
        <w:t xml:space="preserve"/>
      </w:r>
    </w:p>
    <w:p>
      <w:pPr>
        <w:pStyle w:val="Heading2"/>
        <w:spacing w:after="160" w:before="320"/>
      </w:pPr>
      <w:r>
        <w:rPr>
          <w:rFonts w:ascii="Arial" w:cs="Arial" w:eastAsia="Arial" w:hAnsi="Arial"/>
          <w:b/>
          <w:bCs/>
          <w:color w:val="1F6FEB"/>
          <w:sz w:val="28"/>
          <w:szCs w:val="28"/>
        </w:rPr>
        <w:t xml:space="preserve">Phase 3: Scale (Month 2+)</w:t>
      </w:r>
    </w:p>
    <w:p>
      <w:pPr>
        <w:pStyle w:val="ListParagraph"/>
        <w:numPr>
          <w:ilvl w:val="0"/>
          <w:numId w:val="3"/>
        </w:numPr>
        <w:spacing w:after="60" w:before="60"/>
      </w:pPr>
      <w:r>
        <w:rPr>
          <w:rFonts w:ascii="Arial" w:cs="Arial" w:eastAsia="Arial" w:hAnsi="Arial"/>
          <w:color w:val="0D1117"/>
          <w:sz w:val="22"/>
          <w:szCs w:val="22"/>
        </w:rPr>
        <w:t xml:space="preserve">Add 3-5 additional Google Workspace sending inboxes on separate domains</w:t>
      </w:r>
    </w:p>
    <w:p>
      <w:pPr>
        <w:pStyle w:val="ListParagraph"/>
        <w:numPr>
          <w:ilvl w:val="0"/>
          <w:numId w:val="3"/>
        </w:numPr>
        <w:spacing w:after="60" w:before="60"/>
      </w:pPr>
      <w:r>
        <w:rPr>
          <w:rFonts w:ascii="Arial" w:cs="Arial" w:eastAsia="Arial" w:hAnsi="Arial"/>
          <w:color w:val="0D1117"/>
          <w:sz w:val="22"/>
          <w:szCs w:val="22"/>
        </w:rPr>
        <w:t xml:space="preserve">Implement sending schedule aligned to Tuesday/Wednesday 9-11am in recipient timezone</w:t>
      </w:r>
    </w:p>
    <w:p>
      <w:pPr>
        <w:pStyle w:val="ListParagraph"/>
        <w:numPr>
          <w:ilvl w:val="0"/>
          <w:numId w:val="3"/>
        </w:numPr>
        <w:spacing w:after="60" w:before="60"/>
      </w:pPr>
      <w:r>
        <w:rPr>
          <w:rFonts w:ascii="Arial" w:cs="Arial" w:eastAsia="Arial" w:hAnsi="Arial"/>
          <w:color w:val="0D1117"/>
          <w:sz w:val="22"/>
          <w:szCs w:val="22"/>
        </w:rPr>
        <w:t xml:space="preserve">Build automated warm-up status dashboard in SignalIQ Agent Control</w:t>
      </w:r>
    </w:p>
    <w:p>
      <w:pPr>
        <w:pStyle w:val="ListParagraph"/>
        <w:numPr>
          <w:ilvl w:val="0"/>
          <w:numId w:val="3"/>
        </w:numPr>
        <w:spacing w:after="60" w:before="60"/>
      </w:pPr>
      <w:r>
        <w:rPr>
          <w:rFonts w:ascii="Arial" w:cs="Arial" w:eastAsia="Arial" w:hAnsi="Arial"/>
          <w:color w:val="0D1117"/>
          <w:sz w:val="22"/>
          <w:szCs w:val="22"/>
        </w:rPr>
        <w:t xml:space="preserve">Integrate email verification API (ZeroBounce or NeverBounce) before list uploads</w:t>
      </w:r>
    </w:p>
    <w:p>
      <w:pPr>
        <w:pStyle w:val="ListParagraph"/>
        <w:numPr>
          <w:ilvl w:val="0"/>
          <w:numId w:val="3"/>
        </w:numPr>
        <w:spacing w:after="60" w:before="60"/>
      </w:pPr>
      <w:r>
        <w:rPr>
          <w:rFonts w:ascii="Arial" w:cs="Arial" w:eastAsia="Arial" w:hAnsi="Arial"/>
          <w:color w:val="0D1117"/>
          <w:sz w:val="22"/>
          <w:szCs w:val="22"/>
        </w:rPr>
        <w:t xml:space="preserve">Enable Gmail API bulk sender mode for campaigns &gt;5,000 sends</w:t>
      </w:r>
    </w:p>
    <w:p>
      <w:pPr>
        <w:spacing w:after="0" w:before="80"/>
      </w:pPr>
      <w:r>
        <w:rPr>
          <w:rFonts w:ascii="Arial" w:cs="Arial" w:eastAsia="Arial" w:hAnsi="Arial"/>
          <w:color w:val="0D1117"/>
          <w:sz w:val="22"/>
          <w:szCs w:val="22"/>
        </w:rPr>
        <w:t xml:space="preserve"/>
      </w:r>
    </w:p>
    <w:p>
      <w:pPr>
        <w:pStyle w:val="Heading2"/>
        <w:spacing w:after="160" w:before="320"/>
      </w:pPr>
      <w:r>
        <w:rPr>
          <w:rFonts w:ascii="Arial" w:cs="Arial" w:eastAsia="Arial" w:hAnsi="Arial"/>
          <w:b/>
          <w:bCs/>
          <w:color w:val="1F6FEB"/>
          <w:sz w:val="28"/>
          <w:szCs w:val="28"/>
        </w:rPr>
        <w:t xml:space="preserve">7.1 Recommended Send Architecture at Scale</w:t>
      </w:r>
    </w:p>
    <w:p>
      <w:pPr>
        <w:spacing w:after="0" w:before="40"/>
      </w:pPr>
      <w:r>
        <w:rPr>
          <w:rFonts w:ascii="Arial" w:cs="Arial" w:eastAsia="Arial" w:hAnsi="Arial"/>
          <w:color w:val="0D111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Volume Target</w:t>
            </w:r>
          </w:p>
        </w:tc>
        <w:tc>
          <w:tcPr>
            <w:tcW w:type="dxa" w:w="400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Architecture</w:t>
            </w:r>
          </w:p>
        </w:tc>
        <w:tc>
          <w:tcPr>
            <w:tcW w:type="dxa" w:w="296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Estimated Cost</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&lt;500 sends/day</w:t>
            </w:r>
          </w:p>
        </w:tc>
        <w:tc>
          <w:tcPr>
            <w:tcW w:type="dxa" w:w="4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Resend free + 1 GWS inbox warmed</w:t>
            </w:r>
          </w:p>
        </w:tc>
        <w:tc>
          <w:tcPr>
            <w:tcW w:type="dxa" w:w="2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$6-18/mo</w:t>
            </w:r>
          </w:p>
        </w:tc>
      </w:tr>
      <w:tr>
        <w:tc>
          <w:tcPr>
            <w:tcW w:type="dxa" w:w="24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500-1,500/day</w:t>
            </w:r>
          </w:p>
        </w:tc>
        <w:tc>
          <w:tcPr>
            <w:tcW w:type="dxa" w:w="40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Resend Pro + 3 GWS inboxes</w:t>
            </w:r>
          </w:p>
        </w:tc>
        <w:tc>
          <w:tcPr>
            <w:tcW w:type="dxa" w:w="296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$60-100/mo</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1,500-5,000/day</w:t>
            </w:r>
          </w:p>
        </w:tc>
        <w:tc>
          <w:tcPr>
            <w:tcW w:type="dxa" w:w="4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Resend Pro + 10 GWS inboxes across 3 domains</w:t>
            </w:r>
          </w:p>
        </w:tc>
        <w:tc>
          <w:tcPr>
            <w:tcW w:type="dxa" w:w="2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$220-350/mo</w:t>
            </w:r>
          </w:p>
        </w:tc>
      </w:tr>
      <w:tr>
        <w:tc>
          <w:tcPr>
            <w:tcW w:type="dxa" w:w="24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5,000-20,000/day</w:t>
            </w:r>
          </w:p>
        </w:tc>
        <w:tc>
          <w:tcPr>
            <w:tcW w:type="dxa" w:w="40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Resend Business + 30+ GWS inboxes + dedicated IP</w:t>
            </w:r>
          </w:p>
        </w:tc>
        <w:tc>
          <w:tcPr>
            <w:tcW w:type="dxa" w:w="296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$800-1,500/mo</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20,000+/day</w:t>
            </w:r>
          </w:p>
        </w:tc>
        <w:tc>
          <w:tcPr>
            <w:tcW w:type="dxa" w:w="40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Gmail API (1M/day cap) + dedicated sending infrastructure</w:t>
            </w:r>
          </w:p>
        </w:tc>
        <w:tc>
          <w:tcPr>
            <w:tcW w:type="dxa" w:w="2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$2,000+/mo</w:t>
            </w:r>
          </w:p>
        </w:tc>
      </w:tr>
    </w:tbl>
    <w:p>
      <w:pPr>
        <w:spacing w:after="0" w:before="80"/>
      </w:pPr>
      <w:r>
        <w:rPr>
          <w:rFonts w:ascii="Arial" w:cs="Arial" w:eastAsia="Arial" w:hAnsi="Arial"/>
          <w:color w:val="0D1117"/>
          <w:sz w:val="22"/>
          <w:szCs w:val="22"/>
        </w:rPr>
        <w:t xml:space="preserve"/>
      </w:r>
    </w:p>
    <w:p>
      <w:r>
        <w:br w:type="page"/>
      </w:r>
    </w:p>
    <w:p>
      <w:pPr>
        <w:pStyle w:val="Heading1"/>
        <w:pBdr>
          <w:bottom w:val="single" w:color="1F6FEB" w:sz="8" w:space="1"/>
        </w:pBdr>
        <w:spacing w:after="200" w:before="400"/>
      </w:pPr>
      <w:r>
        <w:rPr>
          <w:rFonts w:ascii="Arial" w:cs="Arial" w:eastAsia="Arial" w:hAnsi="Arial"/>
          <w:b/>
          <w:bCs/>
          <w:color w:val="0D1117"/>
          <w:sz w:val="36"/>
          <w:szCs w:val="36"/>
        </w:rPr>
        <w:t xml:space="preserve">8. Immediate Action Items</w:t>
      </w:r>
    </w:p>
    <w:p>
      <w:pPr>
        <w:spacing w:after="80" w:before="80"/>
      </w:pPr>
      <w:r>
        <w:rPr>
          <w:rFonts w:ascii="Arial" w:cs="Arial" w:eastAsia="Arial" w:hAnsi="Arial"/>
          <w:color w:val="0D1117"/>
          <w:sz w:val="22"/>
          <w:szCs w:val="22"/>
        </w:rPr>
        <w:t xml:space="preserve">Ranked by impact-to-effort ratio — do these in order:</w:t>
      </w:r>
    </w:p>
    <w:p>
      <w:pPr>
        <w:spacing w:after="0" w:before="80"/>
      </w:pPr>
      <w:r>
        <w:rPr>
          <w:rFonts w:ascii="Arial" w:cs="Arial" w:eastAsia="Arial" w:hAnsi="Arial"/>
          <w:color w:val="0D1117"/>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1200"/>
        <w:gridCol w:w="1200"/>
        <w:gridCol w:w="1960"/>
      </w:tblGrid>
      <w:tr>
        <w:trPr>
          <w:tblHeader/>
        </w:trPr>
        <w:tc>
          <w:tcPr>
            <w:tcW w:type="dxa" w:w="60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t>
            </w:r>
          </w:p>
        </w:tc>
        <w:tc>
          <w:tcPr>
            <w:tcW w:type="dxa" w:w="340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Action</w:t>
            </w:r>
          </w:p>
        </w:tc>
        <w:tc>
          <w:tcPr>
            <w:tcW w:type="dxa" w:w="120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Time</w:t>
            </w:r>
          </w:p>
        </w:tc>
        <w:tc>
          <w:tcPr>
            <w:tcW w:type="dxa" w:w="120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Impact</w:t>
            </w:r>
          </w:p>
        </w:tc>
        <w:tc>
          <w:tcPr>
            <w:tcW w:type="dxa" w:w="196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Cost</w:t>
            </w:r>
          </w:p>
        </w:tc>
      </w:tr>
      <w:tr>
        <w:tc>
          <w:tcPr>
            <w:tcW w:type="dxa" w:w="6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1</w:t>
            </w:r>
          </w:p>
        </w:tc>
        <w:tc>
          <w:tcPr>
            <w:tcW w:type="dxa" w:w="3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Set up SPF, DKIM, DMARC on your Google Workspace domain</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30 min</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Critical</w:t>
            </w:r>
          </w:p>
        </w:tc>
        <w:tc>
          <w:tcPr>
            <w:tcW w:type="dxa" w:w="1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Free</w:t>
            </w:r>
          </w:p>
        </w:tc>
      </w:tr>
      <w:tr>
        <w:tc>
          <w:tcPr>
            <w:tcW w:type="dxa" w:w="6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2</w:t>
            </w:r>
          </w:p>
        </w:tc>
        <w:tc>
          <w:tcPr>
            <w:tcW w:type="dxa" w:w="34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Register 2 sending domains (not your main domain)</w:t>
            </w:r>
          </w:p>
        </w:tc>
        <w:tc>
          <w:tcPr>
            <w:tcW w:type="dxa" w:w="12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15 min</w:t>
            </w:r>
          </w:p>
        </w:tc>
        <w:tc>
          <w:tcPr>
            <w:tcW w:type="dxa" w:w="12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Critical</w:t>
            </w:r>
          </w:p>
        </w:tc>
        <w:tc>
          <w:tcPr>
            <w:tcW w:type="dxa" w:w="196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$24/yr each</w:t>
            </w:r>
          </w:p>
        </w:tc>
      </w:tr>
      <w:tr>
        <w:tc>
          <w:tcPr>
            <w:tcW w:type="dxa" w:w="6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3</w:t>
            </w:r>
          </w:p>
        </w:tc>
        <w:tc>
          <w:tcPr>
            <w:tcW w:type="dxa" w:w="3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Start warm-up on all sending inboxes (Instantly or MailReach)</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30 min</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High</w:t>
            </w:r>
          </w:p>
        </w:tc>
        <w:tc>
          <w:tcPr>
            <w:tcW w:type="dxa" w:w="1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$30-97/mo</w:t>
            </w:r>
          </w:p>
        </w:tc>
      </w:tr>
      <w:tr>
        <w:tc>
          <w:tcPr>
            <w:tcW w:type="dxa" w:w="6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4</w:t>
            </w:r>
          </w:p>
        </w:tc>
        <w:tc>
          <w:tcPr>
            <w:tcW w:type="dxa" w:w="34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Upgrade SignalIQ to Pro/Team plan for higher send caps</w:t>
            </w:r>
          </w:p>
        </w:tc>
        <w:tc>
          <w:tcPr>
            <w:tcW w:type="dxa" w:w="12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5 min</w:t>
            </w:r>
          </w:p>
        </w:tc>
        <w:tc>
          <w:tcPr>
            <w:tcW w:type="dxa" w:w="12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High</w:t>
            </w:r>
          </w:p>
        </w:tc>
        <w:tc>
          <w:tcPr>
            <w:tcW w:type="dxa" w:w="196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$20-49/mo</w:t>
            </w:r>
          </w:p>
        </w:tc>
      </w:tr>
      <w:tr>
        <w:tc>
          <w:tcPr>
            <w:tcW w:type="dxa" w:w="6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5</w:t>
            </w:r>
          </w:p>
        </w:tc>
        <w:tc>
          <w:tcPr>
            <w:tcW w:type="dxa" w:w="3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Add physical address to all email templates</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10 min</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Medium</w:t>
            </w:r>
          </w:p>
        </w:tc>
        <w:tc>
          <w:tcPr>
            <w:tcW w:type="dxa" w:w="1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Free</w:t>
            </w:r>
          </w:p>
        </w:tc>
      </w:tr>
      <w:tr>
        <w:tc>
          <w:tcPr>
            <w:tcW w:type="dxa" w:w="6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6</w:t>
            </w:r>
          </w:p>
        </w:tc>
        <w:tc>
          <w:tcPr>
            <w:tcW w:type="dxa" w:w="34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Verify contact list with ZeroBounce or NeverBounce</w:t>
            </w:r>
          </w:p>
        </w:tc>
        <w:tc>
          <w:tcPr>
            <w:tcW w:type="dxa" w:w="12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1 hour</w:t>
            </w:r>
          </w:p>
        </w:tc>
        <w:tc>
          <w:tcPr>
            <w:tcW w:type="dxa" w:w="12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High</w:t>
            </w:r>
          </w:p>
        </w:tc>
        <w:tc>
          <w:tcPr>
            <w:tcW w:type="dxa" w:w="196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$0.003/email</w:t>
            </w:r>
          </w:p>
        </w:tc>
      </w:tr>
      <w:tr>
        <w:tc>
          <w:tcPr>
            <w:tcW w:type="dxa" w:w="6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7</w:t>
            </w:r>
          </w:p>
        </w:tc>
        <w:tc>
          <w:tcPr>
            <w:tcW w:type="dxa" w:w="3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Set up custom tracking domain in Resend</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20 min</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Medium</w:t>
            </w:r>
          </w:p>
        </w:tc>
        <w:tc>
          <w:tcPr>
            <w:tcW w:type="dxa" w:w="1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Free</w:t>
            </w:r>
          </w:p>
        </w:tc>
      </w:tr>
      <w:tr>
        <w:tc>
          <w:tcPr>
            <w:tcW w:type="dxa" w:w="6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8</w:t>
            </w:r>
          </w:p>
        </w:tc>
        <w:tc>
          <w:tcPr>
            <w:tcW w:type="dxa" w:w="34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Build Gmail API send endpoint in SignalIQ backend</w:t>
            </w:r>
          </w:p>
        </w:tc>
        <w:tc>
          <w:tcPr>
            <w:tcW w:type="dxa" w:w="12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2-4 hrs</w:t>
            </w:r>
          </w:p>
        </w:tc>
        <w:tc>
          <w:tcPr>
            <w:tcW w:type="dxa" w:w="12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High</w:t>
            </w:r>
          </w:p>
        </w:tc>
        <w:tc>
          <w:tcPr>
            <w:tcW w:type="dxa" w:w="196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Dev time only</w:t>
            </w:r>
          </w:p>
        </w:tc>
      </w:tr>
      <w:tr>
        <w:tc>
          <w:tcPr>
            <w:tcW w:type="dxa" w:w="6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9</w:t>
            </w:r>
          </w:p>
        </w:tc>
        <w:tc>
          <w:tcPr>
            <w:tcW w:type="dxa" w:w="3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Add multi-inbox rotation to campaign launch logic</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3-5 hrs</w:t>
            </w:r>
          </w:p>
        </w:tc>
        <w:tc>
          <w:tcPr>
            <w:tcW w:type="dxa" w:w="12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High</w:t>
            </w:r>
          </w:p>
        </w:tc>
        <w:tc>
          <w:tcPr>
            <w:tcW w:type="dxa" w:w="19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Dev time only</w:t>
            </w:r>
          </w:p>
        </w:tc>
      </w:tr>
      <w:tr>
        <w:tc>
          <w:tcPr>
            <w:tcW w:type="dxa" w:w="6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10</w:t>
            </w:r>
          </w:p>
        </w:tc>
        <w:tc>
          <w:tcPr>
            <w:tcW w:type="dxa" w:w="34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Configure sending schedule for Tue/Wed 9-11am windows</w:t>
            </w:r>
          </w:p>
        </w:tc>
        <w:tc>
          <w:tcPr>
            <w:tcW w:type="dxa" w:w="12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1 hr</w:t>
            </w:r>
          </w:p>
        </w:tc>
        <w:tc>
          <w:tcPr>
            <w:tcW w:type="dxa" w:w="12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Medium</w:t>
            </w:r>
          </w:p>
        </w:tc>
        <w:tc>
          <w:tcPr>
            <w:tcW w:type="dxa" w:w="196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Free</w:t>
            </w:r>
          </w:p>
        </w:tc>
      </w:tr>
    </w:tbl>
    <w:p>
      <w:pPr>
        <w:spacing w:after="0" w:before="80"/>
      </w:pPr>
      <w:r>
        <w:rPr>
          <w:rFonts w:ascii="Arial" w:cs="Arial" w:eastAsia="Arial" w:hAnsi="Arial"/>
          <w:color w:val="0D111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6F4EA" w:val="clear"/>
            <w:tcMar>
              <w:top w:type="dxa" w:w="160"/>
              <w:left w:type="dxa" w:w="200"/>
              <w:bottom w:type="dxa" w:w="160"/>
              <w:right w:type="dxa" w:w="200"/>
            </w:tcMar>
          </w:tcPr>
          <w:p>
            <w:pPr>
              <w:spacing w:after="0" w:before="0"/>
            </w:pPr>
            <w:r>
              <w:rPr>
                <w:rFonts w:ascii="Arial" w:cs="Arial" w:eastAsia="Arial" w:hAnsi="Arial"/>
                <w:b/>
                <w:bCs/>
                <w:color w:val="1A7F37"/>
                <w:sz w:val="20"/>
                <w:szCs w:val="20"/>
              </w:rPr>
              <w:t xml:space="preserve">🎯 Top Priority:  </w:t>
            </w:r>
            <w:r>
              <w:rPr>
                <w:rFonts w:ascii="Arial" w:cs="Arial" w:eastAsia="Arial" w:hAnsi="Arial"/>
                <w:color w:val="0D1117"/>
                <w:sz w:val="20"/>
                <w:szCs w:val="20"/>
              </w:rPr>
              <w:t xml:space="preserve">The single highest-ROI action you can take today: configure SPF, DKIM, and DMARC. It takes 30 minutes, costs nothing, and will immediately improve inbox placement for every email you already send.</w:t>
            </w:r>
          </w:p>
        </w:tc>
      </w:tr>
    </w:tbl>
    <w:p>
      <w:pPr>
        <w:spacing w:after="0" w:before="80"/>
      </w:pPr>
      <w:r>
        <w:rPr>
          <w:rFonts w:ascii="Arial" w:cs="Arial" w:eastAsia="Arial" w:hAnsi="Arial"/>
          <w:color w:val="0D1117"/>
          <w:sz w:val="22"/>
          <w:szCs w:val="22"/>
        </w:rPr>
        <w:t xml:space="preserve"/>
      </w:r>
    </w:p>
    <w:p>
      <w:pPr>
        <w:pStyle w:val="Heading2"/>
        <w:spacing w:after="160" w:before="320"/>
      </w:pPr>
      <w:r>
        <w:rPr>
          <w:rFonts w:ascii="Arial" w:cs="Arial" w:eastAsia="Arial" w:hAnsi="Arial"/>
          <w:b/>
          <w:bCs/>
          <w:color w:val="1F6FEB"/>
          <w:sz w:val="28"/>
          <w:szCs w:val="28"/>
        </w:rPr>
        <w:t xml:space="preserve">Benchmark Targets for SignalIQ Campaigns</w:t>
      </w:r>
    </w:p>
    <w:p>
      <w:pPr>
        <w:spacing w:after="80" w:before="80"/>
      </w:pPr>
      <w:r>
        <w:rPr>
          <w:rFonts w:ascii="Arial" w:cs="Arial" w:eastAsia="Arial" w:hAnsi="Arial"/>
          <w:color w:val="0D1117"/>
          <w:sz w:val="22"/>
          <w:szCs w:val="22"/>
        </w:rPr>
        <w:t xml:space="preserve">After full implementation, these are the realistic performance targets based on 2026 industry data:</w:t>
      </w:r>
    </w:p>
    <w:p>
      <w:pPr>
        <w:spacing w:after="0" w:before="80"/>
      </w:pPr>
      <w:r>
        <w:rPr>
          <w:rFonts w:ascii="Arial" w:cs="Arial" w:eastAsia="Arial" w:hAnsi="Arial"/>
          <w:color w:val="0D111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Metric</w:t>
            </w:r>
          </w:p>
        </w:tc>
        <w:tc>
          <w:tcPr>
            <w:tcW w:type="dxa" w:w="240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Current (estimated)</w:t>
            </w:r>
          </w:p>
        </w:tc>
        <w:tc>
          <w:tcPr>
            <w:tcW w:type="dxa" w:w="240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30-Day Target</w:t>
            </w:r>
          </w:p>
        </w:tc>
        <w:tc>
          <w:tcPr>
            <w:tcW w:type="dxa" w:w="2160"/>
            <w:tcBorders>
              <w:top w:val="single" w:color="D0D7DE" w:sz="1"/>
              <w:left w:val="single" w:color="D0D7DE" w:sz="1"/>
              <w:bottom w:val="single" w:color="D0D7DE" w:sz="1"/>
              <w:right w:val="single" w:color="D0D7DE" w:sz="1"/>
            </w:tcBorders>
            <w:shd w:fill="0D1117"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90-Day Target</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Open Rate</w:t>
            </w:r>
          </w:p>
        </w:tc>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15-20% (no auth)</w:t>
            </w:r>
          </w:p>
        </w:tc>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35-40%</w:t>
            </w:r>
          </w:p>
        </w:tc>
        <w:tc>
          <w:tcPr>
            <w:tcW w:type="dxa" w:w="21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45-55%</w:t>
            </w:r>
          </w:p>
        </w:tc>
      </w:tr>
      <w:tr>
        <w:tc>
          <w:tcPr>
            <w:tcW w:type="dxa" w:w="24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Reply Rate</w:t>
            </w:r>
          </w:p>
        </w:tc>
        <w:tc>
          <w:tcPr>
            <w:tcW w:type="dxa" w:w="24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1-2%</w:t>
            </w:r>
          </w:p>
        </w:tc>
        <w:tc>
          <w:tcPr>
            <w:tcW w:type="dxa" w:w="24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4-6%</w:t>
            </w:r>
          </w:p>
        </w:tc>
        <w:tc>
          <w:tcPr>
            <w:tcW w:type="dxa" w:w="216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6-10%</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Bounce Rate</w:t>
            </w:r>
          </w:p>
        </w:tc>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Unknown</w:t>
            </w:r>
          </w:p>
        </w:tc>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&lt;2%</w:t>
            </w:r>
          </w:p>
        </w:tc>
        <w:tc>
          <w:tcPr>
            <w:tcW w:type="dxa" w:w="21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&lt;1%</w:t>
            </w:r>
          </w:p>
        </w:tc>
      </w:tr>
      <w:tr>
        <w:tc>
          <w:tcPr>
            <w:tcW w:type="dxa" w:w="24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Spam Complaint Rate</w:t>
            </w:r>
          </w:p>
        </w:tc>
        <w:tc>
          <w:tcPr>
            <w:tcW w:type="dxa" w:w="24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Unknown</w:t>
            </w:r>
          </w:p>
        </w:tc>
        <w:tc>
          <w:tcPr>
            <w:tcW w:type="dxa" w:w="24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&lt;0.1%</w:t>
            </w:r>
          </w:p>
        </w:tc>
        <w:tc>
          <w:tcPr>
            <w:tcW w:type="dxa" w:w="216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&lt;0.05%</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Daily Send Volume</w:t>
            </w:r>
          </w:p>
        </w:tc>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~3 (free plan)</w:t>
            </w:r>
          </w:p>
        </w:tc>
        <w:tc>
          <w:tcPr>
            <w:tcW w:type="dxa" w:w="240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500-1,000</w:t>
            </w:r>
          </w:p>
        </w:tc>
        <w:tc>
          <w:tcPr>
            <w:tcW w:type="dxa" w:w="2160"/>
            <w:tcBorders>
              <w:top w:val="single" w:color="D0D7DE" w:sz="1"/>
              <w:left w:val="single" w:color="D0D7DE" w:sz="1"/>
              <w:bottom w:val="single" w:color="D0D7DE" w:sz="1"/>
              <w:right w:val="single" w:color="D0D7DE" w:sz="1"/>
            </w:tcBorders>
            <w:shd w:fill="FFFFFF"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5,000-20,000</w:t>
            </w:r>
          </w:p>
        </w:tc>
      </w:tr>
      <w:tr>
        <w:tc>
          <w:tcPr>
            <w:tcW w:type="dxa" w:w="24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Inboxes in rotation</w:t>
            </w:r>
          </w:p>
        </w:tc>
        <w:tc>
          <w:tcPr>
            <w:tcW w:type="dxa" w:w="24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1 (Resend only)</w:t>
            </w:r>
          </w:p>
        </w:tc>
        <w:tc>
          <w:tcPr>
            <w:tcW w:type="dxa" w:w="240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3-5</w:t>
            </w:r>
          </w:p>
        </w:tc>
        <w:tc>
          <w:tcPr>
            <w:tcW w:type="dxa" w:w="2160"/>
            <w:tcBorders>
              <w:top w:val="single" w:color="D0D7DE" w:sz="1"/>
              <w:left w:val="single" w:color="D0D7DE" w:sz="1"/>
              <w:bottom w:val="single" w:color="D0D7DE" w:sz="1"/>
              <w:right w:val="single" w:color="D0D7DE" w:sz="1"/>
            </w:tcBorders>
            <w:shd w:fill="F4F6FA" w:val="clear"/>
            <w:tcMar>
              <w:top w:type="dxa" w:w="80"/>
              <w:left w:type="dxa" w:w="140"/>
              <w:bottom w:type="dxa" w:w="80"/>
              <w:right w:type="dxa" w:w="140"/>
            </w:tcMar>
          </w:tcPr>
          <w:p>
            <w:pPr>
              <w:spacing w:after="0" w:before="0"/>
            </w:pPr>
            <w:r>
              <w:rPr>
                <w:rFonts w:ascii="Arial" w:cs="Arial" w:eastAsia="Arial" w:hAnsi="Arial"/>
                <w:color w:val="0D1117"/>
                <w:sz w:val="20"/>
                <w:szCs w:val="20"/>
              </w:rPr>
              <w:t xml:space="preserve">10-30</w:t>
            </w:r>
          </w:p>
        </w:tc>
      </w:tr>
    </w:tbl>
    <w:p>
      <w:pPr>
        <w:spacing w:after="0" w:before="160"/>
      </w:pPr>
      <w:r>
        <w:rPr>
          <w:rFonts w:ascii="Arial" w:cs="Arial" w:eastAsia="Arial" w:hAnsi="Arial"/>
          <w:color w:val="0D1117"/>
          <w:sz w:val="22"/>
          <w:szCs w:val="22"/>
        </w:rPr>
        <w:t xml:space="preserve"/>
      </w:r>
    </w:p>
    <w:p>
      <w:pPr>
        <w:jc w:val="center"/>
      </w:pPr>
      <w:r>
        <w:rPr>
          <w:rFonts w:ascii="Arial" w:cs="Arial" w:eastAsia="Arial" w:hAnsi="Arial"/>
          <w:i/>
          <w:iCs/>
          <w:color w:val="6E7681"/>
          <w:sz w:val="20"/>
          <w:szCs w:val="20"/>
        </w:rPr>
        <w:t xml:space="preserve">— End of Playbook —</w:t>
      </w:r>
    </w:p>
    <w:p>
      <w:pPr>
        <w:spacing w:before="80"/>
        <w:jc w:val="center"/>
      </w:pPr>
      <w:r>
        <w:rPr>
          <w:rFonts w:ascii="Arial" w:cs="Arial" w:eastAsia="Arial" w:hAnsi="Arial"/>
          <w:color w:val="6E7681"/>
          <w:sz w:val="18"/>
          <w:szCs w:val="18"/>
        </w:rPr>
        <w:t xml:space="preserve">SignalIQ Grid System • Confidential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4" w:space="1"/>
      </w:pBdr>
      <w:jc w:val="center"/>
    </w:pPr>
    <w:r>
      <w:rPr>
        <w:rFonts w:ascii="Arial" w:cs="Arial" w:eastAsia="Arial" w:hAnsi="Arial"/>
        <w:color w:val="6E7681"/>
        <w:sz w:val="16"/>
        <w:szCs w:val="16"/>
      </w:rPr>
      <w:t xml:space="preserve">Confidential • SignalIQ Grid System • Page </w:t>
    </w:r>
    <w:r>
      <w:rPr>
        <w:rFonts w:ascii="Arial" w:cs="Arial" w:eastAsia="Arial" w:hAnsi="Arial"/>
        <w:color w:val="6E768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EB" w:sz="4" w:space="1"/>
      </w:pBdr>
      <w:jc w:val="right"/>
    </w:pPr>
    <w:r>
      <w:rPr>
        <w:rFonts w:ascii="Arial" w:cs="Arial" w:eastAsia="Arial" w:hAnsi="Arial"/>
        <w:b/>
        <w:bCs/>
        <w:color w:val="1F6FEB"/>
        <w:sz w:val="18"/>
        <w:szCs w:val="18"/>
      </w:rPr>
      <w:t xml:space="preserve">SignalIQ </w:t>
    </w:r>
    <w:r>
      <w:rPr>
        <w:rFonts w:ascii="Arial" w:cs="Arial" w:eastAsia="Arial" w:hAnsi="Arial"/>
        <w:color w:val="6E7681"/>
        <w:sz w:val="18"/>
        <w:szCs w:val="18"/>
      </w:rPr>
      <w:t xml:space="preserve">— Google Workspace Email Outreach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111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1117"/>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F6FEB"/>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D111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2026-04-07T04:11:48.902Z</dcterms:created>
  <dcterms:modified xsi:type="dcterms:W3CDTF">2026-04-07T04:11:48.902Z</dcterms:modified>
</cp:coreProperties>
</file>

<file path=docProps/custom.xml><?xml version="1.0" encoding="utf-8"?>
<Properties xmlns="http://schemas.openxmlformats.org/officeDocument/2006/custom-properties" xmlns:vt="http://schemas.openxmlformats.org/officeDocument/2006/docPropsVTypes"/>
</file>