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r>
        <w:t xml:space="preserve"/>
      </w:r>
    </w:p>
    <w:p>
      <w:pPr>
        <w:spacing w:after="120" w:before="0"/>
        <w:jc w:val="center"/>
      </w:pPr>
      <w:r>
        <w:rPr>
          <w:rFonts w:ascii="Arial" w:cs="Arial" w:eastAsia="Arial" w:hAnsi="Arial"/>
          <w:b/>
          <w:bCs/>
          <w:caps/>
          <w:color w:val="0D1F3C"/>
          <w:sz w:val="56"/>
          <w:szCs w:val="56"/>
        </w:rPr>
        <w:t xml:space="preserve">SIGNALIQ GRID SYSTEM</w:t>
      </w:r>
    </w:p>
    <w:p>
      <w:pPr>
        <w:pBdr>
          <w:bottom w:val="single" w:color="C0392B" w:sz="8" w:space="1"/>
        </w:pBdr>
        <w:spacing w:after="80" w:before="0"/>
        <w:jc w:val="center"/>
      </w:pPr>
      <w:r>
        <w:rPr>
          <w:rFonts w:ascii="Arial" w:cs="Arial" w:eastAsia="Arial" w:hAnsi="Arial"/>
          <w:b/>
          <w:bCs/>
          <w:color w:val="C0392B"/>
          <w:sz w:val="44"/>
          <w:szCs w:val="44"/>
        </w:rPr>
        <w:t xml:space="preserve">MBA Blindside Audit</w:t>
      </w:r>
    </w:p>
    <w:p>
      <w:pPr>
        <w:spacing w:after="80" w:before="80"/>
      </w:pPr>
      <w:r>
        <w:t xml:space="preserve"/>
      </w:r>
    </w:p>
    <w:p>
      <w:pPr>
        <w:jc w:val="center"/>
      </w:pPr>
      <w:r>
        <w:rPr>
          <w:rFonts w:ascii="Arial" w:cs="Arial" w:eastAsia="Arial" w:hAnsi="Arial"/>
          <w:i/>
          <w:iCs/>
          <w:color w:val="3A5070"/>
          <w:sz w:val="24"/>
          <w:szCs w:val="24"/>
        </w:rPr>
        <w:t xml:space="preserve">An independent, unflinching assessment of strategic position, risks, opportunities, and competitive blind spots</w:t>
      </w:r>
    </w:p>
    <w:p>
      <w:pPr>
        <w:spacing w:after="80" w:before="80"/>
      </w:pPr>
      <w:r>
        <w:t xml:space="preserve"/>
      </w:r>
    </w:p>
    <w:p>
      <w:pPr>
        <w:jc w:val="center"/>
      </w:pPr>
      <w:r>
        <w:rPr>
          <w:rFonts w:ascii="Arial" w:cs="Arial" w:eastAsia="Arial" w:hAnsi="Arial"/>
          <w:color w:val="8A9BB0"/>
          <w:sz w:val="20"/>
          <w:szCs w:val="20"/>
        </w:rPr>
        <w:t xml:space="preserve">April 2026  |  For Internal Strategy Use Only</w:t>
      </w:r>
    </w:p>
    <w:p>
      <w:pPr>
        <w:pBdr>
          <w:bottom w:val="single" w:color="24D3A7" w:sz="4" w:space="1"/>
        </w:pBdr>
        <w:spacing w:after="160" w:before="160"/>
      </w:pPr>
      <w:r>
        <w:t xml:space="preserve"/>
      </w:r>
    </w:p>
    <w:p>
      <w:pPr>
        <w:spacing w:after="80" w:before="80"/>
      </w:pPr>
      <w:r>
        <w:t xml:space="preserve"/>
      </w:r>
    </w:p>
    <w:p>
      <w:pPr>
        <w:pStyle w:val="Heading1"/>
        <w:spacing w:after="160" w:before="360"/>
      </w:pPr>
      <w:r>
        <w:rPr>
          <w:rFonts w:ascii="Arial" w:cs="Arial" w:eastAsia="Arial" w:hAnsi="Arial"/>
          <w:b/>
          <w:bCs/>
          <w:color w:val="0D1F3C"/>
          <w:sz w:val="36"/>
          <w:szCs w:val="36"/>
        </w:rPr>
        <w:t xml:space="preserve">Executive Summary</w:t>
      </w:r>
    </w:p>
    <w:p>
      <w:pPr>
        <w:spacing w:after="80" w:before="80"/>
      </w:pPr>
      <w:r>
        <w:rPr>
          <w:rFonts w:ascii="Arial" w:cs="Arial" w:eastAsia="Arial" w:hAnsi="Arial"/>
          <w:color w:val="1C2B3A"/>
          <w:sz w:val="22"/>
          <w:szCs w:val="22"/>
        </w:rPr>
        <w:t xml:space="preserve">SignalIQ Grid System is a full-stack outreach intelligence platform with a legitimate technical moat: the Conversion Intelligence Loop. The core thesis is sound — a self-improving system that compounds over time is categorically different from commodity email senders. The market timing is favorable. The market size is large ($9B by 2030 at 10.1% CAGR).</w:t>
      </w:r>
    </w:p>
    <w:p>
      <w:pPr>
        <w:spacing w:after="80" w:before="80"/>
      </w:pPr>
      <w:r>
        <w:t xml:space="preserve"/>
      </w:r>
    </w:p>
    <w:p>
      <w:pPr>
        <w:spacing w:after="80" w:before="80"/>
      </w:pPr>
      <w:r>
        <w:rPr>
          <w:rFonts w:ascii="Arial" w:cs="Arial" w:eastAsia="Arial" w:hAnsi="Arial"/>
          <w:color w:val="1C2B3A"/>
          <w:sz w:val="22"/>
          <w:szCs w:val="22"/>
        </w:rPr>
        <w:t xml:space="preserve">However, this audit identifies six critical blindsides that could prevent the platform from reaching its potential: (1) no true learning intelligence — signals are currently hardcoded, not computed; (2) no virality or PLG motion; (3) the moat is breakable by well-funded competitors in 6-12 months; (4) single-user architecture limits agency/team sale size; (5) no pricing strategy; (6) no data network effect yet. These are fixable. But they must be acknowledged and addressed deliberately.</w:t>
      </w:r>
    </w:p>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D1F3C"/>
          <w:sz w:val="36"/>
          <w:szCs w:val="36"/>
        </w:rPr>
        <w:t xml:space="preserve">Strategic Scorecard</w:t>
      </w:r>
    </w:p>
    <w:p>
      <w:pPr>
        <w:spacing w:after="80" w:before="80"/>
      </w:pPr>
      <w:r>
        <w:rPr>
          <w:rFonts w:ascii="Arial" w:cs="Arial" w:eastAsia="Arial" w:hAnsi="Arial"/>
          <w:color w:val="1C2B3A"/>
          <w:sz w:val="22"/>
          <w:szCs w:val="22"/>
        </w:rPr>
        <w:t xml:space="preserve">Rating scale: A = Exceptional | B = Solid | C = Needs Work | D = Critical Gap | F = Missing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c>
          <w:tcPr>
            <w:tcW w:type="dxa" w:w="288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144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Grade</w:t>
            </w:r>
          </w:p>
        </w:tc>
        <w:tc>
          <w:tcPr>
            <w:tcW w:type="dxa" w:w="504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Key Finding</w:t>
            </w:r>
          </w:p>
        </w:tc>
      </w:tr>
      <w:tr>
        <w:tc>
          <w:tcPr>
            <w:tcW w:type="dxa" w:w="28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bCs/>
                <w:color w:val="0D1F3C"/>
                <w:sz w:val="21"/>
                <w:szCs w:val="21"/>
              </w:rPr>
              <w:t xml:space="preserve">Core Product (MVP)</w:t>
            </w:r>
          </w:p>
        </w:tc>
        <w:tc>
          <w:tcPr>
            <w:tcW w:type="dxa" w:w="144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Fully functional: auth, contacts, campaigns, email, GDPR. QA/SOP/A-B all wired. Solid foundation.</w:t>
            </w:r>
          </w:p>
        </w:tc>
      </w:tr>
      <w:tr>
        <w:tc>
          <w:tcPr>
            <w:tcW w:type="dxa" w:w="28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bCs/>
                <w:color w:val="0D1F3C"/>
                <w:sz w:val="21"/>
                <w:szCs w:val="21"/>
              </w:rPr>
              <w:t xml:space="preserve">Unique Differentiation</w:t>
            </w:r>
          </w:p>
        </w:tc>
        <w:tc>
          <w:tcPr>
            <w:tcW w:type="dxa" w:w="14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Conversion loop concept is real and powerful. But signals are currently hardcoded — not yet computed from real data.</w:t>
            </w:r>
          </w:p>
        </w:tc>
      </w:tr>
      <w:tr>
        <w:tc>
          <w:tcPr>
            <w:tcW w:type="dxa" w:w="28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bCs/>
                <w:color w:val="0D1F3C"/>
                <w:sz w:val="21"/>
                <w:szCs w:val="21"/>
              </w:rPr>
              <w:t xml:space="preserve">Market Timing</w:t>
            </w:r>
          </w:p>
        </w:tc>
        <w:tc>
          <w:tcPr>
            <w:tcW w:type="dxa" w:w="144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$9B market growing 10.1% CAGR. AI-powered outreach is the hottest category in B2B SaaS. Timing is excellent.</w:t>
            </w:r>
          </w:p>
        </w:tc>
      </w:tr>
      <w:tr>
        <w:tc>
          <w:tcPr>
            <w:tcW w:type="dxa" w:w="28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bCs/>
                <w:color w:val="0D1F3C"/>
                <w:sz w:val="21"/>
                <w:szCs w:val="21"/>
              </w:rPr>
              <w:t xml:space="preserve">Competitive Moat</w:t>
            </w:r>
          </w:p>
        </w:tc>
        <w:tc>
          <w:tcPr>
            <w:tcW w:type="dxa" w:w="1440"/>
            <w:tcBorders>
              <w:top w:val="single" w:color="CCCCCC" w:sz="1"/>
              <w:left w:val="single" w:color="CCCCCC" w:sz="1"/>
              <w:bottom w:val="single" w:color="CCCCCC" w:sz="1"/>
              <w:right w:val="single" w:color="CCCCCC" w:sz="1"/>
            </w:tcBorders>
            <w:shd w:fill="D4700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Loop concept is the moat — but it is not yet activated. Without real dynamic learning, it is a feature, not a moat.</w:t>
            </w:r>
          </w:p>
        </w:tc>
      </w:tr>
      <w:tr>
        <w:tc>
          <w:tcPr>
            <w:tcW w:type="dxa" w:w="28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bCs/>
                <w:color w:val="0D1F3C"/>
                <w:sz w:val="21"/>
                <w:szCs w:val="21"/>
              </w:rPr>
              <w:t xml:space="preserve">Business Model</w:t>
            </w:r>
          </w:p>
        </w:tc>
        <w:tc>
          <w:tcPr>
            <w:tcW w:type="dxa" w:w="14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No pricing, no subscription logic, no seat-based billing, no free trial flow. Zero monetization infrastructure.</w:t>
            </w:r>
          </w:p>
        </w:tc>
      </w:tr>
      <w:tr>
        <w:tc>
          <w:tcPr>
            <w:tcW w:type="dxa" w:w="28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bCs/>
                <w:color w:val="0D1F3C"/>
                <w:sz w:val="21"/>
                <w:szCs w:val="21"/>
              </w:rPr>
              <w:t xml:space="preserve">Team/Pod Architecture</w:t>
            </w:r>
          </w:p>
        </w:tc>
        <w:tc>
          <w:tcPr>
            <w:tcW w:type="dxa" w:w="14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Role system is built (8 roles). But no pod grouping, no cross-pod analytics, no team-level performance view.</w:t>
            </w:r>
          </w:p>
        </w:tc>
      </w:tr>
      <w:tr>
        <w:tc>
          <w:tcPr>
            <w:tcW w:type="dxa" w:w="28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bCs/>
                <w:color w:val="0D1F3C"/>
                <w:sz w:val="21"/>
                <w:szCs w:val="21"/>
              </w:rPr>
              <w:t xml:space="preserve">Go-to-Market Strategy</w:t>
            </w:r>
          </w:p>
        </w:tc>
        <w:tc>
          <w:tcPr>
            <w:tcW w:type="dxa" w:w="14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No PLG motion, no viral loop, no referral system, no content strategy, no ICP definition documented.</w:t>
            </w:r>
          </w:p>
        </w:tc>
      </w:tr>
      <w:tr>
        <w:tc>
          <w:tcPr>
            <w:tcW w:type="dxa" w:w="28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bCs/>
                <w:color w:val="0D1F3C"/>
                <w:sz w:val="21"/>
                <w:szCs w:val="21"/>
              </w:rPr>
              <w:t xml:space="preserve">Data Network Effect</w:t>
            </w:r>
          </w:p>
        </w:tc>
        <w:tc>
          <w:tcPr>
            <w:tcW w:type="dxa" w:w="1440"/>
            <w:tcBorders>
              <w:top w:val="single" w:color="CCCCCC" w:sz="1"/>
              <w:left w:val="single" w:color="CCCCCC" w:sz="1"/>
              <w:bottom w:val="single" w:color="CCCCCC" w:sz="1"/>
              <w:right w:val="single" w:color="CCCCCC" w:sz="1"/>
            </w:tcBorders>
            <w:shd w:fill="D4700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Each user's data is siloed. No aggregate signal sharing (even anonymized). The loop only compounds per-user, not across users.</w:t>
            </w:r>
          </w:p>
        </w:tc>
      </w:tr>
      <w:tr>
        <w:tc>
          <w:tcPr>
            <w:tcW w:type="dxa" w:w="28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bCs/>
                <w:color w:val="0D1F3C"/>
                <w:sz w:val="21"/>
                <w:szCs w:val="21"/>
              </w:rPr>
              <w:t xml:space="preserve">Compliance Architecture</w:t>
            </w:r>
          </w:p>
        </w:tc>
        <w:tc>
          <w:tcPr>
            <w:tcW w:type="dxa" w:w="144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GDPR/CASL/CAN-SPAM compliant: unsubscribe, consent tracking, one-click opt-out. Solid for MVP.</w:t>
            </w:r>
          </w:p>
        </w:tc>
      </w:tr>
      <w:tr>
        <w:tc>
          <w:tcPr>
            <w:tcW w:type="dxa" w:w="28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bCs/>
                <w:color w:val="0D1F3C"/>
                <w:sz w:val="21"/>
                <w:szCs w:val="21"/>
              </w:rPr>
              <w:t xml:space="preserve">Technical Architecture</w:t>
            </w:r>
          </w:p>
        </w:tc>
        <w:tc>
          <w:tcPr>
            <w:tcW w:type="dxa" w:w="14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Vite + React + Express + SQLite. Clean, fast, deployable. SQLite limits scale beyond ~10K users but is fine for MVP.</w:t>
            </w:r>
          </w:p>
        </w:tc>
      </w:tr>
      <w:tr>
        <w:tc>
          <w:tcPr>
            <w:tcW w:type="dxa" w:w="28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bCs/>
                <w:color w:val="0D1F3C"/>
                <w:sz w:val="21"/>
                <w:szCs w:val="21"/>
              </w:rPr>
              <w:t xml:space="preserve">UI/UX Quality</w:t>
            </w:r>
          </w:p>
        </w:tc>
        <w:tc>
          <w:tcPr>
            <w:tcW w:type="dxa" w:w="1440"/>
            <w:tcBorders>
              <w:top w:val="single" w:color="CCCCCC" w:sz="1"/>
              <w:left w:val="single" w:color="CCCCCC" w:sz="1"/>
              <w:bottom w:val="single" w:color="CCCCCC" w:sz="1"/>
              <w:right w:val="single" w:color="CCCCCC" w:sz="1"/>
            </w:tcBorders>
            <w:shd w:fill="D4700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Dark theme is well-designed. Missing: mobile responsive, progress rings, empty states, visual KPI charts.</w:t>
            </w:r>
          </w:p>
        </w:tc>
      </w:tr>
      <w:tr>
        <w:tc>
          <w:tcPr>
            <w:tcW w:type="dxa" w:w="288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b/>
                <w:bCs/>
                <w:color w:val="0D1F3C"/>
                <w:sz w:val="21"/>
                <w:szCs w:val="21"/>
              </w:rPr>
              <w:t xml:space="preserve">Investor Readiness</w:t>
            </w:r>
          </w:p>
        </w:tc>
        <w:tc>
          <w:tcPr>
            <w:tcW w:type="dxa" w:w="14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No metrics dashboard, no MRR, no cohort data, no pitch deck hook. Pre-investable at current state.</w:t>
            </w:r>
          </w:p>
        </w:tc>
      </w:tr>
    </w:tbl>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D1F3C"/>
          <w:sz w:val="36"/>
          <w:szCs w:val="36"/>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STRENGTHS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pStyle w:val="ListParagraph"/>
              <w:numPr>
                <w:ilvl w:val="0"/>
                <w:numId w:val="2"/>
              </w:numPr>
            </w:pPr>
            <w:r>
              <w:rPr>
                <w:rFonts w:ascii="Arial" w:cs="Arial" w:eastAsia="Arial" w:hAnsi="Arial"/>
                <w:color w:val="1C2B3A"/>
                <w:sz w:val="21"/>
                <w:szCs w:val="21"/>
              </w:rPr>
              <w:t xml:space="preserve">Self-improving Conversion Intelligence Loop — no direct competitor has this architecture</w:t>
            </w:r>
          </w:p>
          <w:p>
            <w:pPr>
              <w:pStyle w:val="ListParagraph"/>
              <w:numPr>
                <w:ilvl w:val="0"/>
                <w:numId w:val="2"/>
              </w:numPr>
            </w:pPr>
            <w:r>
              <w:rPr>
                <w:rFonts w:ascii="Arial" w:cs="Arial" w:eastAsia="Arial" w:hAnsi="Arial"/>
                <w:color w:val="1C2B3A"/>
                <w:sz w:val="21"/>
                <w:szCs w:val="21"/>
              </w:rPr>
              <w:t xml:space="preserve">Full-stack MVP: auth, contacts, campaigns, email, GDPR, QA gates, SOP, A/B testing all working</w:t>
            </w:r>
          </w:p>
          <w:p>
            <w:pPr>
              <w:pStyle w:val="ListParagraph"/>
              <w:numPr>
                <w:ilvl w:val="0"/>
                <w:numId w:val="2"/>
              </w:numPr>
            </w:pPr>
            <w:r>
              <w:rPr>
                <w:rFonts w:ascii="Arial" w:cs="Arial" w:eastAsia="Arial" w:hAnsi="Arial"/>
                <w:color w:val="1C2B3A"/>
                <w:sz w:val="21"/>
                <w:szCs w:val="21"/>
              </w:rPr>
              <w:t xml:space="preserve">Role-based team architecture (8 roles) built and functional — scales to agency use case</w:t>
            </w:r>
          </w:p>
          <w:p>
            <w:pPr>
              <w:pStyle w:val="ListParagraph"/>
              <w:numPr>
                <w:ilvl w:val="0"/>
                <w:numId w:val="2"/>
              </w:numPr>
            </w:pPr>
            <w:r>
              <w:rPr>
                <w:rFonts w:ascii="Arial" w:cs="Arial" w:eastAsia="Arial" w:hAnsi="Arial"/>
                <w:color w:val="1C2B3A"/>
                <w:sz w:val="21"/>
                <w:szCs w:val="21"/>
              </w:rPr>
              <w:t xml:space="preserve">Resend email integration live with real deliverability and unsubscribe compliance</w:t>
            </w:r>
          </w:p>
          <w:p>
            <w:pPr>
              <w:pStyle w:val="ListParagraph"/>
              <w:numPr>
                <w:ilvl w:val="0"/>
                <w:numId w:val="2"/>
              </w:numPr>
            </w:pPr>
            <w:r>
              <w:rPr>
                <w:rFonts w:ascii="Arial" w:cs="Arial" w:eastAsia="Arial" w:hAnsi="Arial"/>
                <w:color w:val="1C2B3A"/>
                <w:sz w:val="21"/>
                <w:szCs w:val="21"/>
              </w:rPr>
              <w:t xml:space="preserve">Conversion matrix + learning signals framework already in place — just needs dynamic data feeding it</w:t>
            </w:r>
          </w:p>
          <w:p>
            <w:pPr>
              <w:pStyle w:val="ListParagraph"/>
              <w:numPr>
                <w:ilvl w:val="0"/>
                <w:numId w:val="2"/>
              </w:numPr>
            </w:pPr>
            <w:r>
              <w:rPr>
                <w:rFonts w:ascii="Arial" w:cs="Arial" w:eastAsia="Arial" w:hAnsi="Arial"/>
                <w:color w:val="1C2B3A"/>
                <w:sz w:val="21"/>
                <w:szCs w:val="21"/>
              </w:rPr>
              <w:t xml:space="preserve">Blueprint document (30-agent training plan) is a credibility and differentiation asset</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WEAKNESSES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pStyle w:val="ListParagraph"/>
              <w:numPr>
                <w:ilvl w:val="0"/>
                <w:numId w:val="2"/>
              </w:numPr>
            </w:pPr>
            <w:r>
              <w:rPr>
                <w:rFonts w:ascii="Arial" w:cs="Arial" w:eastAsia="Arial" w:hAnsi="Arial"/>
                <w:color w:val="1C2B3A"/>
                <w:sz w:val="21"/>
                <w:szCs w:val="21"/>
              </w:rPr>
              <w:t xml:space="preserve">Learning signals are hardcoded, not computed — the moat is theoretical until this changes</w:t>
            </w:r>
          </w:p>
          <w:p>
            <w:pPr>
              <w:pStyle w:val="ListParagraph"/>
              <w:numPr>
                <w:ilvl w:val="0"/>
                <w:numId w:val="2"/>
              </w:numPr>
            </w:pPr>
            <w:r>
              <w:rPr>
                <w:rFonts w:ascii="Arial" w:cs="Arial" w:eastAsia="Arial" w:hAnsi="Arial"/>
                <w:color w:val="1C2B3A"/>
                <w:sz w:val="21"/>
                <w:szCs w:val="21"/>
              </w:rPr>
              <w:t xml:space="preserve">No monetization layer: no Stripe, no subscription tiers, no seat pricing, no trial vs paid gate</w:t>
            </w:r>
          </w:p>
          <w:p>
            <w:pPr>
              <w:pStyle w:val="ListParagraph"/>
              <w:numPr>
                <w:ilvl w:val="0"/>
                <w:numId w:val="2"/>
              </w:numPr>
            </w:pPr>
            <w:r>
              <w:rPr>
                <w:rFonts w:ascii="Arial" w:cs="Arial" w:eastAsia="Arial" w:hAnsi="Arial"/>
                <w:color w:val="1C2B3A"/>
                <w:sz w:val="21"/>
                <w:szCs w:val="21"/>
              </w:rPr>
              <w:t xml:space="preserve">Single-user data model limits agency/team sale size — no pod grouping or cross-team analytics</w:t>
            </w:r>
          </w:p>
          <w:p>
            <w:pPr>
              <w:pStyle w:val="ListParagraph"/>
              <w:numPr>
                <w:ilvl w:val="0"/>
                <w:numId w:val="2"/>
              </w:numPr>
            </w:pPr>
            <w:r>
              <w:rPr>
                <w:rFonts w:ascii="Arial" w:cs="Arial" w:eastAsia="Arial" w:hAnsi="Arial"/>
                <w:color w:val="1C2B3A"/>
                <w:sz w:val="21"/>
                <w:szCs w:val="21"/>
              </w:rPr>
              <w:t xml:space="preserve">No mobile-responsive layout — 35-45% of B2B SaaS traffic is mobile</w:t>
            </w:r>
          </w:p>
          <w:p>
            <w:pPr>
              <w:pStyle w:val="ListParagraph"/>
              <w:numPr>
                <w:ilvl w:val="0"/>
                <w:numId w:val="2"/>
              </w:numPr>
            </w:pPr>
            <w:r>
              <w:rPr>
                <w:rFonts w:ascii="Arial" w:cs="Arial" w:eastAsia="Arial" w:hAnsi="Arial"/>
                <w:color w:val="1C2B3A"/>
                <w:sz w:val="21"/>
                <w:szCs w:val="21"/>
              </w:rPr>
              <w:t xml:space="preserve">No onboarding flow — new users face a cold empty dashboard with no guidance</w:t>
            </w:r>
          </w:p>
          <w:p>
            <w:pPr>
              <w:pStyle w:val="ListParagraph"/>
              <w:numPr>
                <w:ilvl w:val="0"/>
                <w:numId w:val="2"/>
              </w:numPr>
            </w:pPr>
            <w:r>
              <w:rPr>
                <w:rFonts w:ascii="Arial" w:cs="Arial" w:eastAsia="Arial" w:hAnsi="Arial"/>
                <w:color w:val="1C2B3A"/>
                <w:sz w:val="21"/>
                <w:szCs w:val="21"/>
              </w:rPr>
              <w:t xml:space="preserve">SQLite is fine for MVP but signals lack of production scalability thinking</w:t>
            </w:r>
          </w:p>
        </w:tc>
      </w:tr>
      <w:tr>
        <w:tc>
          <w:tcPr>
            <w:tcW w:type="dxa" w:w="2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OPPORTUNITIES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pStyle w:val="ListParagraph"/>
              <w:numPr>
                <w:ilvl w:val="0"/>
                <w:numId w:val="2"/>
              </w:numPr>
            </w:pPr>
            <w:r>
              <w:rPr>
                <w:rFonts w:ascii="Arial" w:cs="Arial" w:eastAsia="Arial" w:hAnsi="Arial"/>
                <w:color w:val="1C2B3A"/>
                <w:sz w:val="21"/>
                <w:szCs w:val="21"/>
              </w:rPr>
              <w:t xml:space="preserve">Cold email software market: $9B by 2030, 10.1% CAGR — massive TAM with no dominant intelligence player</w:t>
            </w:r>
          </w:p>
          <w:p>
            <w:pPr>
              <w:pStyle w:val="ListParagraph"/>
              <w:numPr>
                <w:ilvl w:val="0"/>
                <w:numId w:val="2"/>
              </w:numPr>
            </w:pPr>
            <w:r>
              <w:rPr>
                <w:rFonts w:ascii="Arial" w:cs="Arial" w:eastAsia="Arial" w:hAnsi="Arial"/>
                <w:color w:val="1C2B3A"/>
                <w:sz w:val="21"/>
                <w:szCs w:val="21"/>
              </w:rPr>
              <w:t xml:space="preserve">Apollo, Instantly, Lemlist all lack a learning loop — first mover on compounding intelligence wins the positioning war</w:t>
            </w:r>
          </w:p>
          <w:p>
            <w:pPr>
              <w:pStyle w:val="ListParagraph"/>
              <w:numPr>
                <w:ilvl w:val="0"/>
                <w:numId w:val="2"/>
              </w:numPr>
            </w:pPr>
            <w:r>
              <w:rPr>
                <w:rFonts w:ascii="Arial" w:cs="Arial" w:eastAsia="Arial" w:hAnsi="Arial"/>
                <w:color w:val="1C2B3A"/>
                <w:sz w:val="21"/>
                <w:szCs w:val="21"/>
              </w:rPr>
              <w:t xml:space="preserve">Agency vertical: 5-pod × 6-agent structure maps perfectly to agency workflows — $500-2000/mo per agency seat</w:t>
            </w:r>
          </w:p>
          <w:p>
            <w:pPr>
              <w:pStyle w:val="ListParagraph"/>
              <w:numPr>
                <w:ilvl w:val="0"/>
                <w:numId w:val="2"/>
              </w:numPr>
            </w:pPr>
            <w:r>
              <w:rPr>
                <w:rFonts w:ascii="Arial" w:cs="Arial" w:eastAsia="Arial" w:hAnsi="Arial"/>
                <w:color w:val="1C2B3A"/>
                <w:sz w:val="21"/>
                <w:szCs w:val="21"/>
              </w:rPr>
              <w:t xml:space="preserve">White-label opportunity: package as a private-label Outreach OS for sales agencies and consultants</w:t>
            </w:r>
          </w:p>
          <w:p>
            <w:pPr>
              <w:pStyle w:val="ListParagraph"/>
              <w:numPr>
                <w:ilvl w:val="0"/>
                <w:numId w:val="2"/>
              </w:numPr>
            </w:pPr>
            <w:r>
              <w:rPr>
                <w:rFonts w:ascii="Arial" w:cs="Arial" w:eastAsia="Arial" w:hAnsi="Arial"/>
                <w:color w:val="1C2B3A"/>
                <w:sz w:val="21"/>
                <w:szCs w:val="21"/>
              </w:rPr>
              <w:t xml:space="preserve">Data network effect: aggregate anonymized signal data across users → industry-wide benchmarks → moat deepens</w:t>
            </w:r>
          </w:p>
          <w:p>
            <w:pPr>
              <w:pStyle w:val="ListParagraph"/>
              <w:numPr>
                <w:ilvl w:val="0"/>
                <w:numId w:val="2"/>
              </w:numPr>
            </w:pPr>
            <w:r>
              <w:rPr>
                <w:rFonts w:ascii="Arial" w:cs="Arial" w:eastAsia="Arial" w:hAnsi="Arial"/>
                <w:color w:val="1C2B3A"/>
                <w:sz w:val="21"/>
                <w:szCs w:val="21"/>
              </w:rPr>
              <w:t xml:space="preserve">AI copy generation: plug in Claude/GPT to auto-write campaign copy using the playbook library + copy scorer</w:t>
            </w:r>
          </w:p>
        </w:tc>
      </w:tr>
      <w:tr>
        <w:tc>
          <w:tcPr>
            <w:tcW w:type="dxa" w:w="2000"/>
            <w:tcBorders>
              <w:top w:val="single" w:color="CCCCCC" w:sz="1"/>
              <w:left w:val="single" w:color="CCCCCC" w:sz="1"/>
              <w:bottom w:val="single" w:color="CCCCCC" w:sz="1"/>
              <w:right w:val="single" w:color="CCCCCC" w:sz="1"/>
            </w:tcBorders>
            <w:shd w:fill="D4700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THREATS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pStyle w:val="ListParagraph"/>
              <w:numPr>
                <w:ilvl w:val="0"/>
                <w:numId w:val="2"/>
              </w:numPr>
            </w:pPr>
            <w:r>
              <w:rPr>
                <w:rFonts w:ascii="Arial" w:cs="Arial" w:eastAsia="Arial" w:hAnsi="Arial"/>
                <w:color w:val="1C2B3A"/>
                <w:sz w:val="21"/>
                <w:szCs w:val="21"/>
              </w:rPr>
              <w:t xml:space="preserve">Apollo ($1.6B valuation) could ship a learning loop feature in a quarterly sprint — well-resourced copycat risk</w:t>
            </w:r>
          </w:p>
          <w:p>
            <w:pPr>
              <w:pStyle w:val="ListParagraph"/>
              <w:numPr>
                <w:ilvl w:val="0"/>
                <w:numId w:val="2"/>
              </w:numPr>
            </w:pPr>
            <w:r>
              <w:rPr>
                <w:rFonts w:ascii="Arial" w:cs="Arial" w:eastAsia="Arial" w:hAnsi="Arial"/>
                <w:color w:val="1C2B3A"/>
                <w:sz w:val="21"/>
                <w:szCs w:val="21"/>
              </w:rPr>
              <w:t xml:space="preserve">Instantly and Smartlead have larger user bases and can harvest learning signal data at scale faster</w:t>
            </w:r>
          </w:p>
          <w:p>
            <w:pPr>
              <w:pStyle w:val="ListParagraph"/>
              <w:numPr>
                <w:ilvl w:val="0"/>
                <w:numId w:val="2"/>
              </w:numPr>
            </w:pPr>
            <w:r>
              <w:rPr>
                <w:rFonts w:ascii="Arial" w:cs="Arial" w:eastAsia="Arial" w:hAnsi="Arial"/>
                <w:color w:val="1C2B3A"/>
                <w:sz w:val="21"/>
                <w:szCs w:val="21"/>
              </w:rPr>
              <w:t xml:space="preserve">Google/Microsoft anti-spam updates could materially change deliverability for cold outreach industry-wide</w:t>
            </w:r>
          </w:p>
          <w:p>
            <w:pPr>
              <w:pStyle w:val="ListParagraph"/>
              <w:numPr>
                <w:ilvl w:val="0"/>
                <w:numId w:val="2"/>
              </w:numPr>
            </w:pPr>
            <w:r>
              <w:rPr>
                <w:rFonts w:ascii="Arial" w:cs="Arial" w:eastAsia="Arial" w:hAnsi="Arial"/>
                <w:color w:val="1C2B3A"/>
                <w:sz w:val="21"/>
                <w:szCs w:val="21"/>
              </w:rPr>
              <w:t xml:space="preserve">AI-generated spam flood is hardening inbox filters — higher quality bar required every quarter</w:t>
            </w:r>
          </w:p>
          <w:p>
            <w:pPr>
              <w:pStyle w:val="ListParagraph"/>
              <w:numPr>
                <w:ilvl w:val="0"/>
                <w:numId w:val="2"/>
              </w:numPr>
            </w:pPr>
            <w:r>
              <w:rPr>
                <w:rFonts w:ascii="Arial" w:cs="Arial" w:eastAsia="Arial" w:hAnsi="Arial"/>
                <w:color w:val="1C2B3A"/>
                <w:sz w:val="21"/>
                <w:szCs w:val="21"/>
              </w:rPr>
              <w:t xml:space="preserve">Resend dependency: if Resend changes pricing or terms, the sending infrastructure needs replacement</w:t>
            </w:r>
          </w:p>
          <w:p>
            <w:pPr>
              <w:pStyle w:val="ListParagraph"/>
              <w:numPr>
                <w:ilvl w:val="0"/>
                <w:numId w:val="2"/>
              </w:numPr>
            </w:pPr>
            <w:r>
              <w:rPr>
                <w:rFonts w:ascii="Arial" w:cs="Arial" w:eastAsia="Arial" w:hAnsi="Arial"/>
                <w:color w:val="1C2B3A"/>
                <w:sz w:val="21"/>
                <w:szCs w:val="21"/>
              </w:rPr>
              <w:t xml:space="preserve">Regulatory risk: CAN-SPAM/GDPR enforcement is increasing — one high-profile enforcement action could chill the market</w:t>
            </w:r>
          </w:p>
        </w:tc>
      </w:tr>
    </w:tbl>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D1F3C"/>
          <w:sz w:val="36"/>
          <w:szCs w:val="36"/>
        </w:rPr>
        <w:t xml:space="preserve">Competitive Blindside Analysis</w:t>
      </w:r>
    </w:p>
    <w:p>
      <w:pPr>
        <w:spacing w:after="80" w:before="80"/>
      </w:pPr>
      <w:r>
        <w:rPr>
          <w:rFonts w:ascii="Arial" w:cs="Arial" w:eastAsia="Arial" w:hAnsi="Arial"/>
          <w:color w:val="1C2B3A"/>
          <w:sz w:val="22"/>
          <w:szCs w:val="22"/>
        </w:rPr>
        <w:t xml:space="preserve">The competitive landscape shows a clear gap: every major player (Apollo, Instantly, Lemlist) is a send-first, learn-never platform. SignalIQ's architecture is categorically different. But the gap must be activated — a theoretical moat is not a moat.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9"/>
                <w:szCs w:val="19"/>
              </w:rPr>
              <w:t xml:space="preserve">Feature</w:t>
            </w:r>
          </w:p>
        </w:tc>
        <w:tc>
          <w:tcPr>
            <w:tcW w:type="dxa" w:w="18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9"/>
                <w:szCs w:val="19"/>
              </w:rPr>
              <w:t xml:space="preserve">SignalIQ</w:t>
            </w:r>
          </w:p>
        </w:tc>
        <w:tc>
          <w:tcPr>
            <w:tcW w:type="dxa" w:w="18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9"/>
                <w:szCs w:val="19"/>
              </w:rPr>
              <w:t xml:space="preserve">Apollo.io</w:t>
            </w:r>
          </w:p>
        </w:tc>
        <w:tc>
          <w:tcPr>
            <w:tcW w:type="dxa" w:w="18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9"/>
                <w:szCs w:val="19"/>
              </w:rPr>
              <w:t xml:space="preserve">Instantly</w:t>
            </w:r>
          </w:p>
        </w:tc>
        <w:tc>
          <w:tcPr>
            <w:tcW w:type="dxa" w:w="18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9"/>
                <w:szCs w:val="19"/>
              </w:rPr>
              <w:t xml:space="preserve">Lemlist</w:t>
            </w:r>
          </w:p>
        </w:tc>
      </w:tr>
      <w:tr>
        <w:tc>
          <w:tcPr>
            <w:tcW w:type="dxa" w:w="2160"/>
            <w:tcBorders>
              <w:top w:val="single" w:color="CCCCCC" w:sz="1"/>
              <w:left w:val="single" w:color="CCCCCC" w:sz="1"/>
              <w:bottom w:val="single" w:color="CCCCCC" w:sz="1"/>
              <w:right w:val="single" w:color="CCCCCC" w:sz="1"/>
            </w:tcBorders>
            <w:shd w:fill="F4F8FF" w:val="clear"/>
            <w:tcMar>
              <w:top w:type="dxa" w:w="80"/>
              <w:left w:type="dxa" w:w="100"/>
              <w:bottom w:type="dxa" w:w="80"/>
              <w:right w:type="dxa" w:w="100"/>
            </w:tcMar>
          </w:tcPr>
          <w:p>
            <w:r>
              <w:rPr>
                <w:rFonts w:ascii="Arial" w:cs="Arial" w:eastAsia="Arial" w:hAnsi="Arial"/>
                <w:b/>
                <w:bCs/>
                <w:color w:val="1C2B3A"/>
                <w:sz w:val="19"/>
                <w:szCs w:val="19"/>
              </w:rPr>
              <w:t xml:space="preserve">Conversion Prediction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7A4A"/>
                <w:sz w:val="19"/>
                <w:szCs w:val="19"/>
              </w:rPr>
              <w:t xml:space="preserve">YES — dynamic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r>
      <w:tr>
        <w:tc>
          <w:tcPr>
            <w:tcW w:type="dxa" w:w="2160"/>
            <w:tcBorders>
              <w:top w:val="single" w:color="CCCCCC" w:sz="1"/>
              <w:left w:val="single" w:color="CCCCCC" w:sz="1"/>
              <w:bottom w:val="single" w:color="CCCCCC" w:sz="1"/>
              <w:right w:val="single" w:color="CCCCCC" w:sz="1"/>
            </w:tcBorders>
            <w:shd w:fill="F4F8FF" w:val="clear"/>
            <w:tcMar>
              <w:top w:type="dxa" w:w="80"/>
              <w:left w:type="dxa" w:w="100"/>
              <w:bottom w:type="dxa" w:w="80"/>
              <w:right w:type="dxa" w:w="100"/>
            </w:tcMar>
          </w:tcPr>
          <w:p>
            <w:r>
              <w:rPr>
                <w:rFonts w:ascii="Arial" w:cs="Arial" w:eastAsia="Arial" w:hAnsi="Arial"/>
                <w:b/>
                <w:bCs/>
                <w:color w:val="1C2B3A"/>
                <w:sz w:val="19"/>
                <w:szCs w:val="19"/>
              </w:rPr>
              <w:t xml:space="preserve">Self-Improving Learning Loop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7A4A"/>
                <w:sz w:val="19"/>
                <w:szCs w:val="19"/>
              </w:rPr>
              <w:t xml:space="preserve">YES (partially)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r>
      <w:tr>
        <w:tc>
          <w:tcPr>
            <w:tcW w:type="dxa" w:w="2160"/>
            <w:tcBorders>
              <w:top w:val="single" w:color="CCCCCC" w:sz="1"/>
              <w:left w:val="single" w:color="CCCCCC" w:sz="1"/>
              <w:bottom w:val="single" w:color="CCCCCC" w:sz="1"/>
              <w:right w:val="single" w:color="CCCCCC" w:sz="1"/>
            </w:tcBorders>
            <w:shd w:fill="F4F8FF" w:val="clear"/>
            <w:tcMar>
              <w:top w:type="dxa" w:w="80"/>
              <w:left w:type="dxa" w:w="100"/>
              <w:bottom w:type="dxa" w:w="80"/>
              <w:right w:type="dxa" w:w="100"/>
            </w:tcMar>
          </w:tcPr>
          <w:p>
            <w:r>
              <w:rPr>
                <w:rFonts w:ascii="Arial" w:cs="Arial" w:eastAsia="Arial" w:hAnsi="Arial"/>
                <w:b/>
                <w:bCs/>
                <w:color w:val="1C2B3A"/>
                <w:sz w:val="19"/>
                <w:szCs w:val="19"/>
              </w:rPr>
              <w:t xml:space="preserve">QA Gate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7A4A"/>
                <w:sz w:val="19"/>
                <w:szCs w:val="19"/>
              </w:rPr>
              <w:t xml:space="preserve">YES (3-gate)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r>
      <w:tr>
        <w:tc>
          <w:tcPr>
            <w:tcW w:type="dxa" w:w="2160"/>
            <w:tcBorders>
              <w:top w:val="single" w:color="CCCCCC" w:sz="1"/>
              <w:left w:val="single" w:color="CCCCCC" w:sz="1"/>
              <w:bottom w:val="single" w:color="CCCCCC" w:sz="1"/>
              <w:right w:val="single" w:color="CCCCCC" w:sz="1"/>
            </w:tcBorders>
            <w:shd w:fill="F4F8FF" w:val="clear"/>
            <w:tcMar>
              <w:top w:type="dxa" w:w="80"/>
              <w:left w:type="dxa" w:w="100"/>
              <w:bottom w:type="dxa" w:w="80"/>
              <w:right w:type="dxa" w:w="100"/>
            </w:tcMar>
          </w:tcPr>
          <w:p>
            <w:r>
              <w:rPr>
                <w:rFonts w:ascii="Arial" w:cs="Arial" w:eastAsia="Arial" w:hAnsi="Arial"/>
                <w:b/>
                <w:bCs/>
                <w:color w:val="1C2B3A"/>
                <w:sz w:val="19"/>
                <w:szCs w:val="19"/>
              </w:rPr>
              <w:t xml:space="preserve">SOP Workflow Enforcement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7A4A"/>
                <w:sz w:val="19"/>
                <w:szCs w:val="19"/>
              </w:rPr>
              <w:t xml:space="preserve">YES (5-step)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r>
      <w:tr>
        <w:tc>
          <w:tcPr>
            <w:tcW w:type="dxa" w:w="2160"/>
            <w:tcBorders>
              <w:top w:val="single" w:color="CCCCCC" w:sz="1"/>
              <w:left w:val="single" w:color="CCCCCC" w:sz="1"/>
              <w:bottom w:val="single" w:color="CCCCCC" w:sz="1"/>
              <w:right w:val="single" w:color="CCCCCC" w:sz="1"/>
            </w:tcBorders>
            <w:shd w:fill="F4F8FF" w:val="clear"/>
            <w:tcMar>
              <w:top w:type="dxa" w:w="80"/>
              <w:left w:type="dxa" w:w="100"/>
              <w:bottom w:type="dxa" w:w="80"/>
              <w:right w:type="dxa" w:w="100"/>
            </w:tcMar>
          </w:tcPr>
          <w:p>
            <w:r>
              <w:rPr>
                <w:rFonts w:ascii="Arial" w:cs="Arial" w:eastAsia="Arial" w:hAnsi="Arial"/>
                <w:b/>
                <w:bCs/>
                <w:color w:val="1C2B3A"/>
                <w:sz w:val="19"/>
                <w:szCs w:val="19"/>
              </w:rPr>
              <w:t xml:space="preserve">Role-Based Team Architecture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7A4A"/>
                <w:sz w:val="19"/>
                <w:szCs w:val="19"/>
              </w:rPr>
              <w:t xml:space="preserve">YES (8 roles)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Limited</w:t>
            </w:r>
          </w:p>
        </w:tc>
      </w:tr>
      <w:tr>
        <w:tc>
          <w:tcPr>
            <w:tcW w:type="dxa" w:w="2160"/>
            <w:tcBorders>
              <w:top w:val="single" w:color="CCCCCC" w:sz="1"/>
              <w:left w:val="single" w:color="CCCCCC" w:sz="1"/>
              <w:bottom w:val="single" w:color="CCCCCC" w:sz="1"/>
              <w:right w:val="single" w:color="CCCCCC" w:sz="1"/>
            </w:tcBorders>
            <w:shd w:fill="F4F8FF" w:val="clear"/>
            <w:tcMar>
              <w:top w:type="dxa" w:w="80"/>
              <w:left w:type="dxa" w:w="100"/>
              <w:bottom w:type="dxa" w:w="80"/>
              <w:right w:type="dxa" w:w="100"/>
            </w:tcMar>
          </w:tcPr>
          <w:p>
            <w:r>
              <w:rPr>
                <w:rFonts w:ascii="Arial" w:cs="Arial" w:eastAsia="Arial" w:hAnsi="Arial"/>
                <w:b/>
                <w:bCs/>
                <w:color w:val="1C2B3A"/>
                <w:sz w:val="19"/>
                <w:szCs w:val="19"/>
              </w:rPr>
              <w:t xml:space="preserve">A/B Testing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7A4A"/>
                <w:sz w:val="19"/>
                <w:szCs w:val="19"/>
              </w:rPr>
              <w:t xml:space="preserve">YES + statistical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YES</w:t>
            </w:r>
          </w:p>
        </w:tc>
      </w:tr>
      <w:tr>
        <w:tc>
          <w:tcPr>
            <w:tcW w:type="dxa" w:w="2160"/>
            <w:tcBorders>
              <w:top w:val="single" w:color="CCCCCC" w:sz="1"/>
              <w:left w:val="single" w:color="CCCCCC" w:sz="1"/>
              <w:bottom w:val="single" w:color="CCCCCC" w:sz="1"/>
              <w:right w:val="single" w:color="CCCCCC" w:sz="1"/>
            </w:tcBorders>
            <w:shd w:fill="F4F8FF" w:val="clear"/>
            <w:tcMar>
              <w:top w:type="dxa" w:w="80"/>
              <w:left w:type="dxa" w:w="100"/>
              <w:bottom w:type="dxa" w:w="80"/>
              <w:right w:type="dxa" w:w="100"/>
            </w:tcMar>
          </w:tcPr>
          <w:p>
            <w:r>
              <w:rPr>
                <w:rFonts w:ascii="Arial" w:cs="Arial" w:eastAsia="Arial" w:hAnsi="Arial"/>
                <w:b/>
                <w:bCs/>
                <w:color w:val="1C2B3A"/>
                <w:sz w:val="19"/>
                <w:szCs w:val="19"/>
              </w:rPr>
              <w:t xml:space="preserve">GDPR Unsubscribe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7A4A"/>
                <w:sz w:val="19"/>
                <w:szCs w:val="19"/>
              </w:rPr>
              <w:t xml:space="preserve">YES — one-click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YES</w:t>
            </w:r>
          </w:p>
        </w:tc>
      </w:tr>
      <w:tr>
        <w:tc>
          <w:tcPr>
            <w:tcW w:type="dxa" w:w="2160"/>
            <w:tcBorders>
              <w:top w:val="single" w:color="CCCCCC" w:sz="1"/>
              <w:left w:val="single" w:color="CCCCCC" w:sz="1"/>
              <w:bottom w:val="single" w:color="CCCCCC" w:sz="1"/>
              <w:right w:val="single" w:color="CCCCCC" w:sz="1"/>
            </w:tcBorders>
            <w:shd w:fill="F4F8FF" w:val="clear"/>
            <w:tcMar>
              <w:top w:type="dxa" w:w="80"/>
              <w:left w:type="dxa" w:w="100"/>
              <w:bottom w:type="dxa" w:w="80"/>
              <w:right w:type="dxa" w:w="100"/>
            </w:tcMar>
          </w:tcPr>
          <w:p>
            <w:r>
              <w:rPr>
                <w:rFonts w:ascii="Arial" w:cs="Arial" w:eastAsia="Arial" w:hAnsi="Arial"/>
                <w:b/>
                <w:bCs/>
                <w:color w:val="1C2B3A"/>
                <w:sz w:val="19"/>
                <w:szCs w:val="19"/>
              </w:rPr>
              <w:t xml:space="preserve">Copy Intelligence Scorer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7A4A"/>
                <w:sz w:val="19"/>
                <w:szCs w:val="19"/>
              </w:rPr>
              <w:t xml:space="preserve">PLANNED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Basic</w:t>
            </w:r>
          </w:p>
        </w:tc>
      </w:tr>
      <w:tr>
        <w:tc>
          <w:tcPr>
            <w:tcW w:type="dxa" w:w="2160"/>
            <w:tcBorders>
              <w:top w:val="single" w:color="CCCCCC" w:sz="1"/>
              <w:left w:val="single" w:color="CCCCCC" w:sz="1"/>
              <w:bottom w:val="single" w:color="CCCCCC" w:sz="1"/>
              <w:right w:val="single" w:color="CCCCCC" w:sz="1"/>
            </w:tcBorders>
            <w:shd w:fill="F4F8FF" w:val="clear"/>
            <w:tcMar>
              <w:top w:type="dxa" w:w="80"/>
              <w:left w:type="dxa" w:w="100"/>
              <w:bottom w:type="dxa" w:w="80"/>
              <w:right w:type="dxa" w:w="100"/>
            </w:tcMar>
          </w:tcPr>
          <w:p>
            <w:r>
              <w:rPr>
                <w:rFonts w:ascii="Arial" w:cs="Arial" w:eastAsia="Arial" w:hAnsi="Arial"/>
                <w:b/>
                <w:bCs/>
                <w:color w:val="1C2B3A"/>
                <w:sz w:val="19"/>
                <w:szCs w:val="19"/>
              </w:rPr>
              <w:t xml:space="preserve">Pricing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7A4A"/>
                <w:sz w:val="19"/>
                <w:szCs w:val="19"/>
              </w:rPr>
              <w:t xml:space="preserve">NOT 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$49/mo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$37/mo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$59/mo</w:t>
            </w:r>
          </w:p>
        </w:tc>
      </w:tr>
      <w:tr>
        <w:tc>
          <w:tcPr>
            <w:tcW w:type="dxa" w:w="2160"/>
            <w:tcBorders>
              <w:top w:val="single" w:color="CCCCCC" w:sz="1"/>
              <w:left w:val="single" w:color="CCCCCC" w:sz="1"/>
              <w:bottom w:val="single" w:color="CCCCCC" w:sz="1"/>
              <w:right w:val="single" w:color="CCCCCC" w:sz="1"/>
            </w:tcBorders>
            <w:shd w:fill="F4F8FF" w:val="clear"/>
            <w:tcMar>
              <w:top w:type="dxa" w:w="80"/>
              <w:left w:type="dxa" w:w="100"/>
              <w:bottom w:type="dxa" w:w="80"/>
              <w:right w:type="dxa" w:w="100"/>
            </w:tcMar>
          </w:tcPr>
          <w:p>
            <w:r>
              <w:rPr>
                <w:rFonts w:ascii="Arial" w:cs="Arial" w:eastAsia="Arial" w:hAnsi="Arial"/>
                <w:b/>
                <w:bCs/>
                <w:color w:val="1C2B3A"/>
                <w:sz w:val="19"/>
                <w:szCs w:val="19"/>
              </w:rPr>
              <w:t xml:space="preserve">Data Network Effect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7A4A"/>
                <w:sz w:val="19"/>
                <w:szCs w:val="19"/>
              </w:rPr>
              <w:t xml:space="preserve">NOT YET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YES — large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Growing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C2B3A"/>
                <w:sz w:val="19"/>
                <w:szCs w:val="19"/>
              </w:rPr>
              <w:t xml:space="preserve">Growing</w:t>
            </w:r>
          </w:p>
        </w:tc>
      </w:tr>
    </w:tbl>
    <w:p>
      <w:pPr>
        <w:spacing w:after="80" w:before="80"/>
      </w:pPr>
      <w:r>
        <w:t xml:space="preserve"/>
      </w:r>
    </w:p>
    <w:p>
      <w:pPr>
        <w:spacing w:after="80" w:before="80"/>
      </w:pPr>
      <w:r>
        <w:rPr>
          <w:rFonts w:ascii="Arial" w:cs="Arial" w:eastAsia="Arial" w:hAnsi="Arial"/>
          <w:color w:val="1C2B3A"/>
          <w:sz w:val="22"/>
          <w:szCs w:val="22"/>
        </w:rPr>
        <w:t xml:space="preserve">Key insight: SignalIQ wins on intelligence architecture. Apollo wins on data volume. Instantly wins on price and volume sends. Lemlist wins on personalization UX. SignalIQ must not compete on price or volume — it must own "the platform that makes every send smarter."</w:t>
      </w:r>
    </w:p>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D1F3C"/>
          <w:sz w:val="36"/>
          <w:szCs w:val="36"/>
        </w:rPr>
        <w:t xml:space="preserve">The 6 Critical Blindsides</w:t>
      </w:r>
    </w:p>
    <w:p>
      <w:pPr>
        <w:pStyle w:val="Heading2"/>
        <w:spacing w:after="120" w:before="280"/>
      </w:pPr>
      <w:r>
        <w:rPr>
          <w:rFonts w:ascii="Arial" w:cs="Arial" w:eastAsia="Arial" w:hAnsi="Arial"/>
          <w:b/>
          <w:bCs/>
          <w:color w:val="0D1F3C"/>
          <w:sz w:val="28"/>
          <w:szCs w:val="28"/>
        </w:rPr>
        <w:t xml:space="preserve">Blindside 1: The Learning Loop Is Not Live Yet</w:t>
      </w:r>
    </w:p>
    <w:p>
      <w:pPr>
        <w:spacing w:after="80" w:before="80"/>
      </w:pPr>
      <w:r>
        <w:rPr>
          <w:rFonts w:ascii="Arial" w:cs="Arial" w:eastAsia="Arial" w:hAnsi="Arial"/>
          <w:color w:val="1C2B3A"/>
          <w:sz w:val="22"/>
          <w:szCs w:val="22"/>
        </w:rPr>
        <w:t xml:space="preserve">The single biggest risk. The signals in /api/matrix are hardcoded static strings. The prediction scoring formula has no historical component. Until real campaign data is being fed back dynamically into prediction recalibration, the moat is a marketing claim, not a technical reality.</w:t>
      </w:r>
    </w:p>
    <w:p>
      <w:pPr>
        <w:pStyle w:val="ListParagraph"/>
        <w:numPr>
          <w:ilvl w:val="0"/>
          <w:numId w:val="2"/>
        </w:numPr>
        <w:spacing w:after="60" w:before="60"/>
      </w:pPr>
      <w:r>
        <w:rPr>
          <w:rFonts w:ascii="Arial" w:cs="Arial" w:eastAsia="Arial" w:hAnsi="Arial"/>
          <w:color w:val="1C2B3A"/>
          <w:sz w:val="22"/>
          <w:szCs w:val="22"/>
        </w:rPr>
        <w:t xml:space="preserve">Fix: Implement the history boost in scorePrediction() using avg actual_conversion delta from last 5 campaigns in the same niche/level/framework segment</w:t>
      </w:r>
    </w:p>
    <w:p>
      <w:pPr>
        <w:pStyle w:val="ListParagraph"/>
        <w:numPr>
          <w:ilvl w:val="0"/>
          <w:numId w:val="2"/>
        </w:numPr>
        <w:spacing w:after="60" w:before="60"/>
      </w:pPr>
      <w:r>
        <w:rPr>
          <w:rFonts w:ascii="Arial" w:cs="Arial" w:eastAsia="Arial" w:hAnsi="Arial"/>
          <w:color w:val="1C2B3A"/>
          <w:sz w:val="22"/>
          <w:szCs w:val="22"/>
        </w:rPr>
        <w:t xml:space="preserve">Timeline to fix: 4-6 hours of development</w:t>
      </w:r>
    </w:p>
    <w:p>
      <w:pPr>
        <w:pStyle w:val="ListParagraph"/>
        <w:numPr>
          <w:ilvl w:val="0"/>
          <w:numId w:val="2"/>
        </w:numPr>
        <w:spacing w:after="60" w:before="60"/>
      </w:pPr>
      <w:r>
        <w:rPr>
          <w:rFonts w:ascii="Arial" w:cs="Arial" w:eastAsia="Arial" w:hAnsi="Arial"/>
          <w:color w:val="1C2B3A"/>
          <w:sz w:val="22"/>
          <w:szCs w:val="22"/>
        </w:rPr>
        <w:t xml:space="preserve">Impact if unfixed: Any sophisticated user or investor who inspects the code sees the learning loop is not real</w:t>
      </w:r>
    </w:p>
    <w:p>
      <w:pPr>
        <w:spacing w:after="80" w:before="80"/>
      </w:pPr>
      <w:r>
        <w:t xml:space="preserve"/>
      </w:r>
    </w:p>
    <w:p>
      <w:pPr>
        <w:pStyle w:val="Heading2"/>
        <w:spacing w:after="120" w:before="280"/>
      </w:pPr>
      <w:r>
        <w:rPr>
          <w:rFonts w:ascii="Arial" w:cs="Arial" w:eastAsia="Arial" w:hAnsi="Arial"/>
          <w:b/>
          <w:bCs/>
          <w:color w:val="0D1F3C"/>
          <w:sz w:val="28"/>
          <w:szCs w:val="28"/>
        </w:rPr>
        <w:t xml:space="preserve">Blindside 2: Zero Monetization Infrastructure</w:t>
      </w:r>
    </w:p>
    <w:p>
      <w:pPr>
        <w:spacing w:after="80" w:before="80"/>
      </w:pPr>
      <w:r>
        <w:rPr>
          <w:rFonts w:ascii="Arial" w:cs="Arial" w:eastAsia="Arial" w:hAnsi="Arial"/>
          <w:color w:val="1C2B3A"/>
          <w:sz w:val="22"/>
          <w:szCs w:val="22"/>
        </w:rPr>
        <w:t xml:space="preserve">There is no pricing page, no Stripe integration, no subscription tier logic, no trial vs paid gating. A product with no monetization path is a prototype, not a business. This is the fastest path from $0 to revenue and it is completely absent.</w:t>
      </w:r>
    </w:p>
    <w:p>
      <w:pPr>
        <w:pStyle w:val="ListParagraph"/>
        <w:numPr>
          <w:ilvl w:val="0"/>
          <w:numId w:val="2"/>
        </w:numPr>
        <w:spacing w:after="60" w:before="60"/>
      </w:pPr>
      <w:r>
        <w:rPr>
          <w:rFonts w:ascii="Arial" w:cs="Arial" w:eastAsia="Arial" w:hAnsi="Arial"/>
          <w:color w:val="1C2B3A"/>
          <w:sz w:val="22"/>
          <w:szCs w:val="22"/>
        </w:rPr>
        <w:t xml:space="preserve">Fix: Add Stripe subscription integration with 3 tiers: Solo ($49/mo, 1 user), Agency ($149/mo, up to 10 users), White Label ($499/mo, unlimited)</w:t>
      </w:r>
    </w:p>
    <w:p>
      <w:pPr>
        <w:pStyle w:val="ListParagraph"/>
        <w:numPr>
          <w:ilvl w:val="0"/>
          <w:numId w:val="2"/>
        </w:numPr>
        <w:spacing w:after="60" w:before="60"/>
      </w:pPr>
      <w:r>
        <w:rPr>
          <w:rFonts w:ascii="Arial" w:cs="Arial" w:eastAsia="Arial" w:hAnsi="Arial"/>
          <w:color w:val="1C2B3A"/>
          <w:sz w:val="22"/>
          <w:szCs w:val="22"/>
        </w:rPr>
        <w:t xml:space="preserve">Timeline to fix: 8-12 hours of development</w:t>
      </w:r>
    </w:p>
    <w:p>
      <w:pPr>
        <w:pStyle w:val="ListParagraph"/>
        <w:numPr>
          <w:ilvl w:val="0"/>
          <w:numId w:val="2"/>
        </w:numPr>
        <w:spacing w:after="60" w:before="60"/>
      </w:pPr>
      <w:r>
        <w:rPr>
          <w:rFonts w:ascii="Arial" w:cs="Arial" w:eastAsia="Arial" w:hAnsi="Arial"/>
          <w:color w:val="1C2B3A"/>
          <w:sz w:val="22"/>
          <w:szCs w:val="22"/>
        </w:rPr>
        <w:t xml:space="preserve">Impact if unfixed: Cannot raise money, cannot sell the business, cannot validate PMF with paying customers</w:t>
      </w:r>
    </w:p>
    <w:p>
      <w:pPr>
        <w:spacing w:after="80" w:before="80"/>
      </w:pPr>
      <w:r>
        <w:t xml:space="preserve"/>
      </w:r>
    </w:p>
    <w:p>
      <w:pPr>
        <w:pStyle w:val="Heading2"/>
        <w:spacing w:after="120" w:before="280"/>
      </w:pPr>
      <w:r>
        <w:rPr>
          <w:rFonts w:ascii="Arial" w:cs="Arial" w:eastAsia="Arial" w:hAnsi="Arial"/>
          <w:b/>
          <w:bCs/>
          <w:color w:val="0D1F3C"/>
          <w:sz w:val="28"/>
          <w:szCs w:val="28"/>
        </w:rPr>
        <w:t xml:space="preserve">Blindside 3: No Product-Led Growth Motion</w:t>
      </w:r>
    </w:p>
    <w:p>
      <w:pPr>
        <w:spacing w:after="80" w:before="80"/>
      </w:pPr>
      <w:r>
        <w:rPr>
          <w:rFonts w:ascii="Arial" w:cs="Arial" w:eastAsia="Arial" w:hAnsi="Arial"/>
          <w:color w:val="1C2B3A"/>
          <w:sz w:val="22"/>
          <w:szCs w:val="22"/>
        </w:rPr>
        <w:t xml:space="preserve">Apollo, Lemlist, and Instantly all have free tiers or generous trials that drive organic user acquisition. SignalIQ has no free tier, no trial, no referral system, no viral feature. Every user must be actively sold.</w:t>
      </w:r>
    </w:p>
    <w:p>
      <w:pPr>
        <w:pStyle w:val="ListParagraph"/>
        <w:numPr>
          <w:ilvl w:val="0"/>
          <w:numId w:val="2"/>
        </w:numPr>
        <w:spacing w:after="60" w:before="60"/>
      </w:pPr>
      <w:r>
        <w:rPr>
          <w:rFonts w:ascii="Arial" w:cs="Arial" w:eastAsia="Arial" w:hAnsi="Arial"/>
          <w:color w:val="1C2B3A"/>
          <w:sz w:val="22"/>
          <w:szCs w:val="22"/>
        </w:rPr>
        <w:t xml:space="preserve">Fix: Add a free tier (up to 50 contacts, 3 campaigns/mo, unlimited learning signal view)</w:t>
      </w:r>
    </w:p>
    <w:p>
      <w:pPr>
        <w:pStyle w:val="ListParagraph"/>
        <w:numPr>
          <w:ilvl w:val="0"/>
          <w:numId w:val="2"/>
        </w:numPr>
        <w:spacing w:after="60" w:before="60"/>
      </w:pPr>
      <w:r>
        <w:rPr>
          <w:rFonts w:ascii="Arial" w:cs="Arial" w:eastAsia="Arial" w:hAnsi="Arial"/>
          <w:color w:val="1C2B3A"/>
          <w:sz w:val="22"/>
          <w:szCs w:val="22"/>
        </w:rPr>
        <w:t xml:space="preserve">Add: referral system — invite a teammate, unlock an extra 50 contacts/month</w:t>
      </w:r>
    </w:p>
    <w:p>
      <w:pPr>
        <w:pStyle w:val="ListParagraph"/>
        <w:numPr>
          <w:ilvl w:val="0"/>
          <w:numId w:val="2"/>
        </w:numPr>
        <w:spacing w:after="60" w:before="60"/>
      </w:pPr>
      <w:r>
        <w:rPr>
          <w:rFonts w:ascii="Arial" w:cs="Arial" w:eastAsia="Arial" w:hAnsi="Arial"/>
          <w:color w:val="1C2B3A"/>
          <w:sz w:val="22"/>
          <w:szCs w:val="22"/>
        </w:rPr>
        <w:t xml:space="preserve">Add: shareable insight cards — "My SignalIQ predicted 6.2% conversion and hit 5.8% — see my Outreach OS"</w:t>
      </w:r>
    </w:p>
    <w:p>
      <w:pPr>
        <w:pStyle w:val="ListParagraph"/>
        <w:numPr>
          <w:ilvl w:val="0"/>
          <w:numId w:val="2"/>
        </w:numPr>
        <w:spacing w:after="60" w:before="60"/>
      </w:pPr>
      <w:r>
        <w:rPr>
          <w:rFonts w:ascii="Arial" w:cs="Arial" w:eastAsia="Arial" w:hAnsi="Arial"/>
          <w:color w:val="1C2B3A"/>
          <w:sz w:val="22"/>
          <w:szCs w:val="22"/>
        </w:rPr>
        <w:t xml:space="preserve">Timeline to fix: 1-2 weeks</w:t>
      </w:r>
    </w:p>
    <w:p>
      <w:pPr>
        <w:spacing w:after="80" w:before="80"/>
      </w:pPr>
      <w:r>
        <w:t xml:space="preserve"/>
      </w:r>
    </w:p>
    <w:p>
      <w:pPr>
        <w:pStyle w:val="Heading2"/>
        <w:spacing w:after="120" w:before="280"/>
      </w:pPr>
      <w:r>
        <w:rPr>
          <w:rFonts w:ascii="Arial" w:cs="Arial" w:eastAsia="Arial" w:hAnsi="Arial"/>
          <w:b/>
          <w:bCs/>
          <w:color w:val="0D1F3C"/>
          <w:sz w:val="28"/>
          <w:szCs w:val="28"/>
        </w:rPr>
        <w:t xml:space="preserve">Blindside 4: SQLite Will Hit a Wall</w:t>
      </w:r>
    </w:p>
    <w:p>
      <w:pPr>
        <w:spacing w:after="80" w:before="80"/>
      </w:pPr>
      <w:r>
        <w:rPr>
          <w:rFonts w:ascii="Arial" w:cs="Arial" w:eastAsia="Arial" w:hAnsi="Arial"/>
          <w:color w:val="1C2B3A"/>
          <w:sz w:val="22"/>
          <w:szCs w:val="22"/>
        </w:rPr>
        <w:t xml:space="preserve">SQLite is fine for development and early-stage (sub-1000 users). But concurrent write limitations and lack of replication will become a problem at scale. This is not urgent — but it must be planned for.</w:t>
      </w:r>
    </w:p>
    <w:p>
      <w:pPr>
        <w:pStyle w:val="ListParagraph"/>
        <w:numPr>
          <w:ilvl w:val="0"/>
          <w:numId w:val="2"/>
        </w:numPr>
        <w:spacing w:after="60" w:before="60"/>
      </w:pPr>
      <w:r>
        <w:rPr>
          <w:rFonts w:ascii="Arial" w:cs="Arial" w:eastAsia="Arial" w:hAnsi="Arial"/>
          <w:color w:val="1C2B3A"/>
          <w:sz w:val="22"/>
          <w:szCs w:val="22"/>
        </w:rPr>
        <w:t xml:space="preserve">Near-term (acceptable): Keep SQLite through first 500 paying users</w:t>
      </w:r>
    </w:p>
    <w:p>
      <w:pPr>
        <w:pStyle w:val="ListParagraph"/>
        <w:numPr>
          <w:ilvl w:val="0"/>
          <w:numId w:val="2"/>
        </w:numPr>
        <w:spacing w:after="60" w:before="60"/>
      </w:pPr>
      <w:r>
        <w:rPr>
          <w:rFonts w:ascii="Arial" w:cs="Arial" w:eastAsia="Arial" w:hAnsi="Arial"/>
          <w:color w:val="1C2B3A"/>
          <w:sz w:val="22"/>
          <w:szCs w:val="22"/>
        </w:rPr>
        <w:t xml:space="preserve">Medium-term: Migrate to PostgreSQL (Supabase or Railway) — schema is already clean and portable</w:t>
      </w:r>
    </w:p>
    <w:p>
      <w:pPr>
        <w:pStyle w:val="ListParagraph"/>
        <w:numPr>
          <w:ilvl w:val="0"/>
          <w:numId w:val="2"/>
        </w:numPr>
        <w:spacing w:after="60" w:before="60"/>
      </w:pPr>
      <w:r>
        <w:rPr>
          <w:rFonts w:ascii="Arial" w:cs="Arial" w:eastAsia="Arial" w:hAnsi="Arial"/>
          <w:color w:val="1C2B3A"/>
          <w:sz w:val="22"/>
          <w:szCs w:val="22"/>
        </w:rPr>
        <w:t xml:space="preserve">Long-term: Add read replicas for analytics queries (conversion matrix, KPI dashboard) to isolate from write path</w:t>
      </w:r>
    </w:p>
    <w:p>
      <w:pPr>
        <w:spacing w:after="80" w:before="80"/>
      </w:pPr>
      <w:r>
        <w:t xml:space="preserve"/>
      </w:r>
    </w:p>
    <w:p>
      <w:pPr>
        <w:pStyle w:val="Heading2"/>
        <w:spacing w:after="120" w:before="280"/>
      </w:pPr>
      <w:r>
        <w:rPr>
          <w:rFonts w:ascii="Arial" w:cs="Arial" w:eastAsia="Arial" w:hAnsi="Arial"/>
          <w:b/>
          <w:bCs/>
          <w:color w:val="0D1F3C"/>
          <w:sz w:val="28"/>
          <w:szCs w:val="28"/>
        </w:rPr>
        <w:t xml:space="preserve">Blindside 5: No ICP (Ideal Customer Profile) Definition</w:t>
      </w:r>
    </w:p>
    <w:p>
      <w:pPr>
        <w:spacing w:after="80" w:before="80"/>
      </w:pPr>
      <w:r>
        <w:rPr>
          <w:rFonts w:ascii="Arial" w:cs="Arial" w:eastAsia="Arial" w:hAnsi="Arial"/>
          <w:color w:val="1C2B3A"/>
          <w:sz w:val="22"/>
          <w:szCs w:val="22"/>
        </w:rPr>
        <w:t xml:space="preserve">The blueprint mentions agencies, SaaS companies, and a 30-agent training model. But there is no crisp ICP. Is this for solo outreach operators? Agency owners running 10-person teams? Enterprise sales teams? The product can serve all three but cannot market to all three simultaneously.</w:t>
      </w:r>
    </w:p>
    <w:p>
      <w:pPr>
        <w:pStyle w:val="ListParagraph"/>
        <w:numPr>
          <w:ilvl w:val="0"/>
          <w:numId w:val="2"/>
        </w:numPr>
        <w:spacing w:after="60" w:before="60"/>
      </w:pPr>
      <w:r>
        <w:rPr>
          <w:rFonts w:ascii="Arial" w:cs="Arial" w:eastAsia="Arial" w:hAnsi="Arial"/>
          <w:color w:val="1C2B3A"/>
          <w:sz w:val="22"/>
          <w:szCs w:val="22"/>
        </w:rPr>
        <w:t xml:space="preserve">Recommended ICP: Outreach-focused agencies with 3-15 person teams running 20+ campaigns/month</w:t>
      </w:r>
    </w:p>
    <w:p>
      <w:pPr>
        <w:pStyle w:val="ListParagraph"/>
        <w:numPr>
          <w:ilvl w:val="0"/>
          <w:numId w:val="2"/>
        </w:numPr>
        <w:spacing w:after="60" w:before="60"/>
      </w:pPr>
      <w:r>
        <w:rPr>
          <w:rFonts w:ascii="Arial" w:cs="Arial" w:eastAsia="Arial" w:hAnsi="Arial"/>
          <w:color w:val="1C2B3A"/>
          <w:sz w:val="22"/>
          <w:szCs w:val="22"/>
        </w:rPr>
        <w:t xml:space="preserve">Reason: They feel the QA/SOP/compliance pain most acutely, have budget for $149-499/mo, and the pod structure maps perfectly to their org</w:t>
      </w:r>
    </w:p>
    <w:p>
      <w:pPr>
        <w:pStyle w:val="ListParagraph"/>
        <w:numPr>
          <w:ilvl w:val="0"/>
          <w:numId w:val="2"/>
        </w:numPr>
        <w:spacing w:after="60" w:before="60"/>
      </w:pPr>
      <w:r>
        <w:rPr>
          <w:rFonts w:ascii="Arial" w:cs="Arial" w:eastAsia="Arial" w:hAnsi="Arial"/>
          <w:color w:val="1C2B3A"/>
          <w:sz w:val="22"/>
          <w:szCs w:val="22"/>
        </w:rPr>
        <w:t xml:space="preserve">Secondary ICP: Solo SaaS founders doing founder-led outreach who want prediction intelligence without guesswork</w:t>
      </w:r>
    </w:p>
    <w:p>
      <w:pPr>
        <w:spacing w:after="80" w:before="80"/>
      </w:pPr>
      <w:r>
        <w:t xml:space="preserve"/>
      </w:r>
    </w:p>
    <w:p>
      <w:pPr>
        <w:pStyle w:val="Heading2"/>
        <w:spacing w:after="120" w:before="280"/>
      </w:pPr>
      <w:r>
        <w:rPr>
          <w:rFonts w:ascii="Arial" w:cs="Arial" w:eastAsia="Arial" w:hAnsi="Arial"/>
          <w:b/>
          <w:bCs/>
          <w:color w:val="0D1F3C"/>
          <w:sz w:val="28"/>
          <w:szCs w:val="28"/>
        </w:rPr>
        <w:t xml:space="preserve">Blindside 6: The Data Network Effect Is Trapped Per-User</w:t>
      </w:r>
    </w:p>
    <w:p>
      <w:pPr>
        <w:spacing w:after="80" w:before="80"/>
      </w:pPr>
      <w:r>
        <w:rPr>
          <w:rFonts w:ascii="Arial" w:cs="Arial" w:eastAsia="Arial" w:hAnsi="Arial"/>
          <w:color w:val="1C2B3A"/>
          <w:sz w:val="22"/>
          <w:szCs w:val="22"/>
        </w:rPr>
        <w:t xml:space="preserve">The learning registry is per-user today. But the real power of the Conversion Intelligence Loop is cross-user signal aggregation: "Across 500 campaigns in SaaS/Mid-Market, PAS outperforms AIDA by 18% with 94% confidence." That is a defensible moat. Siloed per-user data is not.</w:t>
      </w:r>
    </w:p>
    <w:p>
      <w:pPr>
        <w:pStyle w:val="ListParagraph"/>
        <w:numPr>
          <w:ilvl w:val="0"/>
          <w:numId w:val="2"/>
        </w:numPr>
        <w:spacing w:after="60" w:before="60"/>
      </w:pPr>
      <w:r>
        <w:rPr>
          <w:rFonts w:ascii="Arial" w:cs="Arial" w:eastAsia="Arial" w:hAnsi="Arial"/>
          <w:color w:val="1C2B3A"/>
          <w:sz w:val="22"/>
          <w:szCs w:val="22"/>
        </w:rPr>
        <w:t xml:space="preserve">Fix: Add opt-in aggregate signal sharing — "Share anonymized performance data to improve the Global Intelligence Index"</w:t>
      </w:r>
    </w:p>
    <w:p>
      <w:pPr>
        <w:pStyle w:val="ListParagraph"/>
        <w:numPr>
          <w:ilvl w:val="0"/>
          <w:numId w:val="2"/>
        </w:numPr>
        <w:spacing w:after="60" w:before="60"/>
      </w:pPr>
      <w:r>
        <w:rPr>
          <w:rFonts w:ascii="Arial" w:cs="Arial" w:eastAsia="Arial" w:hAnsi="Arial"/>
          <w:color w:val="1C2B3A"/>
          <w:sz w:val="22"/>
          <w:szCs w:val="22"/>
        </w:rPr>
        <w:t xml:space="preserve">Build: Industry Benchmarks page — "How does your conversion rate compare to the top 10% in your niche?"</w:t>
      </w:r>
    </w:p>
    <w:p>
      <w:pPr>
        <w:pStyle w:val="ListParagraph"/>
        <w:numPr>
          <w:ilvl w:val="0"/>
          <w:numId w:val="2"/>
        </w:numPr>
        <w:spacing w:after="60" w:before="60"/>
      </w:pPr>
      <w:r>
        <w:rPr>
          <w:rFonts w:ascii="Arial" w:cs="Arial" w:eastAsia="Arial" w:hAnsi="Arial"/>
          <w:color w:val="1C2B3A"/>
          <w:sz w:val="22"/>
          <w:szCs w:val="22"/>
        </w:rPr>
        <w:t xml:space="preserve">This becomes the data flywheel: more users → more signals → better predictions → more users</w:t>
      </w:r>
    </w:p>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D1F3C"/>
          <w:sz w:val="36"/>
          <w:szCs w:val="36"/>
        </w:rPr>
        <w:t xml:space="preserve">Financial Model &amp; Valuation Scenarios</w:t>
      </w:r>
    </w:p>
    <w:p>
      <w:pPr>
        <w:pStyle w:val="Heading2"/>
        <w:spacing w:after="120" w:before="280"/>
      </w:pPr>
      <w:r>
        <w:rPr>
          <w:rFonts w:ascii="Arial" w:cs="Arial" w:eastAsia="Arial" w:hAnsi="Arial"/>
          <w:b/>
          <w:bCs/>
          <w:color w:val="0D1F3C"/>
          <w:sz w:val="28"/>
          <w:szCs w:val="28"/>
        </w:rPr>
        <w:t xml:space="preserve">Revenue Model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2160"/>
        <w:gridCol w:w="1920"/>
      </w:tblGrid>
      <w:tr>
        <w:tc>
          <w:tcPr>
            <w:tcW w:type="dxa" w:w="312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Tier</w:t>
            </w:r>
          </w:p>
        </w:tc>
        <w:tc>
          <w:tcPr>
            <w:tcW w:type="dxa" w:w="21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Price/mo</w:t>
            </w:r>
          </w:p>
        </w:tc>
        <w:tc>
          <w:tcPr>
            <w:tcW w:type="dxa" w:w="21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Target Segment</w:t>
            </w:r>
          </w:p>
        </w:tc>
        <w:tc>
          <w:tcPr>
            <w:tcW w:type="dxa" w:w="192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Key Limits</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Solo (Free)</w:t>
            </w:r>
          </w:p>
        </w:tc>
        <w:tc>
          <w:tcPr>
            <w:tcW w:type="dxa" w:w="2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$0</w:t>
            </w:r>
          </w:p>
        </w:tc>
        <w:tc>
          <w:tcPr>
            <w:tcW w:type="dxa" w:w="2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Individual, validation</w:t>
            </w:r>
          </w:p>
        </w:tc>
        <w:tc>
          <w:tcPr>
            <w:tcW w:type="dxa" w:w="19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50 contacts, 3 campaigns/mo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Solo Pro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$49/mo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Individual operators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Unlimited contacts, 20 campaigns/mo</w:t>
            </w:r>
          </w:p>
        </w:tc>
      </w:tr>
      <w:tr>
        <w:tc>
          <w:tcPr>
            <w:tcW w:type="dxa" w:w="31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Agency</w:t>
            </w:r>
          </w:p>
        </w:tc>
        <w:tc>
          <w:tcPr>
            <w:tcW w:type="dxa" w:w="2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$149/mo</w:t>
            </w:r>
          </w:p>
        </w:tc>
        <w:tc>
          <w:tcPr>
            <w:tcW w:type="dxa" w:w="21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Teams of 3-15</w:t>
            </w:r>
          </w:p>
        </w:tc>
        <w:tc>
          <w:tcPr>
            <w:tcW w:type="dxa" w:w="192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Up to 10 users, unlimited campaigns, team analytics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White Label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$499/mo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Agencies reselling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Unlimited users, custom branding, API access, SLA</w:t>
            </w:r>
          </w:p>
        </w:tc>
      </w:tr>
    </w:tbl>
    <w:p>
      <w:pPr>
        <w:spacing w:after="80" w:before="80"/>
      </w:pPr>
      <w:r>
        <w:t xml:space="preserve"/>
      </w:r>
    </w:p>
    <w:p>
      <w:pPr>
        <w:pStyle w:val="Heading2"/>
        <w:spacing w:after="120" w:before="280"/>
      </w:pPr>
      <w:r>
        <w:rPr>
          <w:rFonts w:ascii="Arial" w:cs="Arial" w:eastAsia="Arial" w:hAnsi="Arial"/>
          <w:b/>
          <w:bCs/>
          <w:color w:val="0D1F3C"/>
          <w:sz w:val="28"/>
          <w:szCs w:val="28"/>
        </w:rPr>
        <w:t xml:space="preserve">Valuation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Scenario</w:t>
            </w:r>
          </w:p>
        </w:tc>
        <w:tc>
          <w:tcPr>
            <w:tcW w:type="dxa" w:w="20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MRR</w:t>
            </w:r>
          </w:p>
        </w:tc>
        <w:tc>
          <w:tcPr>
            <w:tcW w:type="dxa" w:w="20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Multiple</w:t>
            </w:r>
          </w:p>
        </w:tc>
        <w:tc>
          <w:tcPr>
            <w:tcW w:type="dxa" w:w="25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r>
              <w:rPr>
                <w:rFonts w:ascii="Arial" w:cs="Arial" w:eastAsia="Arial" w:hAnsi="Arial"/>
                <w:b/>
                <w:bCs/>
                <w:color w:val="FFFFFF"/>
                <w:sz w:val="21"/>
                <w:szCs w:val="21"/>
              </w:rPr>
              <w:t xml:space="preserve">Valuation</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MVP Sale (today)</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$0</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Asset value</w:t>
            </w:r>
          </w:p>
        </w:tc>
        <w:tc>
          <w:tcPr>
            <w:tcW w:type="dxa" w:w="2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$5K–$15K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Early Traction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$2K MRR (~15 paying)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10x ARR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$240K</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PMF Validated</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$10K MRR (~70 paying)</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15x ARR</w:t>
            </w:r>
          </w:p>
        </w:tc>
        <w:tc>
          <w:tcPr>
            <w:tcW w:type="dxa" w:w="2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$1.8M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Growth Stage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$50K MRR (~300 paying)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20x ARR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B3A"/>
                <w:sz w:val="21"/>
                <w:szCs w:val="21"/>
              </w:rPr>
              <w:t xml:space="preserve">$12M</w:t>
            </w:r>
          </w:p>
        </w:tc>
      </w:tr>
      <w:tr>
        <w:tc>
          <w:tcPr>
            <w:tcW w:type="dxa" w:w="28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Scale</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$200K MRR (~1,200 paying)</w:t>
            </w:r>
          </w:p>
        </w:tc>
        <w:tc>
          <w:tcPr>
            <w:tcW w:type="dxa" w:w="200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25x ARR</w:t>
            </w:r>
          </w:p>
        </w:tc>
        <w:tc>
          <w:tcPr>
            <w:tcW w:type="dxa" w:w="2560"/>
            <w:tcBorders>
              <w:top w:val="single" w:color="CCCCCC" w:sz="1"/>
              <w:left w:val="single" w:color="CCCCCC" w:sz="1"/>
              <w:bottom w:val="single" w:color="CCCCCC" w:sz="1"/>
              <w:right w:val="single" w:color="CCCCCC" w:sz="1"/>
            </w:tcBorders>
            <w:shd w:fill="F4F8FF" w:val="clear"/>
            <w:tcMar>
              <w:top w:type="dxa" w:w="80"/>
              <w:left w:type="dxa" w:w="120"/>
              <w:bottom w:type="dxa" w:w="80"/>
              <w:right w:type="dxa" w:w="120"/>
            </w:tcMar>
          </w:tcPr>
          <w:p>
            <w:r>
              <w:rPr>
                <w:rFonts w:ascii="Arial" w:cs="Arial" w:eastAsia="Arial" w:hAnsi="Arial"/>
                <w:color w:val="1C2B3A"/>
                <w:sz w:val="21"/>
                <w:szCs w:val="21"/>
              </w:rPr>
              <w:t xml:space="preserve">$60M</w:t>
            </w:r>
          </w:p>
        </w:tc>
      </w:tr>
    </w:tbl>
    <w:p>
      <w:pPr>
        <w:pBdr>
          <w:bottom w:val="single" w:color="24D3A7" w:sz="4" w:space="1"/>
        </w:pBdr>
        <w:spacing w:after="160" w:before="160"/>
      </w:pPr>
      <w:r>
        <w:t xml:space="preserve"/>
      </w:r>
    </w:p>
    <w:p>
      <w:r>
        <w:br w:type="page"/>
      </w:r>
    </w:p>
    <w:p>
      <w:pPr>
        <w:pStyle w:val="Heading1"/>
        <w:spacing w:after="160" w:before="360"/>
      </w:pPr>
      <w:r>
        <w:rPr>
          <w:rFonts w:ascii="Arial" w:cs="Arial" w:eastAsia="Arial" w:hAnsi="Arial"/>
          <w:b/>
          <w:bCs/>
          <w:color w:val="0D1F3C"/>
          <w:sz w:val="36"/>
          <w:szCs w:val="36"/>
        </w:rPr>
        <w:t xml:space="preserve">90-Day MBA Action Plan</w:t>
      </w:r>
    </w:p>
    <w:p>
      <w:pPr>
        <w:pStyle w:val="Heading2"/>
        <w:spacing w:after="120" w:before="280"/>
      </w:pPr>
      <w:r>
        <w:rPr>
          <w:rFonts w:ascii="Arial" w:cs="Arial" w:eastAsia="Arial" w:hAnsi="Arial"/>
          <w:b/>
          <w:bCs/>
          <w:color w:val="0D1F3C"/>
          <w:sz w:val="28"/>
          <w:szCs w:val="28"/>
        </w:rPr>
        <w:t xml:space="preserve">Days 1–30: Activate the Moat</w:t>
      </w:r>
    </w:p>
    <w:p>
      <w:pPr>
        <w:pStyle w:val="ListParagraph"/>
        <w:numPr>
          <w:ilvl w:val="0"/>
          <w:numId w:val="2"/>
        </w:numPr>
        <w:spacing w:after="60" w:before="60"/>
      </w:pPr>
      <w:r>
        <w:rPr>
          <w:rFonts w:ascii="Arial" w:cs="Arial" w:eastAsia="Arial" w:hAnsi="Arial"/>
          <w:color w:val="1C2B3A"/>
          <w:sz w:val="22"/>
          <w:szCs w:val="22"/>
        </w:rPr>
        <w:t xml:space="preserve">Implement dynamic signal extraction — wire actual campaign data into learning signals automatically</w:t>
      </w:r>
    </w:p>
    <w:p>
      <w:pPr>
        <w:pStyle w:val="ListParagraph"/>
        <w:numPr>
          <w:ilvl w:val="0"/>
          <w:numId w:val="2"/>
        </w:numPr>
        <w:spacing w:after="60" w:before="60"/>
      </w:pPr>
      <w:r>
        <w:rPr>
          <w:rFonts w:ascii="Arial" w:cs="Arial" w:eastAsia="Arial" w:hAnsi="Arial"/>
          <w:color w:val="1C2B3A"/>
          <w:sz w:val="22"/>
          <w:szCs w:val="22"/>
        </w:rPr>
        <w:t xml:space="preserve">Build Stripe subscription infrastructure with 3 tiers (Free / Pro / Agency)</w:t>
      </w:r>
    </w:p>
    <w:p>
      <w:pPr>
        <w:pStyle w:val="ListParagraph"/>
        <w:numPr>
          <w:ilvl w:val="0"/>
          <w:numId w:val="2"/>
        </w:numPr>
        <w:spacing w:after="60" w:before="60"/>
      </w:pPr>
      <w:r>
        <w:rPr>
          <w:rFonts w:ascii="Arial" w:cs="Arial" w:eastAsia="Arial" w:hAnsi="Arial"/>
          <w:color w:val="1C2B3A"/>
          <w:sz w:val="22"/>
          <w:szCs w:val="22"/>
        </w:rPr>
        <w:t xml:space="preserve">Ship the 10 elite skills from the Master Bible (10-agent sprint)</w:t>
      </w:r>
    </w:p>
    <w:p>
      <w:pPr>
        <w:pStyle w:val="ListParagraph"/>
        <w:numPr>
          <w:ilvl w:val="0"/>
          <w:numId w:val="2"/>
        </w:numPr>
        <w:spacing w:after="60" w:before="60"/>
      </w:pPr>
      <w:r>
        <w:rPr>
          <w:rFonts w:ascii="Arial" w:cs="Arial" w:eastAsia="Arial" w:hAnsi="Arial"/>
          <w:color w:val="1C2B3A"/>
          <w:sz w:val="22"/>
          <w:szCs w:val="22"/>
        </w:rPr>
        <w:t xml:space="preserve">Add mobile responsive layout and onboarding flow</w:t>
      </w:r>
    </w:p>
    <w:p>
      <w:pPr>
        <w:pStyle w:val="ListParagraph"/>
        <w:numPr>
          <w:ilvl w:val="0"/>
          <w:numId w:val="2"/>
        </w:numPr>
        <w:spacing w:after="60" w:before="60"/>
      </w:pPr>
      <w:r>
        <w:rPr>
          <w:rFonts w:ascii="Arial" w:cs="Arial" w:eastAsia="Arial" w:hAnsi="Arial"/>
          <w:color w:val="1C2B3A"/>
          <w:sz w:val="22"/>
          <w:szCs w:val="22"/>
        </w:rPr>
        <w:t xml:space="preserve">Target: first 5 paying users at $49/mo ($245 MRR) to validate willingness to pay</w:t>
      </w:r>
    </w:p>
    <w:p>
      <w:pPr>
        <w:spacing w:after="80" w:before="80"/>
      </w:pPr>
      <w:r>
        <w:t xml:space="preserve"/>
      </w:r>
    </w:p>
    <w:p>
      <w:pPr>
        <w:pStyle w:val="Heading2"/>
        <w:spacing w:after="120" w:before="280"/>
      </w:pPr>
      <w:r>
        <w:rPr>
          <w:rFonts w:ascii="Arial" w:cs="Arial" w:eastAsia="Arial" w:hAnsi="Arial"/>
          <w:b/>
          <w:bCs/>
          <w:color w:val="0D1F3C"/>
          <w:sz w:val="28"/>
          <w:szCs w:val="28"/>
        </w:rPr>
        <w:t xml:space="preserve">Days 31–60: Find PMF</w:t>
      </w:r>
    </w:p>
    <w:p>
      <w:pPr>
        <w:pStyle w:val="ListParagraph"/>
        <w:numPr>
          <w:ilvl w:val="0"/>
          <w:numId w:val="2"/>
        </w:numPr>
        <w:spacing w:after="60" w:before="60"/>
      </w:pPr>
      <w:r>
        <w:rPr>
          <w:rFonts w:ascii="Arial" w:cs="Arial" w:eastAsia="Arial" w:hAnsi="Arial"/>
          <w:color w:val="1C2B3A"/>
          <w:sz w:val="22"/>
          <w:szCs w:val="22"/>
        </w:rPr>
        <w:t xml:space="preserve">Launch to 50 beta users (outreach agencies and SaaS founders via cold outreach — dogfood the product)</w:t>
      </w:r>
    </w:p>
    <w:p>
      <w:pPr>
        <w:pStyle w:val="ListParagraph"/>
        <w:numPr>
          <w:ilvl w:val="0"/>
          <w:numId w:val="2"/>
        </w:numPr>
        <w:spacing w:after="60" w:before="60"/>
      </w:pPr>
      <w:r>
        <w:rPr>
          <w:rFonts w:ascii="Arial" w:cs="Arial" w:eastAsia="Arial" w:hAnsi="Arial"/>
          <w:color w:val="1C2B3A"/>
          <w:sz w:val="22"/>
          <w:szCs w:val="22"/>
        </w:rPr>
        <w:t xml:space="preserve">Run 3 A/B tests on pricing and onboarding flow</w:t>
      </w:r>
    </w:p>
    <w:p>
      <w:pPr>
        <w:pStyle w:val="ListParagraph"/>
        <w:numPr>
          <w:ilvl w:val="0"/>
          <w:numId w:val="2"/>
        </w:numPr>
        <w:spacing w:after="60" w:before="60"/>
      </w:pPr>
      <w:r>
        <w:rPr>
          <w:rFonts w:ascii="Arial" w:cs="Arial" w:eastAsia="Arial" w:hAnsi="Arial"/>
          <w:color w:val="1C2B3A"/>
          <w:sz w:val="22"/>
          <w:szCs w:val="22"/>
        </w:rPr>
        <w:t xml:space="preserve">Implement opt-in aggregate signal sharing to start building cross-user intelligence</w:t>
      </w:r>
    </w:p>
    <w:p>
      <w:pPr>
        <w:pStyle w:val="ListParagraph"/>
        <w:numPr>
          <w:ilvl w:val="0"/>
          <w:numId w:val="2"/>
        </w:numPr>
        <w:spacing w:after="60" w:before="60"/>
      </w:pPr>
      <w:r>
        <w:rPr>
          <w:rFonts w:ascii="Arial" w:cs="Arial" w:eastAsia="Arial" w:hAnsi="Arial"/>
          <w:color w:val="1C2B3A"/>
          <w:sz w:val="22"/>
          <w:szCs w:val="22"/>
        </w:rPr>
        <w:t xml:space="preserve">Ship copy intelligence scorer and launch wizard — these are the WOW moments in the product</w:t>
      </w:r>
    </w:p>
    <w:p>
      <w:pPr>
        <w:pStyle w:val="ListParagraph"/>
        <w:numPr>
          <w:ilvl w:val="0"/>
          <w:numId w:val="2"/>
        </w:numPr>
        <w:spacing w:after="60" w:before="60"/>
      </w:pPr>
      <w:r>
        <w:rPr>
          <w:rFonts w:ascii="Arial" w:cs="Arial" w:eastAsia="Arial" w:hAnsi="Arial"/>
          <w:color w:val="1C2B3A"/>
          <w:sz w:val="22"/>
          <w:szCs w:val="22"/>
        </w:rPr>
        <w:t xml:space="preserve">Target: 25 paying users, $2K MRR, NPS &gt;= 40</w:t>
      </w:r>
    </w:p>
    <w:p>
      <w:pPr>
        <w:spacing w:after="80" w:before="80"/>
      </w:pPr>
      <w:r>
        <w:t xml:space="preserve"/>
      </w:r>
    </w:p>
    <w:p>
      <w:pPr>
        <w:pStyle w:val="Heading2"/>
        <w:spacing w:after="120" w:before="280"/>
      </w:pPr>
      <w:r>
        <w:rPr>
          <w:rFonts w:ascii="Arial" w:cs="Arial" w:eastAsia="Arial" w:hAnsi="Arial"/>
          <w:b/>
          <w:bCs/>
          <w:color w:val="0D1F3C"/>
          <w:sz w:val="28"/>
          <w:szCs w:val="28"/>
        </w:rPr>
        <w:t xml:space="preserve">Days 61–90: Scale the Signal</w:t>
      </w:r>
    </w:p>
    <w:p>
      <w:pPr>
        <w:pStyle w:val="ListParagraph"/>
        <w:numPr>
          <w:ilvl w:val="0"/>
          <w:numId w:val="2"/>
        </w:numPr>
        <w:spacing w:after="60" w:before="60"/>
      </w:pPr>
      <w:r>
        <w:rPr>
          <w:rFonts w:ascii="Arial" w:cs="Arial" w:eastAsia="Arial" w:hAnsi="Arial"/>
          <w:color w:val="1C2B3A"/>
          <w:sz w:val="22"/>
          <w:szCs w:val="22"/>
        </w:rPr>
        <w:t xml:space="preserve">Implement data network effect: Industry Benchmarks page with anonymized aggregate data</w:t>
      </w:r>
    </w:p>
    <w:p>
      <w:pPr>
        <w:pStyle w:val="ListParagraph"/>
        <w:numPr>
          <w:ilvl w:val="0"/>
          <w:numId w:val="2"/>
        </w:numPr>
        <w:spacing w:after="60" w:before="60"/>
      </w:pPr>
      <w:r>
        <w:rPr>
          <w:rFonts w:ascii="Arial" w:cs="Arial" w:eastAsia="Arial" w:hAnsi="Arial"/>
          <w:color w:val="1C2B3A"/>
          <w:sz w:val="22"/>
          <w:szCs w:val="22"/>
        </w:rPr>
        <w:t xml:space="preserve">Launch Agency tier ($149/mo) with pod grouping, team analytics, and cross-campaign learning</w:t>
      </w:r>
    </w:p>
    <w:p>
      <w:pPr>
        <w:pStyle w:val="ListParagraph"/>
        <w:numPr>
          <w:ilvl w:val="0"/>
          <w:numId w:val="2"/>
        </w:numPr>
        <w:spacing w:after="60" w:before="60"/>
      </w:pPr>
      <w:r>
        <w:rPr>
          <w:rFonts w:ascii="Arial" w:cs="Arial" w:eastAsia="Arial" w:hAnsi="Arial"/>
          <w:color w:val="1C2B3A"/>
          <w:sz w:val="22"/>
          <w:szCs w:val="22"/>
        </w:rPr>
        <w:t xml:space="preserve">Develop white label packaging for reseller channel</w:t>
      </w:r>
    </w:p>
    <w:p>
      <w:pPr>
        <w:pStyle w:val="ListParagraph"/>
        <w:numPr>
          <w:ilvl w:val="0"/>
          <w:numId w:val="2"/>
        </w:numPr>
        <w:spacing w:after="60" w:before="60"/>
      </w:pPr>
      <w:r>
        <w:rPr>
          <w:rFonts w:ascii="Arial" w:cs="Arial" w:eastAsia="Arial" w:hAnsi="Arial"/>
          <w:color w:val="1C2B3A"/>
          <w:sz w:val="22"/>
          <w:szCs w:val="22"/>
        </w:rPr>
        <w:t xml:space="preserve">Write case studies from first 25 customers: before/after conversion metrics</w:t>
      </w:r>
    </w:p>
    <w:p>
      <w:pPr>
        <w:pStyle w:val="ListParagraph"/>
        <w:numPr>
          <w:ilvl w:val="0"/>
          <w:numId w:val="2"/>
        </w:numPr>
        <w:spacing w:after="60" w:before="60"/>
      </w:pPr>
      <w:r>
        <w:rPr>
          <w:rFonts w:ascii="Arial" w:cs="Arial" w:eastAsia="Arial" w:hAnsi="Arial"/>
          <w:color w:val="1C2B3A"/>
          <w:sz w:val="22"/>
          <w:szCs w:val="22"/>
        </w:rPr>
        <w:t xml:space="preserve">Target: 75 paying users, $5K MRR, validated ICP, first enterprise pilot</w:t>
      </w:r>
    </w:p>
    <w:p>
      <w:pPr>
        <w:pBdr>
          <w:bottom w:val="single" w:color="24D3A7" w:sz="4" w:space="1"/>
        </w:pBdr>
        <w:spacing w:after="160" w:before="160"/>
      </w:pPr>
      <w:r>
        <w:t xml:space="preserve"/>
      </w:r>
    </w:p>
    <w:p>
      <w:pPr>
        <w:spacing w:after="160" w:before="160"/>
      </w:pPr>
      <w:r>
        <w:t xml:space="preserve"/>
      </w:r>
    </w:p>
    <w:p>
      <w:pPr>
        <w:pBdr>
          <w:top w:val="single" w:color="C0392B" w:sz="4" w:space="1"/>
        </w:pBdr>
        <w:spacing w:after="240" w:before="240"/>
        <w:jc w:val="center"/>
      </w:pPr>
      <w:r>
        <w:rPr>
          <w:rFonts w:ascii="Arial" w:cs="Arial" w:eastAsia="Arial" w:hAnsi="Arial"/>
          <w:b/>
          <w:bCs/>
          <w:i/>
          <w:iCs/>
          <w:color w:val="C0392B"/>
          <w:sz w:val="26"/>
          <w:szCs w:val="26"/>
        </w:rPr>
        <w:t xml:space="preserve">The moat is real. But a moat only matters if the castle is built inside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right"/>
    </w:pPr>
    <w:r>
      <w:rPr>
        <w:rFonts w:ascii="Arial" w:cs="Arial" w:eastAsia="Arial" w:hAnsi="Arial"/>
        <w:color w:val="8A9BB0"/>
        <w:sz w:val="18"/>
        <w:szCs w:val="18"/>
      </w:rPr>
      <w:t xml:space="preserve">Page </w:t>
    </w:r>
    <w:r>
      <w:rPr>
        <w:rFonts w:ascii="Arial" w:cs="Arial" w:eastAsia="Arial" w:hAnsi="Arial"/>
        <w:color w:val="8A9BB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D3A7" w:sz="4" w:space="1"/>
      </w:pBdr>
    </w:pPr>
    <w:r>
      <w:rPr>
        <w:rFonts w:ascii="Arial" w:cs="Arial" w:eastAsia="Arial" w:hAnsi="Arial"/>
        <w:color w:val="6A80A0"/>
        <w:sz w:val="18"/>
        <w:szCs w:val="18"/>
      </w:rPr>
      <w:t xml:space="preserve">SignalIQ Grid System — MBA Blindside Audit  |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F3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1F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2026-04-07T03:14:05.277Z</dcterms:created>
  <dcterms:modified xsi:type="dcterms:W3CDTF">2026-04-07T03:14:05.277Z</dcterms:modified>
</cp:coreProperties>
</file>

<file path=docProps/custom.xml><?xml version="1.0" encoding="utf-8"?>
<Properties xmlns="http://schemas.openxmlformats.org/officeDocument/2006/custom-properties" xmlns:vt="http://schemas.openxmlformats.org/officeDocument/2006/docPropsVTypes"/>
</file>