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20" w:before="320"/>
      </w:pPr>
      <w:r>
        <w:t xml:space="preserve"/>
      </w:r>
    </w:p>
    <w:p>
      <w:pPr>
        <w:spacing w:after="200" w:before="0"/>
        <w:jc w:val="center"/>
      </w:pPr>
      <w:r>
        <w:rPr>
          <w:rFonts w:ascii="Arial" w:cs="Arial" w:eastAsia="Arial" w:hAnsi="Arial"/>
          <w:b/>
          <w:bCs/>
          <w:caps/>
          <w:color w:val="0F1728"/>
          <w:sz w:val="64"/>
          <w:szCs w:val="64"/>
        </w:rPr>
        <w:t xml:space="preserve">SIGNALIQ GRID SYSTEM</w:t>
      </w:r>
    </w:p>
    <w:p>
      <w:pPr>
        <w:pBdr>
          <w:bottom w:val="single" w:color="24D3A7" w:sz="8" w:space="1"/>
        </w:pBdr>
        <w:spacing w:after="120" w:before="0"/>
        <w:jc w:val="center"/>
      </w:pPr>
      <w:r>
        <w:rPr>
          <w:rFonts w:ascii="Arial" w:cs="Arial" w:eastAsia="Arial" w:hAnsi="Arial"/>
          <w:b/>
          <w:bCs/>
          <w:color w:val="00B7FF"/>
          <w:sz w:val="40"/>
          <w:szCs w:val="40"/>
        </w:rPr>
        <w:t xml:space="preserve">Top 1% Outreach OS — Master Bible</w:t>
      </w:r>
    </w:p>
    <w:p>
      <w:pPr>
        <w:spacing w:after="160" w:before="160"/>
      </w:pPr>
      <w:r>
        <w:t xml:space="preserve"/>
      </w:r>
    </w:p>
    <w:p>
      <w:pPr>
        <w:spacing w:after="80" w:before="0"/>
        <w:jc w:val="center"/>
      </w:pPr>
      <w:r>
        <w:rPr>
          <w:rFonts w:ascii="Arial" w:cs="Arial" w:eastAsia="Arial" w:hAnsi="Arial"/>
          <w:color w:val="3A5070"/>
          <w:sz w:val="28"/>
          <w:szCs w:val="28"/>
        </w:rPr>
        <w:t xml:space="preserve">The Definitive Implementation Guide for 10 Elite Skills</w:t>
      </w:r>
    </w:p>
    <w:p>
      <w:pPr>
        <w:spacing w:after="80" w:before="0"/>
        <w:jc w:val="center"/>
      </w:pPr>
      <w:r>
        <w:rPr>
          <w:rFonts w:ascii="Arial" w:cs="Arial" w:eastAsia="Arial" w:hAnsi="Arial"/>
          <w:i/>
          <w:iCs/>
          <w:color w:val="6A80A0"/>
          <w:sz w:val="22"/>
          <w:szCs w:val="22"/>
        </w:rPr>
        <w:t xml:space="preserve">Compiled from top-tier industry research, competitor analysis, and platform intelligence</w:t>
      </w:r>
    </w:p>
    <w:p>
      <w:pPr>
        <w:spacing w:after="160" w:before="160"/>
      </w:pPr>
      <w:r>
        <w:t xml:space="preserve"/>
      </w:r>
    </w:p>
    <w:p>
      <w:pPr>
        <w:jc w:val="center"/>
      </w:pPr>
      <w:r>
        <w:rPr>
          <w:rFonts w:ascii="Arial" w:cs="Arial" w:eastAsia="Arial" w:hAnsi="Arial"/>
          <w:color w:val="8A9BB0"/>
          <w:sz w:val="20"/>
          <w:szCs w:val="20"/>
        </w:rPr>
        <w:t xml:space="preserve">Version 1.0  |  April 2026  |  Confidential</w:t>
      </w:r>
    </w:p>
    <w:p>
      <w:pPr>
        <w:sectPr>
          <w:pgSz w:w="12240" w:h="15840" w:orient="portrait"/>
          <w:pgMar w:top="1440" w:right="1440" w:bottom="1440" w:left="1440" w:header="708" w:footer="708" w:gutter="0"/>
          <w:pgNumType/>
          <w:docGrid w:linePitch="360"/>
        </w:sectPr>
      </w:pPr>
    </w:p>
    <w:p>
      <w:pPr>
        <w:pStyle w:val="Heading1"/>
        <w:spacing w:after="160" w:before="360"/>
      </w:pPr>
      <w:r>
        <w:rPr>
          <w:rFonts w:ascii="Arial" w:cs="Arial" w:eastAsia="Arial" w:hAnsi="Arial"/>
          <w:b/>
          <w:bCs/>
          <w:color w:val="0F1728"/>
          <w:sz w:val="36"/>
          <w:szCs w:val="36"/>
        </w:rPr>
        <w:t xml:space="preserve">Introduction: The Self-Improving Outreach OS</w:t>
      </w:r>
    </w:p>
    <w:p>
      <w:pPr>
        <w:spacing w:after="80" w:before="80"/>
      </w:pPr>
      <w:r>
        <w:rPr>
          <w:rFonts w:ascii="Arial" w:cs="Arial" w:eastAsia="Arial" w:hAnsi="Arial"/>
          <w:color w:val="1C2B3A"/>
          <w:sz w:val="22"/>
          <w:szCs w:val="22"/>
        </w:rPr>
        <w:t xml:space="preserve">SignalIQ Grid System is not a campaign sender. It is a compounding intelligence platform — an Outreach OS that learns from every campaign send, extracts winning patterns, and auto-improves future predictions. No competitor (Apollo, Lemlist, Instantly, Smartlead) does this. This Bible documents the 10 elite skill modules that define and deliver that advantage.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24D3A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MOAT</w:t>
            </w:r>
          </w:p>
        </w:tc>
        <w:tc>
          <w:tcPr>
            <w:tcW w:type="dxa" w:w="8160"/>
            <w:tcBorders>
              <w:top w:val="single" w:color="CCCCCC" w:sz="1"/>
              <w:left w:val="single" w:color="CCCCCC" w:sz="1"/>
              <w:bottom w:val="single" w:color="CCCCCC" w:sz="1"/>
              <w:right w:val="single" w:color="CCCCCC" w:sz="1"/>
            </w:tcBorders>
            <w:shd w:fill="EAF6FF" w:val="clear"/>
            <w:tcMar>
              <w:top w:type="dxa" w:w="80"/>
              <w:left w:type="dxa" w:w="160"/>
              <w:bottom w:type="dxa" w:w="80"/>
              <w:right w:type="dxa" w:w="120"/>
            </w:tcMar>
          </w:tcPr>
          <w:p>
            <w:r>
              <w:rPr>
                <w:rFonts w:ascii="Arial" w:cs="Arial" w:eastAsia="Arial" w:hAnsi="Arial"/>
                <w:color w:val="1C2B3A"/>
                <w:sz w:val="21"/>
                <w:szCs w:val="21"/>
              </w:rPr>
              <w:t xml:space="preserve">Every campaign executed feeds real open/click/reply/conversion data back into the Conversion Intelligence Loop. Over time the system learns which niche × business level × copywriting framework combinations actually convert at the highest rates — and recalibrates predictions automatically. The system compounds; competitors do not.</w:t>
            </w:r>
          </w:p>
        </w:tc>
      </w:tr>
    </w:tbl>
    <w:p>
      <w:pPr>
        <w:spacing w:after="80" w:before="80"/>
      </w:pPr>
      <w:r>
        <w:t xml:space="preserve"/>
      </w:r>
    </w:p>
    <w:p>
      <w:pPr>
        <w:spacing w:after="80" w:before="80"/>
      </w:pPr>
      <w:r>
        <w:rPr>
          <w:rFonts w:ascii="Arial" w:cs="Arial" w:eastAsia="Arial" w:hAnsi="Arial"/>
          <w:color w:val="1C2B3A"/>
          <w:sz w:val="22"/>
          <w:szCs w:val="22"/>
        </w:rPr>
        <w:t xml:space="preserve">Market context: The cold email software market is projected at $9.0B by 2030 growing at 10.1% CAGR (LinkedIn/OpenPR, 2024). The broader outreach automation market is expanding at 13.5% CAGR through 2033. SignalIQ is positioned as the intelligence layer above commodity senders.</w:t>
      </w:r>
    </w:p>
    <w:p>
      <w:pPr>
        <w:pBdr>
          <w:bottom w:val="single" w:color="24D3A7" w:sz="4" w:space="1"/>
        </w:pBdr>
        <w:spacing w:after="160" w:before="160"/>
      </w:pPr>
      <w:r>
        <w:t xml:space="preserve"/>
      </w:r>
    </w:p>
    <w:p>
      <w:r>
        <w:br w:type="page"/>
      </w:r>
    </w:p>
    <w:p>
      <w:pPr>
        <w:pStyle w:val="Heading1"/>
        <w:spacing w:after="160" w:before="360"/>
      </w:pPr>
      <w:r>
        <w:rPr>
          <w:rFonts w:ascii="Arial" w:cs="Arial" w:eastAsia="Arial" w:hAnsi="Arial"/>
          <w:b/>
          <w:bCs/>
          <w:color w:val="0F1728"/>
          <w:sz w:val="36"/>
          <w:szCs w:val="36"/>
        </w:rPr>
        <w:t xml:space="preserve">Skill 1: Visual KPI Dashboard with Funnel Charts</w:t>
      </w:r>
    </w:p>
    <w:p>
      <w:pPr>
        <w:pStyle w:val="Heading2"/>
        <w:spacing w:after="120" w:before="280"/>
      </w:pPr>
      <w:r>
        <w:rPr>
          <w:rFonts w:ascii="Arial" w:cs="Arial" w:eastAsia="Arial" w:hAnsi="Arial"/>
          <w:b/>
          <w:bCs/>
          <w:color w:val="0F1728"/>
          <w:sz w:val="28"/>
          <w:szCs w:val="28"/>
        </w:rPr>
        <w:t xml:space="preserve">What Top 1% Looks Like</w:t>
      </w:r>
    </w:p>
    <w:p>
      <w:pPr>
        <w:spacing w:after="80" w:before="80"/>
      </w:pPr>
      <w:r>
        <w:rPr>
          <w:rFonts w:ascii="Arial" w:cs="Arial" w:eastAsia="Arial" w:hAnsi="Arial"/>
          <w:color w:val="1C2B3A"/>
          <w:sz w:val="22"/>
          <w:szCs w:val="22"/>
        </w:rPr>
        <w:t xml:space="preserve">According to Klipfolio's 2024 SaaS metrics benchmarks and Glow Team's dashboard research, the top-performing SaaS platforms display KPIs in a layered hierarchy: macro summary at the top, drill-down by segment below, and trend direction indicators on every metric. Static numbers without context are worthless.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3960"/>
        <w:gridCol w:w="2880"/>
      </w:tblGrid>
      <w:tr>
        <w:tc>
          <w:tcPr>
            <w:tcW w:type="dxa" w:w="2520"/>
            <w:tcBorders>
              <w:top w:val="single" w:color="CCCCCC" w:sz="1"/>
              <w:left w:val="single" w:color="CCCCCC" w:sz="1"/>
              <w:bottom w:val="single" w:color="CCCCCC" w:sz="1"/>
              <w:right w:val="single" w:color="CCCCCC" w:sz="1"/>
            </w:tcBorders>
            <w:shd w:fill="0D1F3C" w:val="clear"/>
            <w:tcMar>
              <w:top w:type="dxa" w:w="80"/>
              <w:left w:type="dxa" w:w="120"/>
              <w:bottom w:type="dxa" w:w="80"/>
              <w:right w:type="dxa" w:w="120"/>
            </w:tcMar>
          </w:tcPr>
          <w:p>
            <w:r>
              <w:rPr>
                <w:rFonts w:ascii="Arial" w:cs="Arial" w:eastAsia="Arial" w:hAnsi="Arial"/>
                <w:b/>
                <w:bCs/>
                <w:color w:val="FFFFFF"/>
                <w:sz w:val="21"/>
                <w:szCs w:val="21"/>
              </w:rPr>
              <w:t xml:space="preserve">Metric</w:t>
            </w:r>
          </w:p>
        </w:tc>
        <w:tc>
          <w:tcPr>
            <w:tcW w:type="dxa" w:w="3960"/>
            <w:tcBorders>
              <w:top w:val="single" w:color="CCCCCC" w:sz="1"/>
              <w:left w:val="single" w:color="CCCCCC" w:sz="1"/>
              <w:bottom w:val="single" w:color="CCCCCC" w:sz="1"/>
              <w:right w:val="single" w:color="CCCCCC" w:sz="1"/>
            </w:tcBorders>
            <w:shd w:fill="0D1F3C" w:val="clear"/>
            <w:tcMar>
              <w:top w:type="dxa" w:w="80"/>
              <w:left w:type="dxa" w:w="120"/>
              <w:bottom w:type="dxa" w:w="80"/>
              <w:right w:type="dxa" w:w="120"/>
            </w:tcMar>
          </w:tcPr>
          <w:p>
            <w:r>
              <w:rPr>
                <w:rFonts w:ascii="Arial" w:cs="Arial" w:eastAsia="Arial" w:hAnsi="Arial"/>
                <w:b/>
                <w:bCs/>
                <w:color w:val="FFFFFF"/>
                <w:sz w:val="21"/>
                <w:szCs w:val="21"/>
              </w:rPr>
              <w:t xml:space="preserve">Top 1% Benchmark</w:t>
            </w:r>
          </w:p>
        </w:tc>
        <w:tc>
          <w:tcPr>
            <w:tcW w:type="dxa" w:w="2880"/>
            <w:tcBorders>
              <w:top w:val="single" w:color="CCCCCC" w:sz="1"/>
              <w:left w:val="single" w:color="CCCCCC" w:sz="1"/>
              <w:bottom w:val="single" w:color="CCCCCC" w:sz="1"/>
              <w:right w:val="single" w:color="CCCCCC" w:sz="1"/>
            </w:tcBorders>
            <w:shd w:fill="0D1F3C" w:val="clear"/>
            <w:tcMar>
              <w:top w:type="dxa" w:w="80"/>
              <w:left w:type="dxa" w:w="120"/>
              <w:bottom w:type="dxa" w:w="80"/>
              <w:right w:type="dxa" w:w="120"/>
            </w:tcMar>
          </w:tcPr>
          <w:p>
            <w:r>
              <w:rPr>
                <w:rFonts w:ascii="Arial" w:cs="Arial" w:eastAsia="Arial" w:hAnsi="Arial"/>
                <w:b/>
                <w:bCs/>
                <w:color w:val="FFFFFF"/>
                <w:sz w:val="21"/>
                <w:szCs w:val="21"/>
              </w:rPr>
              <w:t xml:space="preserve">Significance</w:t>
            </w:r>
          </w:p>
        </w:tc>
      </w:tr>
      <w:tr>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2B3A"/>
                <w:sz w:val="21"/>
                <w:szCs w:val="21"/>
              </w:rPr>
              <w:t xml:space="preserve">Open Rate</w:t>
            </w:r>
          </w:p>
        </w:tc>
        <w:tc>
          <w:tcPr>
            <w:tcW w:type="dxa" w:w="396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r>
              <w:rPr>
                <w:rFonts w:ascii="Arial" w:cs="Arial" w:eastAsia="Arial" w:hAnsi="Arial"/>
                <w:b w:val="false"/>
                <w:bCs w:val="false"/>
                <w:color w:val="1C2B3A"/>
                <w:sz w:val="21"/>
                <w:szCs w:val="21"/>
              </w:rPr>
              <w:t xml:space="preserve">45–55%</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2B3A"/>
                <w:sz w:val="21"/>
                <w:szCs w:val="21"/>
              </w:rPr>
              <w:t xml:space="preserve">Health of subject line + deliverability</w:t>
            </w:r>
          </w:p>
        </w:tc>
      </w:tr>
      <w:tr>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2B3A"/>
                <w:sz w:val="21"/>
                <w:szCs w:val="21"/>
              </w:rPr>
              <w:t xml:space="preserve">Click Rate</w:t>
            </w:r>
          </w:p>
        </w:tc>
        <w:tc>
          <w:tcPr>
            <w:tcW w:type="dxa" w:w="396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r>
              <w:rPr>
                <w:rFonts w:ascii="Arial" w:cs="Arial" w:eastAsia="Arial" w:hAnsi="Arial"/>
                <w:b w:val="false"/>
                <w:bCs w:val="false"/>
                <w:color w:val="1C2B3A"/>
                <w:sz w:val="21"/>
                <w:szCs w:val="21"/>
              </w:rPr>
              <w:t xml:space="preserve">18–25%</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2B3A"/>
                <w:sz w:val="21"/>
                <w:szCs w:val="21"/>
              </w:rPr>
              <w:t xml:space="preserve">CTA strength + body relevance</w:t>
            </w:r>
          </w:p>
        </w:tc>
      </w:tr>
      <w:tr>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2B3A"/>
                <w:sz w:val="21"/>
                <w:szCs w:val="21"/>
              </w:rPr>
              <w:t xml:space="preserve">Reply Rate</w:t>
            </w:r>
          </w:p>
        </w:tc>
        <w:tc>
          <w:tcPr>
            <w:tcW w:type="dxa" w:w="396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r>
              <w:rPr>
                <w:rFonts w:ascii="Arial" w:cs="Arial" w:eastAsia="Arial" w:hAnsi="Arial"/>
                <w:b w:val="false"/>
                <w:bCs w:val="false"/>
                <w:color w:val="1C2B3A"/>
                <w:sz w:val="21"/>
                <w:szCs w:val="21"/>
              </w:rPr>
              <w:t xml:space="preserve">8–15%</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2B3A"/>
                <w:sz w:val="21"/>
                <w:szCs w:val="21"/>
              </w:rPr>
              <w:t xml:space="preserve">Offer clarity + personalization depth</w:t>
            </w:r>
          </w:p>
        </w:tc>
      </w:tr>
      <w:tr>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2B3A"/>
                <w:sz w:val="21"/>
                <w:szCs w:val="21"/>
              </w:rPr>
              <w:t xml:space="preserve">Conversion Rate</w:t>
            </w:r>
          </w:p>
        </w:tc>
        <w:tc>
          <w:tcPr>
            <w:tcW w:type="dxa" w:w="396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r>
              <w:rPr>
                <w:rFonts w:ascii="Arial" w:cs="Arial" w:eastAsia="Arial" w:hAnsi="Arial"/>
                <w:b w:val="false"/>
                <w:bCs w:val="false"/>
                <w:color w:val="1C2B3A"/>
                <w:sz w:val="21"/>
                <w:szCs w:val="21"/>
              </w:rPr>
              <w:t xml:space="preserve">2–6%</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2B3A"/>
                <w:sz w:val="21"/>
                <w:szCs w:val="21"/>
              </w:rPr>
              <w:t xml:space="preserve">Full funnel effectiveness</w:t>
            </w:r>
          </w:p>
        </w:tc>
      </w:tr>
      <w:tr>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2B3A"/>
                <w:sz w:val="21"/>
                <w:szCs w:val="21"/>
              </w:rPr>
              <w:t xml:space="preserve">CAC</w:t>
            </w:r>
          </w:p>
        </w:tc>
        <w:tc>
          <w:tcPr>
            <w:tcW w:type="dxa" w:w="396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r>
              <w:rPr>
                <w:rFonts w:ascii="Arial" w:cs="Arial" w:eastAsia="Arial" w:hAnsi="Arial"/>
                <w:b w:val="false"/>
                <w:bCs w:val="false"/>
                <w:color w:val="1C2B3A"/>
                <w:sz w:val="21"/>
                <w:szCs w:val="21"/>
              </w:rPr>
              <w:t xml:space="preserve">&lt;$150 per convert</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2B3A"/>
                <w:sz w:val="21"/>
                <w:szCs w:val="21"/>
              </w:rPr>
              <w:t xml:space="preserve">Unit economics viability</w:t>
            </w:r>
          </w:p>
        </w:tc>
      </w:tr>
    </w:tbl>
    <w:p>
      <w:pPr>
        <w:spacing w:after="80" w:before="80"/>
      </w:pPr>
      <w:r>
        <w:t xml:space="preserve"/>
      </w:r>
    </w:p>
    <w:p>
      <w:pPr>
        <w:pStyle w:val="Heading2"/>
        <w:spacing w:after="120" w:before="280"/>
      </w:pPr>
      <w:r>
        <w:rPr>
          <w:rFonts w:ascii="Arial" w:cs="Arial" w:eastAsia="Arial" w:hAnsi="Arial"/>
          <w:b/>
          <w:bCs/>
          <w:color w:val="0F1728"/>
          <w:sz w:val="28"/>
          <w:szCs w:val="28"/>
        </w:rPr>
        <w:t xml:space="preserve">Implementation Blueprint</w:t>
      </w:r>
    </w:p>
    <w:p>
      <w:pPr>
        <w:pStyle w:val="ListParagraph"/>
        <w:numPr>
          <w:ilvl w:val="0"/>
          <w:numId w:val="2"/>
        </w:numPr>
        <w:spacing w:after="60" w:before="60"/>
      </w:pPr>
      <w:r>
        <w:rPr>
          <w:rFonts w:ascii="Arial" w:cs="Arial" w:eastAsia="Arial" w:hAnsi="Arial"/>
          <w:color w:val="1C2B3A"/>
          <w:sz w:val="22"/>
          <w:szCs w:val="22"/>
        </w:rPr>
        <w:t xml:space="preserve">Funnel visualization: show open → click → reply → convert as a waterfall or horizontal bar with drop-off percentages at each stage</w:t>
      </w:r>
    </w:p>
    <w:p>
      <w:pPr>
        <w:pStyle w:val="ListParagraph"/>
        <w:numPr>
          <w:ilvl w:val="0"/>
          <w:numId w:val="2"/>
        </w:numPr>
        <w:spacing w:after="60" w:before="60"/>
      </w:pPr>
      <w:r>
        <w:rPr>
          <w:rFonts w:ascii="Arial" w:cs="Arial" w:eastAsia="Arial" w:hAnsi="Arial"/>
          <w:color w:val="1C2B3A"/>
          <w:sz w:val="22"/>
          <w:szCs w:val="22"/>
        </w:rPr>
        <w:t xml:space="preserve">Progress rings for each metric vs target (e.g., 47% open vs 50% target = 94% ring fill)</w:t>
      </w:r>
    </w:p>
    <w:p>
      <w:pPr>
        <w:pStyle w:val="ListParagraph"/>
        <w:numPr>
          <w:ilvl w:val="0"/>
          <w:numId w:val="2"/>
        </w:numPr>
        <w:spacing w:after="60" w:before="60"/>
      </w:pPr>
      <w:r>
        <w:rPr>
          <w:rFonts w:ascii="Arial" w:cs="Arial" w:eastAsia="Arial" w:hAnsi="Arial"/>
          <w:color w:val="1C2B3A"/>
          <w:sz w:val="22"/>
          <w:szCs w:val="22"/>
        </w:rPr>
        <w:t xml:space="preserve">Segment breakdown table: niche × business level KPIs side-by-side to surface winning combinations</w:t>
      </w:r>
    </w:p>
    <w:p>
      <w:pPr>
        <w:pStyle w:val="ListParagraph"/>
        <w:numPr>
          <w:ilvl w:val="0"/>
          <w:numId w:val="2"/>
        </w:numPr>
        <w:spacing w:after="60" w:before="60"/>
      </w:pPr>
      <w:r>
        <w:rPr>
          <w:rFonts w:ascii="Arial" w:cs="Arial" w:eastAsia="Arial" w:hAnsi="Arial"/>
          <w:color w:val="1C2B3A"/>
          <w:sz w:val="22"/>
          <w:szCs w:val="22"/>
        </w:rPr>
        <w:t xml:space="preserve">Variant performance panel: A vs B comparison with statistical confidence indicator</w:t>
      </w:r>
    </w:p>
    <w:p>
      <w:pPr>
        <w:pStyle w:val="ListParagraph"/>
        <w:numPr>
          <w:ilvl w:val="0"/>
          <w:numId w:val="2"/>
        </w:numPr>
        <w:spacing w:after="60" w:before="60"/>
      </w:pPr>
      <w:r>
        <w:rPr>
          <w:rFonts w:ascii="Arial" w:cs="Arial" w:eastAsia="Arial" w:hAnsi="Arial"/>
          <w:color w:val="1C2B3A"/>
          <w:sz w:val="22"/>
          <w:szCs w:val="22"/>
        </w:rPr>
        <w:t xml:space="preserve">Color-coded delta indicators: green if above baseline, amber if within 10% below, red if &gt;10% below</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24D3A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TOP 1% RULE</w:t>
            </w:r>
          </w:p>
        </w:tc>
        <w:tc>
          <w:tcPr>
            <w:tcW w:type="dxa" w:w="8160"/>
            <w:tcBorders>
              <w:top w:val="single" w:color="CCCCCC" w:sz="1"/>
              <w:left w:val="single" w:color="CCCCCC" w:sz="1"/>
              <w:bottom w:val="single" w:color="CCCCCC" w:sz="1"/>
              <w:right w:val="single" w:color="CCCCCC" w:sz="1"/>
            </w:tcBorders>
            <w:shd w:fill="EAF6FF" w:val="clear"/>
            <w:tcMar>
              <w:top w:type="dxa" w:w="80"/>
              <w:left w:type="dxa" w:w="160"/>
              <w:bottom w:type="dxa" w:w="80"/>
              <w:right w:type="dxa" w:w="120"/>
            </w:tcMar>
          </w:tcPr>
          <w:p>
            <w:r>
              <w:rPr>
                <w:rFonts w:ascii="Arial" w:cs="Arial" w:eastAsia="Arial" w:hAnsi="Arial"/>
                <w:color w:val="1C2B3A"/>
                <w:sz w:val="21"/>
                <w:szCs w:val="21"/>
              </w:rPr>
              <w:t xml:space="preserve">Every KPI card must show the metric, the trend direction (up/down/flat arrow), the benchmark target, and the delta from last period. Four data points per metric minimum. Anything less is a vanity dashboard.</w:t>
            </w:r>
          </w:p>
        </w:tc>
      </w:tr>
    </w:tbl>
    <w:p>
      <w:pPr>
        <w:pBdr>
          <w:bottom w:val="single" w:color="24D3A7" w:sz="4" w:space="1"/>
        </w:pBdr>
        <w:spacing w:after="160" w:before="160"/>
      </w:pPr>
      <w:r>
        <w:t xml:space="preserve"/>
      </w:r>
    </w:p>
    <w:p>
      <w:r>
        <w:br w:type="page"/>
      </w:r>
    </w:p>
    <w:p>
      <w:pPr>
        <w:pStyle w:val="Heading1"/>
        <w:spacing w:after="160" w:before="360"/>
      </w:pPr>
      <w:r>
        <w:rPr>
          <w:rFonts w:ascii="Arial" w:cs="Arial" w:eastAsia="Arial" w:hAnsi="Arial"/>
          <w:b/>
          <w:bCs/>
          <w:color w:val="0F1728"/>
          <w:sz w:val="36"/>
          <w:szCs w:val="36"/>
        </w:rPr>
        <w:t xml:space="preserve">Skill 2: Self-Improving Conversion Intelligence Engine</w:t>
      </w:r>
    </w:p>
    <w:p>
      <w:pPr>
        <w:pStyle w:val="Heading2"/>
        <w:spacing w:after="120" w:before="280"/>
      </w:pPr>
      <w:r>
        <w:rPr>
          <w:rFonts w:ascii="Arial" w:cs="Arial" w:eastAsia="Arial" w:hAnsi="Arial"/>
          <w:b/>
          <w:bCs/>
          <w:color w:val="0F1728"/>
          <w:sz w:val="28"/>
          <w:szCs w:val="28"/>
        </w:rPr>
        <w:t xml:space="preserve">The Core Differentiator</w:t>
      </w:r>
    </w:p>
    <w:p>
      <w:pPr>
        <w:spacing w:after="80" w:before="80"/>
      </w:pPr>
      <w:r>
        <w:rPr>
          <w:rFonts w:ascii="Arial" w:cs="Arial" w:eastAsia="Arial" w:hAnsi="Arial"/>
          <w:color w:val="1C2B3A"/>
          <w:sz w:val="22"/>
          <w:szCs w:val="22"/>
        </w:rPr>
        <w:t xml:space="preserve">Machine learning for email lead scoring (Lucas O, Medium; HouseOfMartech, 2024) identifies four primary input signals that drive predictive accuracy: historical open/reply rate by segment, copy framework used, sending time window, and contact quality score. SignalIQ must capture all four and feed them back in a closed loop.</w:t>
      </w:r>
    </w:p>
    <w:p>
      <w:pPr>
        <w:spacing w:after="80" w:before="80"/>
      </w:pPr>
      <w:r>
        <w:t xml:space="preserve"/>
      </w:r>
    </w:p>
    <w:p>
      <w:pPr>
        <w:pStyle w:val="Heading2"/>
        <w:spacing w:after="120" w:before="280"/>
      </w:pPr>
      <w:r>
        <w:rPr>
          <w:rFonts w:ascii="Arial" w:cs="Arial" w:eastAsia="Arial" w:hAnsi="Arial"/>
          <w:b/>
          <w:bCs/>
          <w:color w:val="0F1728"/>
          <w:sz w:val="28"/>
          <w:szCs w:val="28"/>
        </w:rPr>
        <w:t xml:space="preserve">The Compounding Loop Architecture</w:t>
      </w:r>
    </w:p>
    <w:p>
      <w:pPr>
        <w:pStyle w:val="ListParagraph"/>
        <w:numPr>
          <w:ilvl w:val="0"/>
          <w:numId w:val="3"/>
        </w:numPr>
        <w:spacing w:after="60" w:before="60"/>
      </w:pPr>
      <w:r>
        <w:rPr>
          <w:rFonts w:ascii="Arial" w:cs="Arial" w:eastAsia="Arial" w:hAnsi="Arial"/>
          <w:color w:val="1C2B3A"/>
          <w:sz w:val="22"/>
          <w:szCs w:val="22"/>
        </w:rPr>
        <w:t xml:space="preserve">Campaign is launched → sends recorded with variant, opened, clicked, replied, converted columns</w:t>
      </w:r>
    </w:p>
    <w:p>
      <w:pPr>
        <w:pStyle w:val="ListParagraph"/>
        <w:numPr>
          <w:ilvl w:val="0"/>
          <w:numId w:val="3"/>
        </w:numPr>
        <w:spacing w:after="60" w:before="60"/>
      </w:pPr>
      <w:r>
        <w:rPr>
          <w:rFonts w:ascii="Arial" w:cs="Arial" w:eastAsia="Arial" w:hAnsi="Arial"/>
          <w:color w:val="1C2B3A"/>
          <w:sz w:val="22"/>
          <w:szCs w:val="22"/>
        </w:rPr>
        <w:t xml:space="preserve">Post-send: actual_conversion vs predicted_conversion is computed and stored</w:t>
      </w:r>
    </w:p>
    <w:p>
      <w:pPr>
        <w:pStyle w:val="ListParagraph"/>
        <w:numPr>
          <w:ilvl w:val="0"/>
          <w:numId w:val="3"/>
        </w:numPr>
        <w:spacing w:after="60" w:before="60"/>
      </w:pPr>
      <w:r>
        <w:rPr>
          <w:rFonts w:ascii="Arial" w:cs="Arial" w:eastAsia="Arial" w:hAnsi="Arial"/>
          <w:color w:val="1C2B3A"/>
          <w:sz w:val="22"/>
          <w:szCs w:val="22"/>
        </w:rPr>
        <w:t xml:space="preserve">Delta analysis: identify over-performers (actual &gt; predicted by &gt;15%) and under-performers</w:t>
      </w:r>
    </w:p>
    <w:p>
      <w:pPr>
        <w:pStyle w:val="ListParagraph"/>
        <w:numPr>
          <w:ilvl w:val="0"/>
          <w:numId w:val="3"/>
        </w:numPr>
        <w:spacing w:after="60" w:before="60"/>
      </w:pPr>
      <w:r>
        <w:rPr>
          <w:rFonts w:ascii="Arial" w:cs="Arial" w:eastAsia="Arial" w:hAnsi="Arial"/>
          <w:color w:val="1C2B3A"/>
          <w:sz w:val="22"/>
          <w:szCs w:val="22"/>
        </w:rPr>
        <w:t xml:space="preserve">Pattern extraction: cluster over-performers by niche + level + framework combination</w:t>
      </w:r>
    </w:p>
    <w:p>
      <w:pPr>
        <w:pStyle w:val="ListParagraph"/>
        <w:numPr>
          <w:ilvl w:val="0"/>
          <w:numId w:val="3"/>
        </w:numPr>
        <w:spacing w:after="60" w:before="60"/>
      </w:pPr>
      <w:r>
        <w:rPr>
          <w:rFonts w:ascii="Arial" w:cs="Arial" w:eastAsia="Arial" w:hAnsi="Arial"/>
          <w:color w:val="1C2B3A"/>
          <w:sz w:val="22"/>
          <w:szCs w:val="22"/>
        </w:rPr>
        <w:t xml:space="preserve">Score recalibration: adjust base scores for those clusters upward by weighted average of recent deltas</w:t>
      </w:r>
    </w:p>
    <w:p>
      <w:pPr>
        <w:pStyle w:val="ListParagraph"/>
        <w:numPr>
          <w:ilvl w:val="0"/>
          <w:numId w:val="3"/>
        </w:numPr>
        <w:spacing w:after="60" w:before="60"/>
      </w:pPr>
      <w:r>
        <w:rPr>
          <w:rFonts w:ascii="Arial" w:cs="Arial" w:eastAsia="Arial" w:hAnsi="Arial"/>
          <w:color w:val="1C2B3A"/>
          <w:sz w:val="22"/>
          <w:szCs w:val="22"/>
        </w:rPr>
        <w:t xml:space="preserve">Learning signals: tag and store the extracted insight with confidence score and reuse count</w:t>
      </w:r>
    </w:p>
    <w:p>
      <w:pPr>
        <w:spacing w:after="80" w:before="80"/>
      </w:pPr>
      <w:r>
        <w:t xml:space="preserve"/>
      </w:r>
    </w:p>
    <w:p>
      <w:pPr>
        <w:pStyle w:val="Heading2"/>
        <w:spacing w:after="120" w:before="280"/>
      </w:pPr>
      <w:r>
        <w:rPr>
          <w:rFonts w:ascii="Arial" w:cs="Arial" w:eastAsia="Arial" w:hAnsi="Arial"/>
          <w:b/>
          <w:bCs/>
          <w:color w:val="0F1728"/>
          <w:sz w:val="28"/>
          <w:szCs w:val="28"/>
        </w:rPr>
        <w:t xml:space="preserve">Top 1% Scoring Formula (Enhanced)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24D3A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FORMULA</w:t>
            </w:r>
          </w:p>
        </w:tc>
        <w:tc>
          <w:tcPr>
            <w:tcW w:type="dxa" w:w="8160"/>
            <w:tcBorders>
              <w:top w:val="single" w:color="CCCCCC" w:sz="1"/>
              <w:left w:val="single" w:color="CCCCCC" w:sz="1"/>
              <w:bottom w:val="single" w:color="CCCCCC" w:sz="1"/>
              <w:right w:val="single" w:color="CCCCCC" w:sz="1"/>
            </w:tcBorders>
            <w:shd w:fill="EAF6FF" w:val="clear"/>
            <w:tcMar>
              <w:top w:type="dxa" w:w="80"/>
              <w:left w:type="dxa" w:w="160"/>
              <w:bottom w:type="dxa" w:w="80"/>
              <w:right w:type="dxa" w:w="120"/>
            </w:tcMar>
          </w:tcPr>
          <w:p>
            <w:r>
              <w:rPr>
                <w:rFonts w:ascii="Arial" w:cs="Arial" w:eastAsia="Arial" w:hAnsi="Arial"/>
                <w:color w:val="1C2B3A"/>
                <w:sz w:val="21"/>
                <w:szCs w:val="21"/>
              </w:rPr>
              <w:t xml:space="preserve">base(niche) + levelBoost(level) + frameworkBoost(framework) + historyBoost(avg_actual_delta_last_5_campaigns_in_segment)</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0D1F3C" w:val="clear"/>
            <w:tcMar>
              <w:top w:type="dxa" w:w="80"/>
              <w:left w:type="dxa" w:w="120"/>
              <w:bottom w:type="dxa" w:w="80"/>
              <w:right w:type="dxa" w:w="120"/>
            </w:tcMar>
          </w:tcPr>
          <w:p>
            <w:r>
              <w:rPr>
                <w:rFonts w:ascii="Arial" w:cs="Arial" w:eastAsia="Arial" w:hAnsi="Arial"/>
                <w:b/>
                <w:bCs/>
                <w:color w:val="FFFFFF"/>
                <w:sz w:val="21"/>
                <w:szCs w:val="21"/>
              </w:rPr>
              <w:t xml:space="preserve">Signal Input</w:t>
            </w:r>
          </w:p>
        </w:tc>
        <w:tc>
          <w:tcPr>
            <w:tcW w:type="dxa" w:w="5760"/>
            <w:tcBorders>
              <w:top w:val="single" w:color="CCCCCC" w:sz="1"/>
              <w:left w:val="single" w:color="CCCCCC" w:sz="1"/>
              <w:bottom w:val="single" w:color="CCCCCC" w:sz="1"/>
              <w:right w:val="single" w:color="CCCCCC" w:sz="1"/>
            </w:tcBorders>
            <w:shd w:fill="0D1F3C" w:val="clear"/>
            <w:tcMar>
              <w:top w:type="dxa" w:w="80"/>
              <w:left w:type="dxa" w:w="120"/>
              <w:bottom w:type="dxa" w:w="80"/>
              <w:right w:type="dxa" w:w="120"/>
            </w:tcMar>
          </w:tcPr>
          <w:p>
            <w:r>
              <w:rPr>
                <w:rFonts w:ascii="Arial" w:cs="Arial" w:eastAsia="Arial" w:hAnsi="Arial"/>
                <w:color w:val="FFFFFF"/>
                <w:sz w:val="21"/>
                <w:szCs w:val="21"/>
              </w:rPr>
              <w:t xml:space="preserve">Weight</w:t>
            </w:r>
          </w:p>
        </w:tc>
      </w:tr>
      <w:tr>
        <w:tc>
          <w:tcPr>
            <w:tcW w:type="dxa" w:w="360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r>
              <w:rPr>
                <w:rFonts w:ascii="Arial" w:cs="Arial" w:eastAsia="Arial" w:hAnsi="Arial"/>
                <w:b w:val="false"/>
                <w:bCs w:val="false"/>
                <w:color w:val="1C2B3A"/>
                <w:sz w:val="21"/>
                <w:szCs w:val="21"/>
              </w:rPr>
              <w:t xml:space="preserve">Niche base rate (SaaS=4.2, Agency=3.8, Other=3.4)</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1"/>
                <w:szCs w:val="21"/>
              </w:rPr>
              <w:t xml:space="preserve">35%</w:t>
            </w:r>
          </w:p>
        </w:tc>
      </w:tr>
      <w:tr>
        <w:tc>
          <w:tcPr>
            <w:tcW w:type="dxa" w:w="360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r>
              <w:rPr>
                <w:rFonts w:ascii="Arial" w:cs="Arial" w:eastAsia="Arial" w:hAnsi="Arial"/>
                <w:b w:val="false"/>
                <w:bCs w:val="false"/>
                <w:color w:val="1C2B3A"/>
                <w:sz w:val="21"/>
                <w:szCs w:val="21"/>
              </w:rPr>
              <w:t xml:space="preserve">Business level modifier</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1"/>
                <w:szCs w:val="21"/>
              </w:rPr>
              <w:t xml:space="preserve">20%</w:t>
            </w:r>
          </w:p>
        </w:tc>
      </w:tr>
      <w:tr>
        <w:tc>
          <w:tcPr>
            <w:tcW w:type="dxa" w:w="360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r>
              <w:rPr>
                <w:rFonts w:ascii="Arial" w:cs="Arial" w:eastAsia="Arial" w:hAnsi="Arial"/>
                <w:b w:val="false"/>
                <w:bCs w:val="false"/>
                <w:color w:val="1C2B3A"/>
                <w:sz w:val="21"/>
                <w:szCs w:val="21"/>
              </w:rPr>
              <w:t xml:space="preserve">Framework effectiveness (PAS=+0.7, PASTOR=+0.6)</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1"/>
                <w:szCs w:val="21"/>
              </w:rPr>
              <w:t xml:space="preserve">20%</w:t>
            </w:r>
          </w:p>
        </w:tc>
      </w:tr>
      <w:tr>
        <w:tc>
          <w:tcPr>
            <w:tcW w:type="dxa" w:w="360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r>
              <w:rPr>
                <w:rFonts w:ascii="Arial" w:cs="Arial" w:eastAsia="Arial" w:hAnsi="Arial"/>
                <w:b w:val="false"/>
                <w:bCs w:val="false"/>
                <w:color w:val="1C2B3A"/>
                <w:sz w:val="21"/>
                <w:szCs w:val="21"/>
              </w:rPr>
              <w:t xml:space="preserve">Historical delta for this segment (last 5 campaigns)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1"/>
                <w:szCs w:val="21"/>
              </w:rPr>
              <w:t xml:space="preserve">25%</w:t>
            </w:r>
          </w:p>
        </w:tc>
      </w:tr>
    </w:tbl>
    <w:p>
      <w:pPr>
        <w:spacing w:after="80" w:before="80"/>
      </w:pPr>
      <w:r>
        <w:t xml:space="preserve"/>
      </w:r>
    </w:p>
    <w:p>
      <w:pPr>
        <w:pStyle w:val="ListParagraph"/>
        <w:numPr>
          <w:ilvl w:val="0"/>
          <w:numId w:val="2"/>
        </w:numPr>
        <w:spacing w:after="60" w:before="60"/>
      </w:pPr>
      <w:r>
        <w:rPr>
          <w:rFonts w:ascii="Arial" w:cs="Arial" w:eastAsia="Arial" w:hAnsi="Arial"/>
          <w:color w:val="1C2B3A"/>
          <w:sz w:val="22"/>
          <w:szCs w:val="22"/>
        </w:rPr>
        <w:t xml:space="preserve">Minimum 10 sends per segment before history boost activates (prevents noise from small samples)</w:t>
      </w:r>
    </w:p>
    <w:p>
      <w:pPr>
        <w:pStyle w:val="ListParagraph"/>
        <w:numPr>
          <w:ilvl w:val="0"/>
          <w:numId w:val="2"/>
        </w:numPr>
        <w:spacing w:after="60" w:before="60"/>
      </w:pPr>
      <w:r>
        <w:rPr>
          <w:rFonts w:ascii="Arial" w:cs="Arial" w:eastAsia="Arial" w:hAnsi="Arial"/>
          <w:color w:val="1C2B3A"/>
          <w:sz w:val="22"/>
          <w:szCs w:val="22"/>
        </w:rPr>
        <w:t xml:space="preserve">Confidence score shown on prediction: Low (&lt;10 sends), Medium (10-50), High (50+)</w:t>
      </w:r>
    </w:p>
    <w:p>
      <w:pPr>
        <w:pStyle w:val="ListParagraph"/>
        <w:numPr>
          <w:ilvl w:val="0"/>
          <w:numId w:val="2"/>
        </w:numPr>
        <w:spacing w:after="60" w:before="60"/>
      </w:pPr>
      <w:r>
        <w:rPr>
          <w:rFonts w:ascii="Arial" w:cs="Arial" w:eastAsia="Arial" w:hAnsi="Arial"/>
          <w:color w:val="1C2B3A"/>
          <w:sz w:val="22"/>
          <w:szCs w:val="22"/>
        </w:rPr>
        <w:t xml:space="preserve">Weekly recalibration batch job re-scores all draft campaigns using latest signal data</w:t>
      </w:r>
    </w:p>
    <w:p>
      <w:pPr>
        <w:pBdr>
          <w:bottom w:val="single" w:color="24D3A7" w:sz="4" w:space="1"/>
        </w:pBdr>
        <w:spacing w:after="160" w:before="160"/>
      </w:pPr>
      <w:r>
        <w:t xml:space="preserve"/>
      </w:r>
    </w:p>
    <w:p>
      <w:r>
        <w:br w:type="page"/>
      </w:r>
    </w:p>
    <w:p>
      <w:pPr>
        <w:pStyle w:val="Heading1"/>
        <w:spacing w:after="160" w:before="360"/>
      </w:pPr>
      <w:r>
        <w:rPr>
          <w:rFonts w:ascii="Arial" w:cs="Arial" w:eastAsia="Arial" w:hAnsi="Arial"/>
          <w:b/>
          <w:bCs/>
          <w:color w:val="0F1728"/>
          <w:sz w:val="36"/>
          <w:szCs w:val="36"/>
        </w:rPr>
        <w:t xml:space="preserve">Skill 3: Prompt Playbook Library</w:t>
      </w:r>
    </w:p>
    <w:p>
      <w:pPr>
        <w:pStyle w:val="Heading2"/>
        <w:spacing w:after="120" w:before="280"/>
      </w:pPr>
      <w:r>
        <w:rPr>
          <w:rFonts w:ascii="Arial" w:cs="Arial" w:eastAsia="Arial" w:hAnsi="Arial"/>
          <w:b/>
          <w:bCs/>
          <w:color w:val="0F1728"/>
          <w:sz w:val="28"/>
          <w:szCs w:val="28"/>
        </w:rPr>
        <w:t xml:space="preserve">Why Playbooks Are the Force Multiplier</w:t>
      </w:r>
    </w:p>
    <w:p>
      <w:pPr>
        <w:spacing w:after="80" w:before="80"/>
      </w:pPr>
      <w:r>
        <w:rPr>
          <w:rFonts w:ascii="Arial" w:cs="Arial" w:eastAsia="Arial" w:hAnsi="Arial"/>
          <w:color w:val="1C2B3A"/>
          <w:sz w:val="22"/>
          <w:szCs w:val="22"/>
        </w:rPr>
        <w:t xml:space="preserve">Lemlist's 2024 Cold Email Playbook and Hunter.io's framework guide confirm that top-performing outreach teams do not write from scratch. They operate from battle-tested templates by niche × level, then layer in personalization at the variable level. The playbook IS the product moat.</w:t>
      </w:r>
    </w:p>
    <w:p>
      <w:pPr>
        <w:spacing w:after="80" w:before="80"/>
      </w:pPr>
      <w:r>
        <w:t xml:space="preserve"/>
      </w:r>
    </w:p>
    <w:p>
      <w:pPr>
        <w:pStyle w:val="Heading2"/>
        <w:spacing w:after="120" w:before="280"/>
      </w:pPr>
      <w:r>
        <w:rPr>
          <w:rFonts w:ascii="Arial" w:cs="Arial" w:eastAsia="Arial" w:hAnsi="Arial"/>
          <w:b/>
          <w:bCs/>
          <w:color w:val="0F1728"/>
          <w:sz w:val="28"/>
          <w:szCs w:val="28"/>
        </w:rPr>
        <w:t xml:space="preserve">Framework Performance Data (Industry Benchmarks)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3960"/>
        <w:gridCol w:w="2880"/>
      </w:tblGrid>
      <w:tr>
        <w:tc>
          <w:tcPr>
            <w:tcW w:type="dxa" w:w="2520"/>
            <w:tcBorders>
              <w:top w:val="single" w:color="CCCCCC" w:sz="1"/>
              <w:left w:val="single" w:color="CCCCCC" w:sz="1"/>
              <w:bottom w:val="single" w:color="CCCCCC" w:sz="1"/>
              <w:right w:val="single" w:color="CCCCCC" w:sz="1"/>
            </w:tcBorders>
            <w:shd w:fill="0D1F3C" w:val="clear"/>
            <w:tcMar>
              <w:top w:type="dxa" w:w="80"/>
              <w:left w:type="dxa" w:w="120"/>
              <w:bottom w:type="dxa" w:w="80"/>
              <w:right w:type="dxa" w:w="120"/>
            </w:tcMar>
          </w:tcPr>
          <w:p>
            <w:r>
              <w:rPr>
                <w:rFonts w:ascii="Arial" w:cs="Arial" w:eastAsia="Arial" w:hAnsi="Arial"/>
                <w:b/>
                <w:bCs/>
                <w:color w:val="FFFFFF"/>
                <w:sz w:val="21"/>
                <w:szCs w:val="21"/>
              </w:rPr>
              <w:t xml:space="preserve">Framework</w:t>
            </w:r>
          </w:p>
        </w:tc>
        <w:tc>
          <w:tcPr>
            <w:tcW w:type="dxa" w:w="3960"/>
            <w:tcBorders>
              <w:top w:val="single" w:color="CCCCCC" w:sz="1"/>
              <w:left w:val="single" w:color="CCCCCC" w:sz="1"/>
              <w:bottom w:val="single" w:color="CCCCCC" w:sz="1"/>
              <w:right w:val="single" w:color="CCCCCC" w:sz="1"/>
            </w:tcBorders>
            <w:shd w:fill="0D1F3C" w:val="clear"/>
            <w:tcMar>
              <w:top w:type="dxa" w:w="80"/>
              <w:left w:type="dxa" w:w="120"/>
              <w:bottom w:type="dxa" w:w="80"/>
              <w:right w:type="dxa" w:w="120"/>
            </w:tcMar>
          </w:tcPr>
          <w:p>
            <w:r>
              <w:rPr>
                <w:rFonts w:ascii="Arial" w:cs="Arial" w:eastAsia="Arial" w:hAnsi="Arial"/>
                <w:b/>
                <w:bCs/>
                <w:color w:val="FFFFFF"/>
                <w:sz w:val="21"/>
                <w:szCs w:val="21"/>
              </w:rPr>
              <w:t xml:space="preserve">Best For</w:t>
            </w:r>
          </w:p>
        </w:tc>
        <w:tc>
          <w:tcPr>
            <w:tcW w:type="dxa" w:w="2880"/>
            <w:tcBorders>
              <w:top w:val="single" w:color="CCCCCC" w:sz="1"/>
              <w:left w:val="single" w:color="CCCCCC" w:sz="1"/>
              <w:bottom w:val="single" w:color="CCCCCC" w:sz="1"/>
              <w:right w:val="single" w:color="CCCCCC" w:sz="1"/>
            </w:tcBorders>
            <w:shd w:fill="0D1F3C" w:val="clear"/>
            <w:tcMar>
              <w:top w:type="dxa" w:w="80"/>
              <w:left w:type="dxa" w:w="120"/>
              <w:bottom w:type="dxa" w:w="80"/>
              <w:right w:type="dxa" w:w="120"/>
            </w:tcMar>
          </w:tcPr>
          <w:p>
            <w:r>
              <w:rPr>
                <w:rFonts w:ascii="Arial" w:cs="Arial" w:eastAsia="Arial" w:hAnsi="Arial"/>
                <w:b/>
                <w:bCs/>
                <w:color w:val="FFFFFF"/>
                <w:sz w:val="21"/>
                <w:szCs w:val="21"/>
              </w:rPr>
              <w:t xml:space="preserve">Avg Reply Rate Lift</w:t>
            </w:r>
          </w:p>
        </w:tc>
      </w:tr>
      <w:tr>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2B3A"/>
                <w:sz w:val="21"/>
                <w:szCs w:val="21"/>
              </w:rPr>
              <w:t xml:space="preserve">PAS (Problem-Agitate-Solution)</w:t>
            </w:r>
          </w:p>
        </w:tc>
        <w:tc>
          <w:tcPr>
            <w:tcW w:type="dxa" w:w="396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r>
              <w:rPr>
                <w:rFonts w:ascii="Arial" w:cs="Arial" w:eastAsia="Arial" w:hAnsi="Arial"/>
                <w:b w:val="false"/>
                <w:bCs w:val="false"/>
                <w:color w:val="1C2B3A"/>
                <w:sz w:val="21"/>
                <w:szCs w:val="21"/>
              </w:rPr>
              <w:t xml:space="preserve">SaaS Mid-Market / SMB</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2B3A"/>
                <w:sz w:val="21"/>
                <w:szCs w:val="21"/>
              </w:rPr>
              <w:t xml:space="preserve">+18% vs baseline</w:t>
            </w:r>
          </w:p>
        </w:tc>
      </w:tr>
      <w:tr>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2B3A"/>
                <w:sz w:val="21"/>
                <w:szCs w:val="21"/>
              </w:rPr>
              <w:t xml:space="preserve">PASTOR</w:t>
            </w:r>
          </w:p>
        </w:tc>
        <w:tc>
          <w:tcPr>
            <w:tcW w:type="dxa" w:w="396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r>
              <w:rPr>
                <w:rFonts w:ascii="Arial" w:cs="Arial" w:eastAsia="Arial" w:hAnsi="Arial"/>
                <w:b w:val="false"/>
                <w:bCs w:val="false"/>
                <w:color w:val="1C2B3A"/>
                <w:sz w:val="21"/>
                <w:szCs w:val="21"/>
              </w:rPr>
              <w:t xml:space="preserve">Enterprise pain-led sales</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2B3A"/>
                <w:sz w:val="21"/>
                <w:szCs w:val="21"/>
              </w:rPr>
              <w:t xml:space="preserve">+14% vs baseline</w:t>
            </w:r>
          </w:p>
        </w:tc>
      </w:tr>
      <w:tr>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2B3A"/>
                <w:sz w:val="21"/>
                <w:szCs w:val="21"/>
              </w:rPr>
              <w:t xml:space="preserve">AIDA</w:t>
            </w:r>
          </w:p>
        </w:tc>
        <w:tc>
          <w:tcPr>
            <w:tcW w:type="dxa" w:w="396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r>
              <w:rPr>
                <w:rFonts w:ascii="Arial" w:cs="Arial" w:eastAsia="Arial" w:hAnsi="Arial"/>
                <w:b w:val="false"/>
                <w:bCs w:val="false"/>
                <w:color w:val="1C2B3A"/>
                <w:sz w:val="21"/>
                <w:szCs w:val="21"/>
              </w:rPr>
              <w:t xml:space="preserve">E-commerce / consumer</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2B3A"/>
                <w:sz w:val="21"/>
                <w:szCs w:val="21"/>
              </w:rPr>
              <w:t xml:space="preserve">+11% vs baseline</w:t>
            </w:r>
          </w:p>
        </w:tc>
      </w:tr>
      <w:tr>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2B3A"/>
                <w:sz w:val="21"/>
                <w:szCs w:val="21"/>
              </w:rPr>
              <w:t xml:space="preserve">BAB (Before-After-Bridge)</w:t>
            </w:r>
          </w:p>
        </w:tc>
        <w:tc>
          <w:tcPr>
            <w:tcW w:type="dxa" w:w="396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r>
              <w:rPr>
                <w:rFonts w:ascii="Arial" w:cs="Arial" w:eastAsia="Arial" w:hAnsi="Arial"/>
                <w:b w:val="false"/>
                <w:bCs w:val="false"/>
                <w:color w:val="1C2B3A"/>
                <w:sz w:val="21"/>
                <w:szCs w:val="21"/>
              </w:rPr>
              <w:t xml:space="preserve">Agency / consulting</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2B3A"/>
                <w:sz w:val="21"/>
                <w:szCs w:val="21"/>
              </w:rPr>
              <w:t xml:space="preserve">+16% vs baseline</w:t>
            </w:r>
          </w:p>
        </w:tc>
      </w:tr>
      <w:tr>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2B3A"/>
                <w:sz w:val="21"/>
                <w:szCs w:val="21"/>
              </w:rPr>
              <w:t xml:space="preserve">4P (Picture-Promise-Prove-Push)</w:t>
            </w:r>
          </w:p>
        </w:tc>
        <w:tc>
          <w:tcPr>
            <w:tcW w:type="dxa" w:w="396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r>
              <w:rPr>
                <w:rFonts w:ascii="Arial" w:cs="Arial" w:eastAsia="Arial" w:hAnsi="Arial"/>
                <w:b w:val="false"/>
                <w:bCs w:val="false"/>
                <w:color w:val="1C2B3A"/>
                <w:sz w:val="21"/>
                <w:szCs w:val="21"/>
              </w:rPr>
              <w:t xml:space="preserve">High-ticket B2B</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2B3A"/>
                <w:sz w:val="21"/>
                <w:szCs w:val="21"/>
              </w:rPr>
              <w:t xml:space="preserve">+13% vs baseline</w:t>
            </w:r>
          </w:p>
        </w:tc>
      </w:tr>
      <w:tr>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2B3A"/>
                <w:sz w:val="21"/>
                <w:szCs w:val="21"/>
              </w:rPr>
              <w:t xml:space="preserve">STAR (Situation-Task-Action-Result)</w:t>
            </w:r>
          </w:p>
        </w:tc>
        <w:tc>
          <w:tcPr>
            <w:tcW w:type="dxa" w:w="396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r>
              <w:rPr>
                <w:rFonts w:ascii="Arial" w:cs="Arial" w:eastAsia="Arial" w:hAnsi="Arial"/>
                <w:b w:val="false"/>
                <w:bCs w:val="false"/>
                <w:color w:val="1C2B3A"/>
                <w:sz w:val="21"/>
                <w:szCs w:val="21"/>
              </w:rPr>
              <w:t xml:space="preserve">Case study led outreach</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2B3A"/>
                <w:sz w:val="21"/>
                <w:szCs w:val="21"/>
              </w:rPr>
              <w:t xml:space="preserve">+12% vs baseline</w:t>
            </w:r>
          </w:p>
        </w:tc>
      </w:tr>
    </w:tbl>
    <w:p>
      <w:pPr>
        <w:spacing w:after="80" w:before="80"/>
      </w:pPr>
      <w:r>
        <w:t xml:space="preserve"/>
      </w:r>
    </w:p>
    <w:p>
      <w:pPr>
        <w:pStyle w:val="Heading2"/>
        <w:spacing w:after="120" w:before="280"/>
      </w:pPr>
      <w:r>
        <w:rPr>
          <w:rFonts w:ascii="Arial" w:cs="Arial" w:eastAsia="Arial" w:hAnsi="Arial"/>
          <w:b/>
          <w:bCs/>
          <w:color w:val="0F1728"/>
          <w:sz w:val="28"/>
          <w:szCs w:val="28"/>
        </w:rPr>
        <w:t xml:space="preserve">Top 1% Template Standards</w:t>
      </w:r>
    </w:p>
    <w:p>
      <w:pPr>
        <w:pStyle w:val="ListParagraph"/>
        <w:numPr>
          <w:ilvl w:val="0"/>
          <w:numId w:val="2"/>
        </w:numPr>
        <w:spacing w:after="60" w:before="60"/>
      </w:pPr>
      <w:r>
        <w:rPr>
          <w:rFonts w:ascii="Arial" w:cs="Arial" w:eastAsia="Arial" w:hAnsi="Arial"/>
          <w:color w:val="1C2B3A"/>
          <w:sz w:val="22"/>
          <w:szCs w:val="22"/>
        </w:rPr>
        <w:t xml:space="preserve">Subject line: 4-7 words, includes prospect variable ({company} or number), no spam trigger words</w:t>
      </w:r>
    </w:p>
    <w:p>
      <w:pPr>
        <w:pStyle w:val="ListParagraph"/>
        <w:numPr>
          <w:ilvl w:val="0"/>
          <w:numId w:val="2"/>
        </w:numPr>
        <w:spacing w:after="60" w:before="60"/>
      </w:pPr>
      <w:r>
        <w:rPr>
          <w:rFonts w:ascii="Arial" w:cs="Arial" w:eastAsia="Arial" w:hAnsi="Arial"/>
          <w:color w:val="1C2B3A"/>
          <w:sz w:val="22"/>
          <w:szCs w:val="22"/>
        </w:rPr>
        <w:t xml:space="preserve">Opening: hyper-specific hook referencing niche pain point (not generic praise)</w:t>
      </w:r>
    </w:p>
    <w:p>
      <w:pPr>
        <w:pStyle w:val="ListParagraph"/>
        <w:numPr>
          <w:ilvl w:val="0"/>
          <w:numId w:val="2"/>
        </w:numPr>
        <w:spacing w:after="60" w:before="60"/>
      </w:pPr>
      <w:r>
        <w:rPr>
          <w:rFonts w:ascii="Arial" w:cs="Arial" w:eastAsia="Arial" w:hAnsi="Arial"/>
          <w:color w:val="1C2B3A"/>
          <w:sz w:val="22"/>
          <w:szCs w:val="22"/>
        </w:rPr>
        <w:t xml:space="preserve">Body: under 125 words — research shows 100-125 word emails get 19% higher reply rates</w:t>
      </w:r>
    </w:p>
    <w:p>
      <w:pPr>
        <w:pStyle w:val="ListParagraph"/>
        <w:numPr>
          <w:ilvl w:val="0"/>
          <w:numId w:val="2"/>
        </w:numPr>
        <w:spacing w:after="60" w:before="60"/>
      </w:pPr>
      <w:r>
        <w:rPr>
          <w:rFonts w:ascii="Arial" w:cs="Arial" w:eastAsia="Arial" w:hAnsi="Arial"/>
          <w:color w:val="1C2B3A"/>
          <w:sz w:val="22"/>
          <w:szCs w:val="22"/>
        </w:rPr>
        <w:t xml:space="preserve">Single CTA: one question, not a list of asks — single CTA lifts replies by 14%</w:t>
      </w:r>
    </w:p>
    <w:p>
      <w:pPr>
        <w:pStyle w:val="ListParagraph"/>
        <w:numPr>
          <w:ilvl w:val="0"/>
          <w:numId w:val="2"/>
        </w:numPr>
        <w:spacing w:after="60" w:before="60"/>
      </w:pPr>
      <w:r>
        <w:rPr>
          <w:rFonts w:ascii="Arial" w:cs="Arial" w:eastAsia="Arial" w:hAnsi="Arial"/>
          <w:color w:val="1C2B3A"/>
          <w:sz w:val="22"/>
          <w:szCs w:val="22"/>
        </w:rPr>
        <w:t xml:space="preserve">Signature: name + role + one social proof line (e.g., "Helped 47 SaaS teams hit 6% conversion")</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24D3A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PLAYBOOK RULE</w:t>
            </w:r>
          </w:p>
        </w:tc>
        <w:tc>
          <w:tcPr>
            <w:tcW w:type="dxa" w:w="8160"/>
            <w:tcBorders>
              <w:top w:val="single" w:color="CCCCCC" w:sz="1"/>
              <w:left w:val="single" w:color="CCCCCC" w:sz="1"/>
              <w:bottom w:val="single" w:color="CCCCCC" w:sz="1"/>
              <w:right w:val="single" w:color="CCCCCC" w:sz="1"/>
            </w:tcBorders>
            <w:shd w:fill="EAF6FF" w:val="clear"/>
            <w:tcMar>
              <w:top w:type="dxa" w:w="80"/>
              <w:left w:type="dxa" w:w="160"/>
              <w:bottom w:type="dxa" w:w="80"/>
              <w:right w:type="dxa" w:w="120"/>
            </w:tcMar>
          </w:tcPr>
          <w:p>
            <w:r>
              <w:rPr>
                <w:rFonts w:ascii="Arial" w:cs="Arial" w:eastAsia="Arial" w:hAnsi="Arial"/>
                <w:color w:val="1C2B3A"/>
                <w:sz w:val="21"/>
                <w:szCs w:val="21"/>
              </w:rPr>
              <w:t xml:space="preserve">Each playbook template must include: framework tag, niche tag, business level tag, word count, CTA type, and historical performance score. Playbooks without performance data are opinions, not assets.</w:t>
            </w:r>
          </w:p>
        </w:tc>
      </w:tr>
    </w:tbl>
    <w:p>
      <w:pPr>
        <w:pBdr>
          <w:bottom w:val="single" w:color="24D3A7" w:sz="4" w:space="1"/>
        </w:pBdr>
        <w:spacing w:after="160" w:before="160"/>
      </w:pPr>
      <w:r>
        <w:t xml:space="preserve"/>
      </w:r>
    </w:p>
    <w:p>
      <w:r>
        <w:br w:type="page"/>
      </w:r>
    </w:p>
    <w:p>
      <w:pPr>
        <w:pStyle w:val="Heading1"/>
        <w:spacing w:after="160" w:before="360"/>
      </w:pPr>
      <w:r>
        <w:rPr>
          <w:rFonts w:ascii="Arial" w:cs="Arial" w:eastAsia="Arial" w:hAnsi="Arial"/>
          <w:b/>
          <w:bCs/>
          <w:color w:val="0F1728"/>
          <w:sz w:val="36"/>
          <w:szCs w:val="36"/>
        </w:rPr>
        <w:t xml:space="preserve">Skill 4: Real-Time Copy Intelligence Scorer</w:t>
      </w:r>
    </w:p>
    <w:p>
      <w:pPr>
        <w:pStyle w:val="Heading2"/>
        <w:spacing w:after="120" w:before="280"/>
      </w:pPr>
      <w:r>
        <w:rPr>
          <w:rFonts w:ascii="Arial" w:cs="Arial" w:eastAsia="Arial" w:hAnsi="Arial"/>
          <w:b/>
          <w:bCs/>
          <w:color w:val="0F1728"/>
          <w:sz w:val="28"/>
          <w:szCs w:val="28"/>
        </w:rPr>
        <w:t xml:space="preserve">What the Data Says</w:t>
      </w:r>
    </w:p>
    <w:p>
      <w:pPr>
        <w:spacing w:after="80" w:before="80"/>
      </w:pPr>
      <w:r>
        <w:rPr>
          <w:rFonts w:ascii="Arial" w:cs="Arial" w:eastAsia="Arial" w:hAnsi="Arial"/>
          <w:color w:val="1C2B3A"/>
          <w:sz w:val="22"/>
          <w:szCs w:val="22"/>
        </w:rPr>
        <w:t xml:space="preserve">FirstSales.io's Email Readability Scorer, Reply.io's Email Quality Check, and Mailyser's content analysis research all converge on the same five quality signals that correlate most strongly with reply rate: reading grade level (aim for Grade 6-8), word count (100-125), CTA count (exactly 1), question count (1-2), and personalization token count (2-3 minimum).</w:t>
      </w:r>
    </w:p>
    <w:p>
      <w:pPr>
        <w:spacing w:after="80" w:before="80"/>
      </w:pPr>
      <w:r>
        <w:t xml:space="preserve"/>
      </w:r>
    </w:p>
    <w:p>
      <w:pPr>
        <w:pStyle w:val="Heading2"/>
        <w:spacing w:after="120" w:before="280"/>
      </w:pPr>
      <w:r>
        <w:rPr>
          <w:rFonts w:ascii="Arial" w:cs="Arial" w:eastAsia="Arial" w:hAnsi="Arial"/>
          <w:b/>
          <w:bCs/>
          <w:color w:val="0F1728"/>
          <w:sz w:val="28"/>
          <w:szCs w:val="28"/>
        </w:rPr>
        <w:t xml:space="preserve">The 5-Signal Copy Scorecard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0D1F3C" w:val="clear"/>
            <w:tcMar>
              <w:top w:type="dxa" w:w="80"/>
              <w:left w:type="dxa" w:w="120"/>
              <w:bottom w:type="dxa" w:w="80"/>
              <w:right w:type="dxa" w:w="120"/>
            </w:tcMar>
          </w:tcPr>
          <w:p>
            <w:r>
              <w:rPr>
                <w:rFonts w:ascii="Arial" w:cs="Arial" w:eastAsia="Arial" w:hAnsi="Arial"/>
                <w:b/>
                <w:bCs/>
                <w:color w:val="FFFFFF"/>
                <w:sz w:val="21"/>
                <w:szCs w:val="21"/>
              </w:rPr>
              <w:t xml:space="preserve">Signal</w:t>
            </w:r>
          </w:p>
        </w:tc>
        <w:tc>
          <w:tcPr>
            <w:tcW w:type="dxa" w:w="5760"/>
            <w:tcBorders>
              <w:top w:val="single" w:color="CCCCCC" w:sz="1"/>
              <w:left w:val="single" w:color="CCCCCC" w:sz="1"/>
              <w:bottom w:val="single" w:color="CCCCCC" w:sz="1"/>
              <w:right w:val="single" w:color="CCCCCC" w:sz="1"/>
            </w:tcBorders>
            <w:shd w:fill="0D1F3C" w:val="clear"/>
            <w:tcMar>
              <w:top w:type="dxa" w:w="80"/>
              <w:left w:type="dxa" w:w="120"/>
              <w:bottom w:type="dxa" w:w="80"/>
              <w:right w:type="dxa" w:w="120"/>
            </w:tcMar>
          </w:tcPr>
          <w:p>
            <w:r>
              <w:rPr>
                <w:rFonts w:ascii="Arial" w:cs="Arial" w:eastAsia="Arial" w:hAnsi="Arial"/>
                <w:color w:val="FFFFFF"/>
                <w:sz w:val="21"/>
                <w:szCs w:val="21"/>
              </w:rPr>
              <w:t xml:space="preserve">Top 1% Target</w:t>
            </w:r>
          </w:p>
        </w:tc>
      </w:tr>
      <w:tr>
        <w:tc>
          <w:tcPr>
            <w:tcW w:type="dxa" w:w="360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r>
              <w:rPr>
                <w:rFonts w:ascii="Arial" w:cs="Arial" w:eastAsia="Arial" w:hAnsi="Arial"/>
                <w:b w:val="false"/>
                <w:bCs w:val="false"/>
                <w:color w:val="1C2B3A"/>
                <w:sz w:val="21"/>
                <w:szCs w:val="21"/>
              </w:rPr>
              <w:t xml:space="preserve">Word count</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1"/>
                <w:szCs w:val="21"/>
              </w:rPr>
              <w:t xml:space="preserve">100–125 words (+19% reply lift)</w:t>
            </w:r>
          </w:p>
        </w:tc>
      </w:tr>
      <w:tr>
        <w:tc>
          <w:tcPr>
            <w:tcW w:type="dxa" w:w="360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r>
              <w:rPr>
                <w:rFonts w:ascii="Arial" w:cs="Arial" w:eastAsia="Arial" w:hAnsi="Arial"/>
                <w:b w:val="false"/>
                <w:bCs w:val="false"/>
                <w:color w:val="1C2B3A"/>
                <w:sz w:val="21"/>
                <w:szCs w:val="21"/>
              </w:rPr>
              <w:t xml:space="preserve">Reading grade level</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1"/>
                <w:szCs w:val="21"/>
              </w:rPr>
              <w:t xml:space="preserve">Grade 6–8 (Flesch-Kincaid)</w:t>
            </w:r>
          </w:p>
        </w:tc>
      </w:tr>
      <w:tr>
        <w:tc>
          <w:tcPr>
            <w:tcW w:type="dxa" w:w="360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r>
              <w:rPr>
                <w:rFonts w:ascii="Arial" w:cs="Arial" w:eastAsia="Arial" w:hAnsi="Arial"/>
                <w:b w:val="false"/>
                <w:bCs w:val="false"/>
                <w:color w:val="1C2B3A"/>
                <w:sz w:val="21"/>
                <w:szCs w:val="21"/>
              </w:rPr>
              <w:t xml:space="preserve">CTA count</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1"/>
                <w:szCs w:val="21"/>
              </w:rPr>
              <w:t xml:space="preserve">Exactly 1 call-to-action</w:t>
            </w:r>
          </w:p>
        </w:tc>
      </w:tr>
      <w:tr>
        <w:tc>
          <w:tcPr>
            <w:tcW w:type="dxa" w:w="360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r>
              <w:rPr>
                <w:rFonts w:ascii="Arial" w:cs="Arial" w:eastAsia="Arial" w:hAnsi="Arial"/>
                <w:b w:val="false"/>
                <w:bCs w:val="false"/>
                <w:color w:val="1C2B3A"/>
                <w:sz w:val="21"/>
                <w:szCs w:val="21"/>
              </w:rPr>
              <w:t xml:space="preserve">Question count</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1"/>
                <w:szCs w:val="21"/>
              </w:rPr>
              <w:t xml:space="preserve">1–2 questions max</w:t>
            </w:r>
          </w:p>
        </w:tc>
      </w:tr>
      <w:tr>
        <w:tc>
          <w:tcPr>
            <w:tcW w:type="dxa" w:w="360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r>
              <w:rPr>
                <w:rFonts w:ascii="Arial" w:cs="Arial" w:eastAsia="Arial" w:hAnsi="Arial"/>
                <w:b w:val="false"/>
                <w:bCs w:val="false"/>
                <w:color w:val="1C2B3A"/>
                <w:sz w:val="21"/>
                <w:szCs w:val="21"/>
              </w:rPr>
              <w:t xml:space="preserve">Personalization tokens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1"/>
                <w:szCs w:val="21"/>
              </w:rPr>
              <w:t xml:space="preserve">2–3 {variable} tags</w:t>
            </w:r>
          </w:p>
        </w:tc>
      </w:tr>
      <w:tr>
        <w:tc>
          <w:tcPr>
            <w:tcW w:type="dxa" w:w="360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r>
              <w:rPr>
                <w:rFonts w:ascii="Arial" w:cs="Arial" w:eastAsia="Arial" w:hAnsi="Arial"/>
                <w:b w:val="false"/>
                <w:bCs w:val="false"/>
                <w:color w:val="1C2B3A"/>
                <w:sz w:val="21"/>
                <w:szCs w:val="21"/>
              </w:rPr>
              <w:t xml:space="preserve">Spam trigger words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1"/>
                <w:szCs w:val="21"/>
              </w:rPr>
              <w:t xml:space="preserve">0 — "free", "guarantee", "limited time" = instant penalty</w:t>
            </w:r>
          </w:p>
        </w:tc>
      </w:tr>
      <w:tr>
        <w:tc>
          <w:tcPr>
            <w:tcW w:type="dxa" w:w="360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r>
              <w:rPr>
                <w:rFonts w:ascii="Arial" w:cs="Arial" w:eastAsia="Arial" w:hAnsi="Arial"/>
                <w:b w:val="false"/>
                <w:bCs w:val="false"/>
                <w:color w:val="1C2B3A"/>
                <w:sz w:val="21"/>
                <w:szCs w:val="21"/>
              </w:rPr>
              <w:t xml:space="preserve">Subject line length</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1"/>
                <w:szCs w:val="21"/>
              </w:rPr>
              <w:t xml:space="preserve">4–7 words</w:t>
            </w:r>
          </w:p>
        </w:tc>
      </w:tr>
      <w:tr>
        <w:tc>
          <w:tcPr>
            <w:tcW w:type="dxa" w:w="360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r>
              <w:rPr>
                <w:rFonts w:ascii="Arial" w:cs="Arial" w:eastAsia="Arial" w:hAnsi="Arial"/>
                <w:b w:val="false"/>
                <w:bCs w:val="false"/>
                <w:color w:val="1C2B3A"/>
                <w:sz w:val="21"/>
                <w:szCs w:val="21"/>
              </w:rPr>
              <w:t xml:space="preserve">Overall score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1"/>
                <w:szCs w:val="21"/>
              </w:rPr>
              <w:t xml:space="preserve">&gt;=80/100 before launch allowed</w:t>
            </w:r>
          </w:p>
        </w:tc>
      </w:tr>
    </w:tbl>
    <w:p>
      <w:pPr>
        <w:spacing w:after="80" w:before="80"/>
      </w:pPr>
      <w:r>
        <w:t xml:space="preserve"/>
      </w:r>
    </w:p>
    <w:p>
      <w:pPr>
        <w:pStyle w:val="Heading2"/>
        <w:spacing w:after="120" w:before="280"/>
      </w:pPr>
      <w:r>
        <w:rPr>
          <w:rFonts w:ascii="Arial" w:cs="Arial" w:eastAsia="Arial" w:hAnsi="Arial"/>
          <w:b/>
          <w:bCs/>
          <w:color w:val="0F1728"/>
          <w:sz w:val="28"/>
          <w:szCs w:val="28"/>
        </w:rPr>
        <w:t xml:space="preserve">Scoring Algorithm (Client-Side, Real-Time)</w:t>
      </w:r>
    </w:p>
    <w:p>
      <w:pPr>
        <w:pStyle w:val="ListParagraph"/>
        <w:numPr>
          <w:ilvl w:val="0"/>
          <w:numId w:val="3"/>
        </w:numPr>
        <w:spacing w:after="60" w:before="60"/>
      </w:pPr>
      <w:r>
        <w:rPr>
          <w:rFonts w:ascii="Arial" w:cs="Arial" w:eastAsia="Arial" w:hAnsi="Arial"/>
          <w:color w:val="1C2B3A"/>
          <w:sz w:val="22"/>
          <w:szCs w:val="22"/>
        </w:rPr>
        <w:t xml:space="preserve">Count words → score 0-20 (peak at 100-125 words)</w:t>
      </w:r>
    </w:p>
    <w:p>
      <w:pPr>
        <w:pStyle w:val="ListParagraph"/>
        <w:numPr>
          <w:ilvl w:val="0"/>
          <w:numId w:val="3"/>
        </w:numPr>
        <w:spacing w:after="60" w:before="60"/>
      </w:pPr>
      <w:r>
        <w:rPr>
          <w:rFonts w:ascii="Arial" w:cs="Arial" w:eastAsia="Arial" w:hAnsi="Arial"/>
          <w:color w:val="1C2B3A"/>
          <w:sz w:val="22"/>
          <w:szCs w:val="22"/>
        </w:rPr>
        <w:t xml:space="preserve">Count CTAs (question marks ending sentences, action verb phrases) → score 0-20</w:t>
      </w:r>
    </w:p>
    <w:p>
      <w:pPr>
        <w:pStyle w:val="ListParagraph"/>
        <w:numPr>
          <w:ilvl w:val="0"/>
          <w:numId w:val="3"/>
        </w:numPr>
        <w:spacing w:after="60" w:before="60"/>
      </w:pPr>
      <w:r>
        <w:rPr>
          <w:rFonts w:ascii="Arial" w:cs="Arial" w:eastAsia="Arial" w:hAnsi="Arial"/>
          <w:color w:val="1C2B3A"/>
          <w:sz w:val="22"/>
          <w:szCs w:val="22"/>
        </w:rPr>
        <w:t xml:space="preserve">Count {variable} tokens → score 0-20</w:t>
      </w:r>
    </w:p>
    <w:p>
      <w:pPr>
        <w:pStyle w:val="ListParagraph"/>
        <w:numPr>
          <w:ilvl w:val="0"/>
          <w:numId w:val="3"/>
        </w:numPr>
        <w:spacing w:after="60" w:before="60"/>
      </w:pPr>
      <w:r>
        <w:rPr>
          <w:rFonts w:ascii="Arial" w:cs="Arial" w:eastAsia="Arial" w:hAnsi="Arial"/>
          <w:color w:val="1C2B3A"/>
          <w:sz w:val="22"/>
          <w:szCs w:val="22"/>
        </w:rPr>
        <w:t xml:space="preserve">Scan for spam words → deduct 5 per hit</w:t>
      </w:r>
    </w:p>
    <w:p>
      <w:pPr>
        <w:pStyle w:val="ListParagraph"/>
        <w:numPr>
          <w:ilvl w:val="0"/>
          <w:numId w:val="3"/>
        </w:numPr>
        <w:spacing w:after="60" w:before="60"/>
      </w:pPr>
      <w:r>
        <w:rPr>
          <w:rFonts w:ascii="Arial" w:cs="Arial" w:eastAsia="Arial" w:hAnsi="Arial"/>
          <w:color w:val="1C2B3A"/>
          <w:sz w:val="22"/>
          <w:szCs w:val="22"/>
        </w:rPr>
        <w:t xml:space="preserve">Check subject line word count → score 0-20</w:t>
      </w:r>
    </w:p>
    <w:p>
      <w:pPr>
        <w:pStyle w:val="ListParagraph"/>
        <w:numPr>
          <w:ilvl w:val="0"/>
          <w:numId w:val="3"/>
        </w:numPr>
        <w:spacing w:after="60" w:before="60"/>
      </w:pPr>
      <w:r>
        <w:rPr>
          <w:rFonts w:ascii="Arial" w:cs="Arial" w:eastAsia="Arial" w:hAnsi="Arial"/>
          <w:color w:val="1C2B3A"/>
          <w:sz w:val="22"/>
          <w:szCs w:val="22"/>
        </w:rPr>
        <w:t xml:space="preserve">Total: 0-100 with pass threshold at 80+</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24D3A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UX RULE</w:t>
            </w:r>
          </w:p>
        </w:tc>
        <w:tc>
          <w:tcPr>
            <w:tcW w:type="dxa" w:w="8160"/>
            <w:tcBorders>
              <w:top w:val="single" w:color="CCCCCC" w:sz="1"/>
              <w:left w:val="single" w:color="CCCCCC" w:sz="1"/>
              <w:bottom w:val="single" w:color="CCCCCC" w:sz="1"/>
              <w:right w:val="single" w:color="CCCCCC" w:sz="1"/>
            </w:tcBorders>
            <w:shd w:fill="EAF6FF" w:val="clear"/>
            <w:tcMar>
              <w:top w:type="dxa" w:w="80"/>
              <w:left w:type="dxa" w:w="160"/>
              <w:bottom w:type="dxa" w:w="80"/>
              <w:right w:type="dxa" w:w="120"/>
            </w:tcMar>
          </w:tcPr>
          <w:p>
            <w:r>
              <w:rPr>
                <w:rFonts w:ascii="Arial" w:cs="Arial" w:eastAsia="Arial" w:hAnsi="Arial"/>
                <w:color w:val="1C2B3A"/>
                <w:sz w:val="21"/>
                <w:szCs w:val="21"/>
              </w:rPr>
              <w:t xml:space="preserve">Show the score live as the user types. Color code: &lt;60 red, 60-79 amber, 80-89 green, 90+ teal accent. Display which signals are failing with one-line fix instructions. This is a conversion coach, not a spell checker.</w:t>
            </w:r>
          </w:p>
        </w:tc>
      </w:tr>
    </w:tbl>
    <w:p>
      <w:pPr>
        <w:pBdr>
          <w:bottom w:val="single" w:color="24D3A7" w:sz="4" w:space="1"/>
        </w:pBdr>
        <w:spacing w:after="160" w:before="160"/>
      </w:pPr>
      <w:r>
        <w:t xml:space="preserve"/>
      </w:r>
    </w:p>
    <w:p>
      <w:r>
        <w:br w:type="page"/>
      </w:r>
    </w:p>
    <w:p>
      <w:pPr>
        <w:pStyle w:val="Heading1"/>
        <w:spacing w:after="160" w:before="360"/>
      </w:pPr>
      <w:r>
        <w:rPr>
          <w:rFonts w:ascii="Arial" w:cs="Arial" w:eastAsia="Arial" w:hAnsi="Arial"/>
          <w:b/>
          <w:bCs/>
          <w:color w:val="0F1728"/>
          <w:sz w:val="36"/>
          <w:szCs w:val="36"/>
        </w:rPr>
        <w:t xml:space="preserve">Skill 5: Guided Campaign Launch Wizard</w:t>
      </w:r>
    </w:p>
    <w:p>
      <w:pPr>
        <w:pStyle w:val="Heading2"/>
        <w:spacing w:after="120" w:before="280"/>
      </w:pPr>
      <w:r>
        <w:rPr>
          <w:rFonts w:ascii="Arial" w:cs="Arial" w:eastAsia="Arial" w:hAnsi="Arial"/>
          <w:b/>
          <w:bCs/>
          <w:color w:val="0F1728"/>
          <w:sz w:val="28"/>
          <w:szCs w:val="28"/>
        </w:rPr>
        <w:t xml:space="preserve">Why a Wizard, Not a Form</w:t>
      </w:r>
    </w:p>
    <w:p>
      <w:pPr>
        <w:spacing w:after="80" w:before="80"/>
      </w:pPr>
      <w:r>
        <w:rPr>
          <w:rFonts w:ascii="Arial" w:cs="Arial" w:eastAsia="Arial" w:hAnsi="Arial"/>
          <w:color w:val="1C2B3A"/>
          <w:sz w:val="22"/>
          <w:szCs w:val="22"/>
        </w:rPr>
        <w:t xml:space="preserve">SaaS Onboarding Design research (RazeGrowth, 2026; Userflow, 2024) shows that step-by-step wizards with clear progress indicators reduce abandonment by 62% and increase task completion rates by 38% versus single long forms. The launch flow is the highest-stakes UX in SignalIQ — it must be bulletproof.</w:t>
      </w:r>
    </w:p>
    <w:p>
      <w:pPr>
        <w:spacing w:after="80" w:before="80"/>
      </w:pPr>
      <w:r>
        <w:t xml:space="preserve"/>
      </w:r>
    </w:p>
    <w:p>
      <w:pPr>
        <w:pStyle w:val="Heading2"/>
        <w:spacing w:after="120" w:before="280"/>
      </w:pPr>
      <w:r>
        <w:rPr>
          <w:rFonts w:ascii="Arial" w:cs="Arial" w:eastAsia="Arial" w:hAnsi="Arial"/>
          <w:b/>
          <w:bCs/>
          <w:color w:val="0F1728"/>
          <w:sz w:val="28"/>
          <w:szCs w:val="28"/>
        </w:rPr>
        <w:t xml:space="preserve">The 6-Step Launch Wizard</w:t>
      </w:r>
    </w:p>
    <w:p>
      <w:pPr>
        <w:pStyle w:val="ListParagraph"/>
        <w:numPr>
          <w:ilvl w:val="0"/>
          <w:numId w:val="3"/>
        </w:numPr>
        <w:spacing w:after="60" w:before="60"/>
      </w:pPr>
      <w:r>
        <w:rPr>
          <w:rFonts w:ascii="Arial" w:cs="Arial" w:eastAsia="Arial" w:hAnsi="Arial"/>
          <w:color w:val="1C2B3A"/>
          <w:sz w:val="22"/>
          <w:szCs w:val="22"/>
        </w:rPr>
        <w:t xml:space="preserve">Step 1 — Campaign Setup: name, niche, level, framework. Shows predicted conversion score live.</w:t>
      </w:r>
    </w:p>
    <w:p>
      <w:pPr>
        <w:pStyle w:val="ListParagraph"/>
        <w:numPr>
          <w:ilvl w:val="0"/>
          <w:numId w:val="3"/>
        </w:numPr>
        <w:spacing w:after="60" w:before="60"/>
      </w:pPr>
      <w:r>
        <w:rPr>
          <w:rFonts w:ascii="Arial" w:cs="Arial" w:eastAsia="Arial" w:hAnsi="Arial"/>
          <w:color w:val="1C2B3A"/>
          <w:sz w:val="22"/>
          <w:szCs w:val="22"/>
        </w:rPr>
        <w:t xml:space="preserve">Step 2 — Audience Selection: filter contacts by niche/level, show eligible count, exclude unsubscribed.</w:t>
      </w:r>
    </w:p>
    <w:p>
      <w:pPr>
        <w:pStyle w:val="ListParagraph"/>
        <w:numPr>
          <w:ilvl w:val="0"/>
          <w:numId w:val="3"/>
        </w:numPr>
        <w:spacing w:after="60" w:before="60"/>
      </w:pPr>
      <w:r>
        <w:rPr>
          <w:rFonts w:ascii="Arial" w:cs="Arial" w:eastAsia="Arial" w:hAnsi="Arial"/>
          <w:color w:val="1C2B3A"/>
          <w:sz w:val="22"/>
          <w:szCs w:val="22"/>
        </w:rPr>
        <w:t xml:space="preserve">Step 3 — Copy Editor: write subject + body with real-time Copy Scorer (Skill 4) active. Must hit 80+ to proceed.</w:t>
      </w:r>
    </w:p>
    <w:p>
      <w:pPr>
        <w:pStyle w:val="ListParagraph"/>
        <w:numPr>
          <w:ilvl w:val="0"/>
          <w:numId w:val="3"/>
        </w:numPr>
        <w:spacing w:after="60" w:before="60"/>
      </w:pPr>
      <w:r>
        <w:rPr>
          <w:rFonts w:ascii="Arial" w:cs="Arial" w:eastAsia="Arial" w:hAnsi="Arial"/>
          <w:color w:val="1C2B3A"/>
          <w:sz w:val="22"/>
          <w:szCs w:val="22"/>
        </w:rPr>
        <w:t xml:space="preserve">Step 4 — SOP Checklist: all 5 SOP steps must be checked. Blocked if incomplete.</w:t>
      </w:r>
    </w:p>
    <w:p>
      <w:pPr>
        <w:pStyle w:val="ListParagraph"/>
        <w:numPr>
          <w:ilvl w:val="0"/>
          <w:numId w:val="3"/>
        </w:numPr>
        <w:spacing w:after="60" w:before="60"/>
      </w:pPr>
      <w:r>
        <w:rPr>
          <w:rFonts w:ascii="Arial" w:cs="Arial" w:eastAsia="Arial" w:hAnsi="Arial"/>
          <w:color w:val="1C2B3A"/>
          <w:sz w:val="22"/>
          <w:szCs w:val="22"/>
        </w:rPr>
        <w:t xml:space="preserve">Step 5 — QA Gates: self check → peer check → lead signoff. All three must pass. Shows who passed each gate.</w:t>
      </w:r>
    </w:p>
    <w:p>
      <w:pPr>
        <w:pStyle w:val="ListParagraph"/>
        <w:numPr>
          <w:ilvl w:val="0"/>
          <w:numId w:val="3"/>
        </w:numPr>
        <w:spacing w:after="60" w:before="60"/>
      </w:pPr>
      <w:r>
        <w:rPr>
          <w:rFonts w:ascii="Arial" w:cs="Arial" w:eastAsia="Arial" w:hAnsi="Arial"/>
          <w:color w:val="1C2B3A"/>
          <w:sz w:val="22"/>
          <w:szCs w:val="22"/>
        </w:rPr>
        <w:t xml:space="preserve">Step 6 — A/B Config (optional): enable split test, set sample size, configure variants. Then launch.</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24D3A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WIZARD RULE</w:t>
            </w:r>
          </w:p>
        </w:tc>
        <w:tc>
          <w:tcPr>
            <w:tcW w:type="dxa" w:w="8160"/>
            <w:tcBorders>
              <w:top w:val="single" w:color="CCCCCC" w:sz="1"/>
              <w:left w:val="single" w:color="CCCCCC" w:sz="1"/>
              <w:bottom w:val="single" w:color="CCCCCC" w:sz="1"/>
              <w:right w:val="single" w:color="CCCCCC" w:sz="1"/>
            </w:tcBorders>
            <w:shd w:fill="EAF6FF" w:val="clear"/>
            <w:tcMar>
              <w:top w:type="dxa" w:w="80"/>
              <w:left w:type="dxa" w:w="160"/>
              <w:bottom w:type="dxa" w:w="80"/>
              <w:right w:type="dxa" w:w="120"/>
            </w:tcMar>
          </w:tcPr>
          <w:p>
            <w:r>
              <w:rPr>
                <w:rFonts w:ascii="Arial" w:cs="Arial" w:eastAsia="Arial" w:hAnsi="Arial"/>
                <w:color w:val="1C2B3A"/>
                <w:sz w:val="21"/>
                <w:szCs w:val="21"/>
              </w:rPr>
              <w:t xml:space="preserve">Each step must show: step number, step name, completion status, and what is required to unlock the next step. A user must never wonder why they cannot proceed. Always show the blocker explicitly.</w:t>
            </w:r>
          </w:p>
        </w:tc>
      </w:tr>
    </w:tbl>
    <w:p>
      <w:pPr>
        <w:spacing w:after="80" w:before="80"/>
      </w:pPr>
      <w:r>
        <w:t xml:space="preserve"/>
      </w:r>
    </w:p>
    <w:p>
      <w:pPr>
        <w:pStyle w:val="Heading2"/>
        <w:spacing w:after="120" w:before="280"/>
      </w:pPr>
      <w:r>
        <w:rPr>
          <w:rFonts w:ascii="Arial" w:cs="Arial" w:eastAsia="Arial" w:hAnsi="Arial"/>
          <w:b/>
          <w:bCs/>
          <w:color w:val="0F1728"/>
          <w:sz w:val="28"/>
          <w:szCs w:val="28"/>
        </w:rPr>
        <w:t xml:space="preserve">State Machine Rules</w:t>
      </w:r>
    </w:p>
    <w:p>
      <w:pPr>
        <w:pStyle w:val="ListParagraph"/>
        <w:numPr>
          <w:ilvl w:val="0"/>
          <w:numId w:val="2"/>
        </w:numPr>
        <w:spacing w:after="60" w:before="60"/>
      </w:pPr>
      <w:r>
        <w:rPr>
          <w:rFonts w:ascii="Arial" w:cs="Arial" w:eastAsia="Arial" w:hAnsi="Arial"/>
          <w:color w:val="1C2B3A"/>
          <w:sz w:val="22"/>
          <w:szCs w:val="22"/>
        </w:rPr>
        <w:t xml:space="preserve">Progress is saved at each step — user can navigate back without losing data</w:t>
      </w:r>
    </w:p>
    <w:p>
      <w:pPr>
        <w:pStyle w:val="ListParagraph"/>
        <w:numPr>
          <w:ilvl w:val="0"/>
          <w:numId w:val="2"/>
        </w:numPr>
        <w:spacing w:after="60" w:before="60"/>
      </w:pPr>
      <w:r>
        <w:rPr>
          <w:rFonts w:ascii="Arial" w:cs="Arial" w:eastAsia="Arial" w:hAnsi="Arial"/>
          <w:color w:val="1C2B3A"/>
          <w:sz w:val="22"/>
          <w:szCs w:val="22"/>
        </w:rPr>
        <w:t xml:space="preserve">Step 5 (QA Gates) is role-gated: lead_signoff requires admin or pod_lead role</w:t>
      </w:r>
    </w:p>
    <w:p>
      <w:pPr>
        <w:pStyle w:val="ListParagraph"/>
        <w:numPr>
          <w:ilvl w:val="0"/>
          <w:numId w:val="2"/>
        </w:numPr>
        <w:spacing w:after="60" w:before="60"/>
      </w:pPr>
      <w:r>
        <w:rPr>
          <w:rFonts w:ascii="Arial" w:cs="Arial" w:eastAsia="Arial" w:hAnsi="Arial"/>
          <w:color w:val="1C2B3A"/>
          <w:sz w:val="22"/>
          <w:szCs w:val="22"/>
        </w:rPr>
        <w:t xml:space="preserve">Launch button is disabled and shows reason if any gate is incomplete</w:t>
      </w:r>
    </w:p>
    <w:p>
      <w:pPr>
        <w:pStyle w:val="ListParagraph"/>
        <w:numPr>
          <w:ilvl w:val="0"/>
          <w:numId w:val="2"/>
        </w:numPr>
        <w:spacing w:after="60" w:before="60"/>
      </w:pPr>
      <w:r>
        <w:rPr>
          <w:rFonts w:ascii="Arial" w:cs="Arial" w:eastAsia="Arial" w:hAnsi="Arial"/>
          <w:color w:val="1C2B3A"/>
          <w:sz w:val="22"/>
          <w:szCs w:val="22"/>
        </w:rPr>
        <w:t xml:space="preserve">After launch: show funnel summary (sent / opened / clicked / replied / converted) immediately</w:t>
      </w:r>
    </w:p>
    <w:p>
      <w:pPr>
        <w:pBdr>
          <w:bottom w:val="single" w:color="24D3A7" w:sz="4" w:space="1"/>
        </w:pBdr>
        <w:spacing w:after="160" w:before="160"/>
      </w:pPr>
      <w:r>
        <w:t xml:space="preserve"/>
      </w:r>
    </w:p>
    <w:p>
      <w:r>
        <w:br w:type="page"/>
      </w:r>
    </w:p>
    <w:p>
      <w:pPr>
        <w:pStyle w:val="Heading1"/>
        <w:spacing w:after="160" w:before="360"/>
      </w:pPr>
      <w:r>
        <w:rPr>
          <w:rFonts w:ascii="Arial" w:cs="Arial" w:eastAsia="Arial" w:hAnsi="Arial"/>
          <w:b/>
          <w:bCs/>
          <w:color w:val="0F1728"/>
          <w:sz w:val="36"/>
          <w:szCs w:val="36"/>
        </w:rPr>
        <w:t xml:space="preserve">Skill 6: Learning Registry — Insights That Compound</w:t>
      </w:r>
    </w:p>
    <w:p>
      <w:pPr>
        <w:pStyle w:val="Heading2"/>
        <w:spacing w:after="120" w:before="280"/>
      </w:pPr>
      <w:r>
        <w:rPr>
          <w:rFonts w:ascii="Arial" w:cs="Arial" w:eastAsia="Arial" w:hAnsi="Arial"/>
          <w:b/>
          <w:bCs/>
          <w:color w:val="0F1728"/>
          <w:sz w:val="28"/>
          <w:szCs w:val="28"/>
        </w:rPr>
        <w:t xml:space="preserve">The Strategic Case</w:t>
      </w:r>
    </w:p>
    <w:p>
      <w:pPr>
        <w:spacing w:after="80" w:before="80"/>
      </w:pPr>
      <w:r>
        <w:rPr>
          <w:rFonts w:ascii="Arial" w:cs="Arial" w:eastAsia="Arial" w:hAnsi="Arial"/>
          <w:color w:val="1C2B3A"/>
          <w:sz w:val="22"/>
          <w:szCs w:val="22"/>
        </w:rPr>
        <w:t xml:space="preserve">Traversal's Knowledge Bank research and Stack AI's Knowledge Base analysis both confirm: the value of an intelligence platform is not in the data it collects — it is in the reusable insights it extracts and surfaces at the right moment. Most outreach teams run hundreds of campaigns and extract zero systematic learning. SignalIQ must change this.</w:t>
      </w:r>
    </w:p>
    <w:p>
      <w:pPr>
        <w:spacing w:after="80" w:before="80"/>
      </w:pPr>
      <w:r>
        <w:t xml:space="preserve"/>
      </w:r>
    </w:p>
    <w:p>
      <w:pPr>
        <w:pStyle w:val="Heading2"/>
        <w:spacing w:after="120" w:before="280"/>
      </w:pPr>
      <w:r>
        <w:rPr>
          <w:rFonts w:ascii="Arial" w:cs="Arial" w:eastAsia="Arial" w:hAnsi="Arial"/>
          <w:b/>
          <w:bCs/>
          <w:color w:val="0F1728"/>
          <w:sz w:val="28"/>
          <w:szCs w:val="28"/>
        </w:rPr>
        <w:t xml:space="preserve">Learning Registry Data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0D1F3C" w:val="clear"/>
            <w:tcMar>
              <w:top w:type="dxa" w:w="80"/>
              <w:left w:type="dxa" w:w="120"/>
              <w:bottom w:type="dxa" w:w="80"/>
              <w:right w:type="dxa" w:w="120"/>
            </w:tcMar>
          </w:tcPr>
          <w:p>
            <w:r>
              <w:rPr>
                <w:rFonts w:ascii="Arial" w:cs="Arial" w:eastAsia="Arial" w:hAnsi="Arial"/>
                <w:b/>
                <w:bCs/>
                <w:color w:val="FFFFFF"/>
                <w:sz w:val="21"/>
                <w:szCs w:val="21"/>
              </w:rPr>
              <w:t xml:space="preserve">Field</w:t>
            </w:r>
          </w:p>
        </w:tc>
        <w:tc>
          <w:tcPr>
            <w:tcW w:type="dxa" w:w="5760"/>
            <w:tcBorders>
              <w:top w:val="single" w:color="CCCCCC" w:sz="1"/>
              <w:left w:val="single" w:color="CCCCCC" w:sz="1"/>
              <w:bottom w:val="single" w:color="CCCCCC" w:sz="1"/>
              <w:right w:val="single" w:color="CCCCCC" w:sz="1"/>
            </w:tcBorders>
            <w:shd w:fill="0D1F3C" w:val="clear"/>
            <w:tcMar>
              <w:top w:type="dxa" w:w="80"/>
              <w:left w:type="dxa" w:w="120"/>
              <w:bottom w:type="dxa" w:w="80"/>
              <w:right w:type="dxa" w:w="120"/>
            </w:tcMar>
          </w:tcPr>
          <w:p>
            <w:r>
              <w:rPr>
                <w:rFonts w:ascii="Arial" w:cs="Arial" w:eastAsia="Arial" w:hAnsi="Arial"/>
                <w:color w:val="FFFFFF"/>
                <w:sz w:val="21"/>
                <w:szCs w:val="21"/>
              </w:rPr>
              <w:t xml:space="preserve">Description</w:t>
            </w:r>
          </w:p>
        </w:tc>
      </w:tr>
      <w:tr>
        <w:tc>
          <w:tcPr>
            <w:tcW w:type="dxa" w:w="360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r>
              <w:rPr>
                <w:rFonts w:ascii="Arial" w:cs="Arial" w:eastAsia="Arial" w:hAnsi="Arial"/>
                <w:b w:val="false"/>
                <w:bCs w:val="false"/>
                <w:color w:val="1C2B3A"/>
                <w:sz w:val="21"/>
                <w:szCs w:val="21"/>
              </w:rPr>
              <w:t xml:space="preserve">insight_text</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1"/>
                <w:szCs w:val="21"/>
              </w:rPr>
              <w:t xml:space="preserve">Plain English: e.g. "PAS in SaaS Mid-Market outperforms AIDA by 18%"</w:t>
            </w:r>
          </w:p>
        </w:tc>
      </w:tr>
      <w:tr>
        <w:tc>
          <w:tcPr>
            <w:tcW w:type="dxa" w:w="360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r>
              <w:rPr>
                <w:rFonts w:ascii="Arial" w:cs="Arial" w:eastAsia="Arial" w:hAnsi="Arial"/>
                <w:b w:val="false"/>
                <w:bCs w:val="false"/>
                <w:color w:val="1C2B3A"/>
                <w:sz w:val="21"/>
                <w:szCs w:val="21"/>
              </w:rPr>
              <w:t xml:space="preserve">signal_type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1"/>
                <w:szCs w:val="21"/>
              </w:rPr>
              <w:t xml:space="preserve">framework | niche | subject_pattern | cta_type | send_window | segment</w:t>
            </w:r>
          </w:p>
        </w:tc>
      </w:tr>
      <w:tr>
        <w:tc>
          <w:tcPr>
            <w:tcW w:type="dxa" w:w="360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r>
              <w:rPr>
                <w:rFonts w:ascii="Arial" w:cs="Arial" w:eastAsia="Arial" w:hAnsi="Arial"/>
                <w:b w:val="false"/>
                <w:bCs w:val="false"/>
                <w:color w:val="1C2B3A"/>
                <w:sz w:val="21"/>
                <w:szCs w:val="21"/>
              </w:rPr>
              <w:t xml:space="preserve">impact</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1"/>
                <w:szCs w:val="21"/>
              </w:rPr>
              <w:t xml:space="preserve">Quantified lift: e.g. "+18% reply rate"</w:t>
            </w:r>
          </w:p>
        </w:tc>
      </w:tr>
      <w:tr>
        <w:tc>
          <w:tcPr>
            <w:tcW w:type="dxa" w:w="360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r>
              <w:rPr>
                <w:rFonts w:ascii="Arial" w:cs="Arial" w:eastAsia="Arial" w:hAnsi="Arial"/>
                <w:b w:val="false"/>
                <w:bCs w:val="false"/>
                <w:color w:val="1C2B3A"/>
                <w:sz w:val="21"/>
                <w:szCs w:val="21"/>
              </w:rPr>
              <w:t xml:space="preserve">confidence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1"/>
                <w:szCs w:val="21"/>
              </w:rPr>
              <w:t xml:space="preserve">0-100 based on sample size and consistency</w:t>
            </w:r>
          </w:p>
        </w:tc>
      </w:tr>
      <w:tr>
        <w:tc>
          <w:tcPr>
            <w:tcW w:type="dxa" w:w="360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r>
              <w:rPr>
                <w:rFonts w:ascii="Arial" w:cs="Arial" w:eastAsia="Arial" w:hAnsi="Arial"/>
                <w:b w:val="false"/>
                <w:bCs w:val="false"/>
                <w:color w:val="1C2B3A"/>
                <w:sz w:val="21"/>
                <w:szCs w:val="21"/>
              </w:rPr>
              <w:t xml:space="preserve">source_campaign_ids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1"/>
                <w:szCs w:val="21"/>
              </w:rPr>
              <w:t xml:space="preserve">Array of campaigns that produced this insight</w:t>
            </w:r>
          </w:p>
        </w:tc>
      </w:tr>
      <w:tr>
        <w:tc>
          <w:tcPr>
            <w:tcW w:type="dxa" w:w="360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r>
              <w:rPr>
                <w:rFonts w:ascii="Arial" w:cs="Arial" w:eastAsia="Arial" w:hAnsi="Arial"/>
                <w:b w:val="false"/>
                <w:bCs w:val="false"/>
                <w:color w:val="1C2B3A"/>
                <w:sz w:val="21"/>
                <w:szCs w:val="21"/>
              </w:rPr>
              <w:t xml:space="preserve">reuse_count</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1"/>
                <w:szCs w:val="21"/>
              </w:rPr>
              <w:t xml:space="preserve">Times this insight has been applied to new campaigns</w:t>
            </w:r>
          </w:p>
        </w:tc>
      </w:tr>
      <w:tr>
        <w:tc>
          <w:tcPr>
            <w:tcW w:type="dxa" w:w="360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r>
              <w:rPr>
                <w:rFonts w:ascii="Arial" w:cs="Arial" w:eastAsia="Arial" w:hAnsi="Arial"/>
                <w:b w:val="false"/>
                <w:bCs w:val="false"/>
                <w:color w:val="1C2B3A"/>
                <w:sz w:val="21"/>
                <w:szCs w:val="21"/>
              </w:rPr>
              <w:t xml:space="preserve">created_at</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1"/>
                <w:szCs w:val="21"/>
              </w:rPr>
              <w:t xml:space="preserve">Timestamp</w:t>
            </w:r>
          </w:p>
        </w:tc>
      </w:tr>
      <w:tr>
        <w:tc>
          <w:tcPr>
            <w:tcW w:type="dxa" w:w="360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r>
              <w:rPr>
                <w:rFonts w:ascii="Arial" w:cs="Arial" w:eastAsia="Arial" w:hAnsi="Arial"/>
                <w:b w:val="false"/>
                <w:bCs w:val="false"/>
                <w:color w:val="1C2B3A"/>
                <w:sz w:val="21"/>
                <w:szCs w:val="21"/>
              </w:rPr>
              <w:t xml:space="preserve">last_validated_at</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1"/>
                <w:szCs w:val="21"/>
              </w:rPr>
              <w:t xml:space="preserve">When last confirmed still valid with new data</w:t>
            </w:r>
          </w:p>
        </w:tc>
      </w:tr>
    </w:tbl>
    <w:p>
      <w:pPr>
        <w:spacing w:after="80" w:before="80"/>
      </w:pPr>
      <w:r>
        <w:t xml:space="preserve"/>
      </w:r>
    </w:p>
    <w:p>
      <w:pPr>
        <w:pStyle w:val="Heading2"/>
        <w:spacing w:after="120" w:before="280"/>
      </w:pPr>
      <w:r>
        <w:rPr>
          <w:rFonts w:ascii="Arial" w:cs="Arial" w:eastAsia="Arial" w:hAnsi="Arial"/>
          <w:b/>
          <w:bCs/>
          <w:color w:val="0F1728"/>
          <w:sz w:val="28"/>
          <w:szCs w:val="28"/>
        </w:rPr>
        <w:t xml:space="preserve">Auto-Extraction Rules</w:t>
      </w:r>
    </w:p>
    <w:p>
      <w:pPr>
        <w:pStyle w:val="ListParagraph"/>
        <w:numPr>
          <w:ilvl w:val="0"/>
          <w:numId w:val="2"/>
        </w:numPr>
        <w:spacing w:after="60" w:before="60"/>
      </w:pPr>
      <w:r>
        <w:rPr>
          <w:rFonts w:ascii="Arial" w:cs="Arial" w:eastAsia="Arial" w:hAnsi="Arial"/>
          <w:color w:val="1C2B3A"/>
          <w:sz w:val="22"/>
          <w:szCs w:val="22"/>
        </w:rPr>
        <w:t xml:space="preserve">After every campaign launch with &gt;10 sends: compare actual vs predicted. If delta &gt;15%, auto-create an insight.</w:t>
      </w:r>
    </w:p>
    <w:p>
      <w:pPr>
        <w:pStyle w:val="ListParagraph"/>
        <w:numPr>
          <w:ilvl w:val="0"/>
          <w:numId w:val="2"/>
        </w:numPr>
        <w:spacing w:after="60" w:before="60"/>
      </w:pPr>
      <w:r>
        <w:rPr>
          <w:rFonts w:ascii="Arial" w:cs="Arial" w:eastAsia="Arial" w:hAnsi="Arial"/>
          <w:color w:val="1C2B3A"/>
          <w:sz w:val="22"/>
          <w:szCs w:val="22"/>
        </w:rPr>
        <w:t xml:space="preserve">Weekly batch: cluster top 3 over-performing segments and generate insight entries automatically.</w:t>
      </w:r>
    </w:p>
    <w:p>
      <w:pPr>
        <w:pStyle w:val="ListParagraph"/>
        <w:numPr>
          <w:ilvl w:val="0"/>
          <w:numId w:val="2"/>
        </w:numPr>
        <w:spacing w:after="60" w:before="60"/>
      </w:pPr>
      <w:r>
        <w:rPr>
          <w:rFonts w:ascii="Arial" w:cs="Arial" w:eastAsia="Arial" w:hAnsi="Arial"/>
          <w:color w:val="1C2B3A"/>
          <w:sz w:val="22"/>
          <w:szCs w:val="22"/>
        </w:rPr>
        <w:t xml:space="preserve">Surface relevant insights at campaign creation time: "For SaaS/Mid-Market with PAS, history shows +18% lift."</w:t>
      </w:r>
    </w:p>
    <w:p>
      <w:pPr>
        <w:pStyle w:val="ListParagraph"/>
        <w:numPr>
          <w:ilvl w:val="0"/>
          <w:numId w:val="2"/>
        </w:numPr>
        <w:spacing w:after="60" w:before="60"/>
      </w:pPr>
      <w:r>
        <w:rPr>
          <w:rFonts w:ascii="Arial" w:cs="Arial" w:eastAsia="Arial" w:hAnsi="Arial"/>
          <w:color w:val="1C2B3A"/>
          <w:sz w:val="22"/>
          <w:szCs w:val="22"/>
        </w:rPr>
        <w:t xml:space="preserve">Deprecation: insights with &lt;70% confidence over last 10 validations are flagged as stale.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24D3A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VALUE PROP</w:t>
            </w:r>
          </w:p>
        </w:tc>
        <w:tc>
          <w:tcPr>
            <w:tcW w:type="dxa" w:w="8160"/>
            <w:tcBorders>
              <w:top w:val="single" w:color="CCCCCC" w:sz="1"/>
              <w:left w:val="single" w:color="CCCCCC" w:sz="1"/>
              <w:bottom w:val="single" w:color="CCCCCC" w:sz="1"/>
              <w:right w:val="single" w:color="CCCCCC" w:sz="1"/>
            </w:tcBorders>
            <w:shd w:fill="EAF6FF" w:val="clear"/>
            <w:tcMar>
              <w:top w:type="dxa" w:w="80"/>
              <w:left w:type="dxa" w:w="160"/>
              <w:bottom w:type="dxa" w:w="80"/>
              <w:right w:type="dxa" w:w="120"/>
            </w:tcMar>
          </w:tcPr>
          <w:p>
            <w:r>
              <w:rPr>
                <w:rFonts w:ascii="Arial" w:cs="Arial" w:eastAsia="Arial" w:hAnsi="Arial"/>
                <w:color w:val="1C2B3A"/>
                <w:sz w:val="21"/>
                <w:szCs w:val="21"/>
              </w:rPr>
              <w:t xml:space="preserve">After 90 days of operation, SignalIQ holds a proprietary learning registry unique to each user's audience. This is data no competitor can replicate. It is the compounding moat.</w:t>
            </w:r>
          </w:p>
        </w:tc>
      </w:tr>
    </w:tbl>
    <w:p>
      <w:pPr>
        <w:pBdr>
          <w:bottom w:val="single" w:color="24D3A7" w:sz="4" w:space="1"/>
        </w:pBdr>
        <w:spacing w:after="160" w:before="160"/>
      </w:pPr>
      <w:r>
        <w:t xml:space="preserve"/>
      </w:r>
    </w:p>
    <w:p>
      <w:r>
        <w:br w:type="page"/>
      </w:r>
    </w:p>
    <w:p>
      <w:pPr>
        <w:pStyle w:val="Heading1"/>
        <w:spacing w:after="160" w:before="360"/>
      </w:pPr>
      <w:r>
        <w:rPr>
          <w:rFonts w:ascii="Arial" w:cs="Arial" w:eastAsia="Arial" w:hAnsi="Arial"/>
          <w:b/>
          <w:bCs/>
          <w:color w:val="0F1728"/>
          <w:sz w:val="36"/>
          <w:szCs w:val="36"/>
        </w:rPr>
        <w:t xml:space="preserve">Skill 7: Onboarding Flow — First-Time Activation</w:t>
      </w:r>
    </w:p>
    <w:p>
      <w:pPr>
        <w:pStyle w:val="Heading2"/>
        <w:spacing w:after="120" w:before="280"/>
      </w:pPr>
      <w:r>
        <w:rPr>
          <w:rFonts w:ascii="Arial" w:cs="Arial" w:eastAsia="Arial" w:hAnsi="Arial"/>
          <w:b/>
          <w:bCs/>
          <w:color w:val="0F1728"/>
          <w:sz w:val="28"/>
          <w:szCs w:val="28"/>
        </w:rPr>
        <w:t xml:space="preserve">The Activation Problem</w:t>
      </w:r>
    </w:p>
    <w:p>
      <w:pPr>
        <w:spacing w:after="80" w:before="80"/>
      </w:pPr>
      <w:r>
        <w:rPr>
          <w:rFonts w:ascii="Arial" w:cs="Arial" w:eastAsia="Arial" w:hAnsi="Arial"/>
          <w:color w:val="1C2B3A"/>
          <w:sz w:val="22"/>
          <w:szCs w:val="22"/>
        </w:rPr>
        <w:t xml:space="preserve">Jimo's 2026 SaaS Onboarding research and DesignRevision's best practices analysis show: 60% of SaaS churn happens in the first 7 days, and 80% of that is because users never reach their "aha moment." For SignalIQ, the aha moment is: first campaign launched with a passing copy score and a real result returned.</w:t>
      </w:r>
    </w:p>
    <w:p>
      <w:pPr>
        <w:spacing w:after="80" w:before="80"/>
      </w:pPr>
      <w:r>
        <w:t xml:space="preserve"/>
      </w:r>
    </w:p>
    <w:p>
      <w:pPr>
        <w:pStyle w:val="Heading2"/>
        <w:spacing w:after="120" w:before="280"/>
      </w:pPr>
      <w:r>
        <w:rPr>
          <w:rFonts w:ascii="Arial" w:cs="Arial" w:eastAsia="Arial" w:hAnsi="Arial"/>
          <w:b/>
          <w:bCs/>
          <w:color w:val="0F1728"/>
          <w:sz w:val="28"/>
          <w:szCs w:val="28"/>
        </w:rPr>
        <w:t xml:space="preserve">The 4-Step Activation Journey</w:t>
      </w:r>
    </w:p>
    <w:p>
      <w:pPr>
        <w:pStyle w:val="ListParagraph"/>
        <w:numPr>
          <w:ilvl w:val="0"/>
          <w:numId w:val="3"/>
        </w:numPr>
        <w:spacing w:after="60" w:before="60"/>
      </w:pPr>
      <w:r>
        <w:rPr>
          <w:rFonts w:ascii="Arial" w:cs="Arial" w:eastAsia="Arial" w:hAnsi="Arial"/>
          <w:color w:val="1C2B3A"/>
          <w:sz w:val="22"/>
          <w:szCs w:val="22"/>
        </w:rPr>
        <w:t xml:space="preserve">Add first contact (trigger: contacts &gt; 0) → show celebration state + "Now create your first campaign"</w:t>
      </w:r>
    </w:p>
    <w:p>
      <w:pPr>
        <w:pStyle w:val="ListParagraph"/>
        <w:numPr>
          <w:ilvl w:val="0"/>
          <w:numId w:val="3"/>
        </w:numPr>
        <w:spacing w:after="60" w:before="60"/>
      </w:pPr>
      <w:r>
        <w:rPr>
          <w:rFonts w:ascii="Arial" w:cs="Arial" w:eastAsia="Arial" w:hAnsi="Arial"/>
          <w:color w:val="1C2B3A"/>
          <w:sz w:val="22"/>
          <w:szCs w:val="22"/>
        </w:rPr>
        <w:t xml:space="preserve">Create first campaign (trigger: campaigns &gt; 0) → auto-open the Workflow Ops tab with guided tooltip</w:t>
      </w:r>
    </w:p>
    <w:p>
      <w:pPr>
        <w:pStyle w:val="ListParagraph"/>
        <w:numPr>
          <w:ilvl w:val="0"/>
          <w:numId w:val="3"/>
        </w:numPr>
        <w:spacing w:after="60" w:before="60"/>
      </w:pPr>
      <w:r>
        <w:rPr>
          <w:rFonts w:ascii="Arial" w:cs="Arial" w:eastAsia="Arial" w:hAnsi="Arial"/>
          <w:color w:val="1C2B3A"/>
          <w:sz w:val="22"/>
          <w:szCs w:val="22"/>
        </w:rPr>
        <w:t xml:space="preserve">Complete SOP + QA gates → show progress bar filling, unlock Launch button</w:t>
      </w:r>
    </w:p>
    <w:p>
      <w:pPr>
        <w:pStyle w:val="ListParagraph"/>
        <w:numPr>
          <w:ilvl w:val="0"/>
          <w:numId w:val="3"/>
        </w:numPr>
        <w:spacing w:after="60" w:before="60"/>
      </w:pPr>
      <w:r>
        <w:rPr>
          <w:rFonts w:ascii="Arial" w:cs="Arial" w:eastAsia="Arial" w:hAnsi="Arial"/>
          <w:color w:val="1C2B3A"/>
          <w:sz w:val="22"/>
          <w:szCs w:val="22"/>
        </w:rPr>
        <w:t xml:space="preserve">First launch → show funnel result card with actual conversion score → "Your Intelligence Loop has started"</w:t>
      </w:r>
    </w:p>
    <w:p>
      <w:pPr>
        <w:spacing w:after="80" w:before="80"/>
      </w:pPr>
      <w:r>
        <w:t xml:space="preserve"/>
      </w:r>
    </w:p>
    <w:p>
      <w:pPr>
        <w:pStyle w:val="Heading2"/>
        <w:spacing w:after="120" w:before="280"/>
      </w:pPr>
      <w:r>
        <w:rPr>
          <w:rFonts w:ascii="Arial" w:cs="Arial" w:eastAsia="Arial" w:hAnsi="Arial"/>
          <w:b/>
          <w:bCs/>
          <w:color w:val="0F1728"/>
          <w:sz w:val="28"/>
          <w:szCs w:val="28"/>
        </w:rPr>
        <w:t xml:space="preserve">Onboarding Design Rules</w:t>
      </w:r>
    </w:p>
    <w:p>
      <w:pPr>
        <w:pStyle w:val="ListParagraph"/>
        <w:numPr>
          <w:ilvl w:val="0"/>
          <w:numId w:val="2"/>
        </w:numPr>
        <w:spacing w:after="60" w:before="60"/>
      </w:pPr>
      <w:r>
        <w:rPr>
          <w:rFonts w:ascii="Arial" w:cs="Arial" w:eastAsia="Arial" w:hAnsi="Arial"/>
          <w:color w:val="1C2B3A"/>
          <w:sz w:val="22"/>
          <w:szCs w:val="22"/>
        </w:rPr>
        <w:t xml:space="preserve">Progress indicator: 4-step bar always visible until all 4 steps are complete</w:t>
      </w:r>
    </w:p>
    <w:p>
      <w:pPr>
        <w:pStyle w:val="ListParagraph"/>
        <w:numPr>
          <w:ilvl w:val="0"/>
          <w:numId w:val="2"/>
        </w:numPr>
        <w:spacing w:after="60" w:before="60"/>
      </w:pPr>
      <w:r>
        <w:rPr>
          <w:rFonts w:ascii="Arial" w:cs="Arial" w:eastAsia="Arial" w:hAnsi="Arial"/>
          <w:color w:val="1C2B3A"/>
          <w:sz w:val="22"/>
          <w:szCs w:val="22"/>
        </w:rPr>
        <w:t xml:space="preserve">Each incomplete step shows a single, specific action ("Add your first contact →")</w:t>
      </w:r>
    </w:p>
    <w:p>
      <w:pPr>
        <w:pStyle w:val="ListParagraph"/>
        <w:numPr>
          <w:ilvl w:val="0"/>
          <w:numId w:val="2"/>
        </w:numPr>
        <w:spacing w:after="60" w:before="60"/>
      </w:pPr>
      <w:r>
        <w:rPr>
          <w:rFonts w:ascii="Arial" w:cs="Arial" w:eastAsia="Arial" w:hAnsi="Arial"/>
          <w:color w:val="1C2B3A"/>
          <w:sz w:val="22"/>
          <w:szCs w:val="22"/>
        </w:rPr>
        <w:t xml:space="preserve">Empty states are coaches: "No campaigns yet — your conversion predictions appear here" with CTA button</w:t>
      </w:r>
    </w:p>
    <w:p>
      <w:pPr>
        <w:pStyle w:val="ListParagraph"/>
        <w:numPr>
          <w:ilvl w:val="0"/>
          <w:numId w:val="2"/>
        </w:numPr>
        <w:spacing w:after="60" w:before="60"/>
      </w:pPr>
      <w:r>
        <w:rPr>
          <w:rFonts w:ascii="Arial" w:cs="Arial" w:eastAsia="Arial" w:hAnsi="Arial"/>
          <w:color w:val="1C2B3A"/>
          <w:sz w:val="22"/>
          <w:szCs w:val="22"/>
        </w:rPr>
        <w:t xml:space="preserve">Onboarding state is stored in localStorage, not server — zero latency, immediate UX</w:t>
      </w:r>
    </w:p>
    <w:p>
      <w:pPr>
        <w:pStyle w:val="ListParagraph"/>
        <w:numPr>
          <w:ilvl w:val="0"/>
          <w:numId w:val="2"/>
        </w:numPr>
        <w:spacing w:after="60" w:before="60"/>
      </w:pPr>
      <w:r>
        <w:rPr>
          <w:rFonts w:ascii="Arial" w:cs="Arial" w:eastAsia="Arial" w:hAnsi="Arial"/>
          <w:color w:val="1C2B3A"/>
          <w:sz w:val="22"/>
          <w:szCs w:val="22"/>
        </w:rPr>
        <w:t xml:space="preserve">Dismiss option: "I know what I'm doing" skips onboarding after step 1</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24D3A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ACTIVATION METRIC</w:t>
            </w:r>
          </w:p>
        </w:tc>
        <w:tc>
          <w:tcPr>
            <w:tcW w:type="dxa" w:w="8160"/>
            <w:tcBorders>
              <w:top w:val="single" w:color="CCCCCC" w:sz="1"/>
              <w:left w:val="single" w:color="CCCCCC" w:sz="1"/>
              <w:bottom w:val="single" w:color="CCCCCC" w:sz="1"/>
              <w:right w:val="single" w:color="CCCCCC" w:sz="1"/>
            </w:tcBorders>
            <w:shd w:fill="EAF6FF" w:val="clear"/>
            <w:tcMar>
              <w:top w:type="dxa" w:w="80"/>
              <w:left w:type="dxa" w:w="160"/>
              <w:bottom w:type="dxa" w:w="80"/>
              <w:right w:type="dxa" w:w="120"/>
            </w:tcMar>
          </w:tcPr>
          <w:p>
            <w:r>
              <w:rPr>
                <w:rFonts w:ascii="Arial" w:cs="Arial" w:eastAsia="Arial" w:hAnsi="Arial"/>
                <w:color w:val="1C2B3A"/>
                <w:sz w:val="21"/>
                <w:szCs w:val="21"/>
              </w:rPr>
              <w:t xml:space="preserve">Target: 80% of new users complete all 4 activation steps within their first session. This is the retention anchor. Users who complete the flow have 3x 30-day retention vs users who do not.</w:t>
            </w:r>
          </w:p>
        </w:tc>
      </w:tr>
    </w:tbl>
    <w:p>
      <w:pPr>
        <w:pBdr>
          <w:bottom w:val="single" w:color="24D3A7" w:sz="4" w:space="1"/>
        </w:pBdr>
        <w:spacing w:after="160" w:before="160"/>
      </w:pPr>
      <w:r>
        <w:t xml:space="preserve"/>
      </w:r>
    </w:p>
    <w:p>
      <w:r>
        <w:br w:type="page"/>
      </w:r>
    </w:p>
    <w:p>
      <w:pPr>
        <w:pStyle w:val="Heading1"/>
        <w:spacing w:after="160" w:before="360"/>
      </w:pPr>
      <w:r>
        <w:rPr>
          <w:rFonts w:ascii="Arial" w:cs="Arial" w:eastAsia="Arial" w:hAnsi="Arial"/>
          <w:b/>
          <w:bCs/>
          <w:color w:val="0F1728"/>
          <w:sz w:val="36"/>
          <w:szCs w:val="36"/>
        </w:rPr>
        <w:t xml:space="preserve">Skill 8: Overview Dashboard — Command Center</w:t>
      </w:r>
    </w:p>
    <w:p>
      <w:pPr>
        <w:pStyle w:val="Heading2"/>
        <w:spacing w:after="120" w:before="280"/>
      </w:pPr>
      <w:r>
        <w:rPr>
          <w:rFonts w:ascii="Arial" w:cs="Arial" w:eastAsia="Arial" w:hAnsi="Arial"/>
          <w:b/>
          <w:bCs/>
          <w:color w:val="0F1728"/>
          <w:sz w:val="28"/>
          <w:szCs w:val="28"/>
        </w:rPr>
        <w:t xml:space="preserve">What Best-in-Class Looks Like</w:t>
      </w:r>
    </w:p>
    <w:p>
      <w:pPr>
        <w:spacing w:after="80" w:before="80"/>
      </w:pPr>
      <w:r>
        <w:rPr>
          <w:rFonts w:ascii="Arial" w:cs="Arial" w:eastAsia="Arial" w:hAnsi="Arial"/>
          <w:color w:val="1C2B3A"/>
          <w:sz w:val="22"/>
          <w:szCs w:val="22"/>
        </w:rPr>
        <w:t xml:space="preserve">Outreach.io's 2024 dashboard research and Databox's outreach dashboard examples identify the same pattern in top-performing sales tools: the overview is a single-screen command center — not a data dump. It answers three questions instantly: How am I doing? What is working? What needs attention?</w:t>
      </w:r>
    </w:p>
    <w:p>
      <w:pPr>
        <w:spacing w:after="80" w:before="80"/>
      </w:pPr>
      <w:r>
        <w:t xml:space="preserve"/>
      </w:r>
    </w:p>
    <w:p>
      <w:pPr>
        <w:pStyle w:val="Heading2"/>
        <w:spacing w:after="120" w:before="280"/>
      </w:pPr>
      <w:r>
        <w:rPr>
          <w:rFonts w:ascii="Arial" w:cs="Arial" w:eastAsia="Arial" w:hAnsi="Arial"/>
          <w:b/>
          <w:bCs/>
          <w:color w:val="0F1728"/>
          <w:sz w:val="28"/>
          <w:szCs w:val="28"/>
        </w:rPr>
        <w:t xml:space="preserve">Overview Dashboard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0D1F3C" w:val="clear"/>
            <w:tcMar>
              <w:top w:type="dxa" w:w="80"/>
              <w:left w:type="dxa" w:w="120"/>
              <w:bottom w:type="dxa" w:w="80"/>
              <w:right w:type="dxa" w:w="120"/>
            </w:tcMar>
          </w:tcPr>
          <w:p>
            <w:r>
              <w:rPr>
                <w:rFonts w:ascii="Arial" w:cs="Arial" w:eastAsia="Arial" w:hAnsi="Arial"/>
                <w:b/>
                <w:bCs/>
                <w:color w:val="FFFFFF"/>
                <w:sz w:val="21"/>
                <w:szCs w:val="21"/>
              </w:rPr>
              <w:t xml:space="preserve">Zone</w:t>
            </w:r>
          </w:p>
        </w:tc>
        <w:tc>
          <w:tcPr>
            <w:tcW w:type="dxa" w:w="5760"/>
            <w:tcBorders>
              <w:top w:val="single" w:color="CCCCCC" w:sz="1"/>
              <w:left w:val="single" w:color="CCCCCC" w:sz="1"/>
              <w:bottom w:val="single" w:color="CCCCCC" w:sz="1"/>
              <w:right w:val="single" w:color="CCCCCC" w:sz="1"/>
            </w:tcBorders>
            <w:shd w:fill="0D1F3C" w:val="clear"/>
            <w:tcMar>
              <w:top w:type="dxa" w:w="80"/>
              <w:left w:type="dxa" w:w="120"/>
              <w:bottom w:type="dxa" w:w="80"/>
              <w:right w:type="dxa" w:w="120"/>
            </w:tcMar>
          </w:tcPr>
          <w:p>
            <w:r>
              <w:rPr>
                <w:rFonts w:ascii="Arial" w:cs="Arial" w:eastAsia="Arial" w:hAnsi="Arial"/>
                <w:color w:val="FFFFFF"/>
                <w:sz w:val="21"/>
                <w:szCs w:val="21"/>
              </w:rPr>
              <w:t xml:space="preserve">Content</w:t>
            </w:r>
          </w:p>
        </w:tc>
      </w:tr>
      <w:tr>
        <w:tc>
          <w:tcPr>
            <w:tcW w:type="dxa" w:w="360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r>
              <w:rPr>
                <w:rFonts w:ascii="Arial" w:cs="Arial" w:eastAsia="Arial" w:hAnsi="Arial"/>
                <w:b w:val="false"/>
                <w:bCs w:val="false"/>
                <w:color w:val="1C2B3A"/>
                <w:sz w:val="21"/>
                <w:szCs w:val="21"/>
              </w:rPr>
              <w:t xml:space="preserve">Hero metrics row (top)</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1"/>
                <w:szCs w:val="21"/>
              </w:rPr>
              <w:t xml:space="preserve">4 stat cards: Total Sends, Open Rate, Reply Rate, Conversion Rate — each with trend arrow</w:t>
            </w:r>
          </w:p>
        </w:tc>
      </w:tr>
      <w:tr>
        <w:tc>
          <w:tcPr>
            <w:tcW w:type="dxa" w:w="360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r>
              <w:rPr>
                <w:rFonts w:ascii="Arial" w:cs="Arial" w:eastAsia="Arial" w:hAnsi="Arial"/>
                <w:b w:val="false"/>
                <w:bCs w:val="false"/>
                <w:color w:val="1C2B3A"/>
                <w:sz w:val="21"/>
                <w:szCs w:val="21"/>
              </w:rPr>
              <w:t xml:space="preserve">Intelligence Pulse (middle-left)</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1"/>
                <w:szCs w:val="21"/>
              </w:rPr>
              <w:t xml:space="preserve">Top 3 learning signals with impact and confidence badges</w:t>
            </w:r>
          </w:p>
        </w:tc>
      </w:tr>
      <w:tr>
        <w:tc>
          <w:tcPr>
            <w:tcW w:type="dxa" w:w="360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r>
              <w:rPr>
                <w:rFonts w:ascii="Arial" w:cs="Arial" w:eastAsia="Arial" w:hAnsi="Arial"/>
                <w:b w:val="false"/>
                <w:bCs w:val="false"/>
                <w:color w:val="1C2B3A"/>
                <w:sz w:val="21"/>
                <w:szCs w:val="21"/>
              </w:rPr>
              <w:t xml:space="preserve">Campaign Status (middle-right)</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1"/>
                <w:szCs w:val="21"/>
              </w:rPr>
              <w:t xml:space="preserve">Active campaigns with status: draft / running / needs QA / blocked</w:t>
            </w:r>
          </w:p>
        </w:tc>
      </w:tr>
      <w:tr>
        <w:tc>
          <w:tcPr>
            <w:tcW w:type="dxa" w:w="360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r>
              <w:rPr>
                <w:rFonts w:ascii="Arial" w:cs="Arial" w:eastAsia="Arial" w:hAnsi="Arial"/>
                <w:b w:val="false"/>
                <w:bCs w:val="false"/>
                <w:color w:val="1C2B3A"/>
                <w:sz w:val="21"/>
                <w:szCs w:val="21"/>
              </w:rPr>
              <w:t xml:space="preserve">Prediction Accuracy (bottom-left)</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1"/>
                <w:szCs w:val="21"/>
              </w:rPr>
              <w:t xml:space="preserve">Avg predicted vs avg actual delta across last 10 campaigns</w:t>
            </w:r>
          </w:p>
        </w:tc>
      </w:tr>
      <w:tr>
        <w:tc>
          <w:tcPr>
            <w:tcW w:type="dxa" w:w="360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r>
              <w:rPr>
                <w:rFonts w:ascii="Arial" w:cs="Arial" w:eastAsia="Arial" w:hAnsi="Arial"/>
                <w:b w:val="false"/>
                <w:bCs w:val="false"/>
                <w:color w:val="1C2B3A"/>
                <w:sz w:val="21"/>
                <w:szCs w:val="21"/>
              </w:rPr>
              <w:t xml:space="preserve">Quick Actions (bottom-right)</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1"/>
                <w:szCs w:val="21"/>
              </w:rPr>
              <w:t xml:space="preserve">One-click: Add Contact, New Campaign, View KPIs</w:t>
            </w:r>
          </w:p>
        </w:tc>
      </w:tr>
    </w:tbl>
    <w:p>
      <w:pPr>
        <w:spacing w:after="80" w:before="80"/>
      </w:pPr>
      <w:r>
        <w:t xml:space="preserve"/>
      </w:r>
    </w:p>
    <w:p>
      <w:pPr>
        <w:pStyle w:val="Heading2"/>
        <w:spacing w:after="120" w:before="280"/>
      </w:pPr>
      <w:r>
        <w:rPr>
          <w:rFonts w:ascii="Arial" w:cs="Arial" w:eastAsia="Arial" w:hAnsi="Arial"/>
          <w:b/>
          <w:bCs/>
          <w:color w:val="0F1728"/>
          <w:sz w:val="28"/>
          <w:szCs w:val="28"/>
        </w:rPr>
        <w:t xml:space="preserve">Design Rules</w:t>
      </w:r>
    </w:p>
    <w:p>
      <w:pPr>
        <w:pStyle w:val="ListParagraph"/>
        <w:numPr>
          <w:ilvl w:val="0"/>
          <w:numId w:val="2"/>
        </w:numPr>
        <w:spacing w:after="60" w:before="60"/>
      </w:pPr>
      <w:r>
        <w:rPr>
          <w:rFonts w:ascii="Arial" w:cs="Arial" w:eastAsia="Arial" w:hAnsi="Arial"/>
          <w:color w:val="1C2B3A"/>
          <w:sz w:val="22"/>
          <w:szCs w:val="22"/>
        </w:rPr>
        <w:t xml:space="preserve">Every number has context: show vs last 7 days, vs baseline, or vs benchmark</w:t>
      </w:r>
    </w:p>
    <w:p>
      <w:pPr>
        <w:pStyle w:val="ListParagraph"/>
        <w:numPr>
          <w:ilvl w:val="0"/>
          <w:numId w:val="2"/>
        </w:numPr>
        <w:spacing w:after="60" w:before="60"/>
      </w:pPr>
      <w:r>
        <w:rPr>
          <w:rFonts w:ascii="Arial" w:cs="Arial" w:eastAsia="Arial" w:hAnsi="Arial"/>
          <w:color w:val="1C2B3A"/>
          <w:sz w:val="22"/>
          <w:szCs w:val="22"/>
        </w:rPr>
        <w:t xml:space="preserve">Campaign status uses color-coded badges: green=running, amber=needs action, red=blocked</w:t>
      </w:r>
    </w:p>
    <w:p>
      <w:pPr>
        <w:pStyle w:val="ListParagraph"/>
        <w:numPr>
          <w:ilvl w:val="0"/>
          <w:numId w:val="2"/>
        </w:numPr>
        <w:spacing w:after="60" w:before="60"/>
      </w:pPr>
      <w:r>
        <w:rPr>
          <w:rFonts w:ascii="Arial" w:cs="Arial" w:eastAsia="Arial" w:hAnsi="Arial"/>
          <w:color w:val="1C2B3A"/>
          <w:sz w:val="22"/>
          <w:szCs w:val="22"/>
        </w:rPr>
        <w:t xml:space="preserve">Intelligence Pulse rotates top 3 insights by confidence score — auto-refreshes after each campaign</w:t>
      </w:r>
    </w:p>
    <w:p>
      <w:pPr>
        <w:pStyle w:val="ListParagraph"/>
        <w:numPr>
          <w:ilvl w:val="0"/>
          <w:numId w:val="2"/>
        </w:numPr>
        <w:spacing w:after="60" w:before="60"/>
      </w:pPr>
      <w:r>
        <w:rPr>
          <w:rFonts w:ascii="Arial" w:cs="Arial" w:eastAsia="Arial" w:hAnsi="Arial"/>
          <w:color w:val="1C2B3A"/>
          <w:sz w:val="22"/>
          <w:szCs w:val="22"/>
        </w:rPr>
        <w:t xml:space="preserve">The overview answers the question "what do I do next?" — every element points to an action</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24D3A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TOP 1% STANDARD</w:t>
            </w:r>
          </w:p>
        </w:tc>
        <w:tc>
          <w:tcPr>
            <w:tcW w:type="dxa" w:w="8160"/>
            <w:tcBorders>
              <w:top w:val="single" w:color="CCCCCC" w:sz="1"/>
              <w:left w:val="single" w:color="CCCCCC" w:sz="1"/>
              <w:bottom w:val="single" w:color="CCCCCC" w:sz="1"/>
              <w:right w:val="single" w:color="CCCCCC" w:sz="1"/>
            </w:tcBorders>
            <w:shd w:fill="EAF6FF" w:val="clear"/>
            <w:tcMar>
              <w:top w:type="dxa" w:w="80"/>
              <w:left w:type="dxa" w:w="160"/>
              <w:bottom w:type="dxa" w:w="80"/>
              <w:right w:type="dxa" w:w="120"/>
            </w:tcMar>
          </w:tcPr>
          <w:p>
            <w:r>
              <w:rPr>
                <w:rFonts w:ascii="Arial" w:cs="Arial" w:eastAsia="Arial" w:hAnsi="Arial"/>
                <w:color w:val="1C2B3A"/>
                <w:sz w:val="21"/>
                <w:szCs w:val="21"/>
              </w:rPr>
              <w:t xml:space="preserve">A top 1% overview dashboard requires zero clicks to understand the health of the platform and zero ambiguity about the next action to take. If the user has to hunt for information, the dashboard has failed.</w:t>
            </w:r>
          </w:p>
        </w:tc>
      </w:tr>
    </w:tbl>
    <w:p>
      <w:pPr>
        <w:pBdr>
          <w:bottom w:val="single" w:color="24D3A7" w:sz="4" w:space="1"/>
        </w:pBdr>
        <w:spacing w:after="160" w:before="160"/>
      </w:pPr>
      <w:r>
        <w:t xml:space="preserve"/>
      </w:r>
    </w:p>
    <w:p>
      <w:r>
        <w:br w:type="page"/>
      </w:r>
    </w:p>
    <w:p>
      <w:pPr>
        <w:pStyle w:val="Heading1"/>
        <w:spacing w:after="160" w:before="360"/>
      </w:pPr>
      <w:r>
        <w:rPr>
          <w:rFonts w:ascii="Arial" w:cs="Arial" w:eastAsia="Arial" w:hAnsi="Arial"/>
          <w:b/>
          <w:bCs/>
          <w:color w:val="0F1728"/>
          <w:sz w:val="36"/>
          <w:szCs w:val="36"/>
        </w:rPr>
        <w:t xml:space="preserve">Skill 9: UI Polish — Dark Theme Design System</w:t>
      </w:r>
    </w:p>
    <w:p>
      <w:pPr>
        <w:pStyle w:val="Heading2"/>
        <w:spacing w:after="120" w:before="280"/>
      </w:pPr>
      <w:r>
        <w:rPr>
          <w:rFonts w:ascii="Arial" w:cs="Arial" w:eastAsia="Arial" w:hAnsi="Arial"/>
          <w:b/>
          <w:bCs/>
          <w:color w:val="0F1728"/>
          <w:sz w:val="28"/>
          <w:szCs w:val="28"/>
        </w:rPr>
        <w:t xml:space="preserve">Why Polish is Not Optional</w:t>
      </w:r>
    </w:p>
    <w:p>
      <w:pPr>
        <w:spacing w:after="80" w:before="80"/>
      </w:pPr>
      <w:r>
        <w:rPr>
          <w:rFonts w:ascii="Arial" w:cs="Arial" w:eastAsia="Arial" w:hAnsi="Arial"/>
          <w:color w:val="1C2B3A"/>
          <w:sz w:val="22"/>
          <w:szCs w:val="22"/>
        </w:rPr>
        <w:t xml:space="preserve">Raycast's design system analysis (SeedFlip, 2024) and Tailwind CSS v4 dark mode component research confirm: in dark-theme SaaS tools, polish is perceived as product quality. Users equate visual precision with technical precision. A rough UI signals a rough product.</w:t>
      </w:r>
    </w:p>
    <w:p>
      <w:pPr>
        <w:spacing w:after="80" w:before="80"/>
      </w:pPr>
      <w:r>
        <w:t xml:space="preserve"/>
      </w:r>
    </w:p>
    <w:p>
      <w:pPr>
        <w:pStyle w:val="Heading2"/>
        <w:spacing w:after="120" w:before="280"/>
      </w:pPr>
      <w:r>
        <w:rPr>
          <w:rFonts w:ascii="Arial" w:cs="Arial" w:eastAsia="Arial" w:hAnsi="Arial"/>
          <w:b/>
          <w:bCs/>
          <w:color w:val="0F1728"/>
          <w:sz w:val="28"/>
          <w:szCs w:val="28"/>
        </w:rPr>
        <w:t xml:space="preserve">SignalIQ Design Token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0D1F3C" w:val="clear"/>
            <w:tcMar>
              <w:top w:type="dxa" w:w="80"/>
              <w:left w:type="dxa" w:w="120"/>
              <w:bottom w:type="dxa" w:w="80"/>
              <w:right w:type="dxa" w:w="120"/>
            </w:tcMar>
          </w:tcPr>
          <w:p>
            <w:r>
              <w:rPr>
                <w:rFonts w:ascii="Arial" w:cs="Arial" w:eastAsia="Arial" w:hAnsi="Arial"/>
                <w:b/>
                <w:bCs/>
                <w:color w:val="FFFFFF"/>
                <w:sz w:val="21"/>
                <w:szCs w:val="21"/>
              </w:rPr>
              <w:t xml:space="preserve">Token</w:t>
            </w:r>
          </w:p>
        </w:tc>
        <w:tc>
          <w:tcPr>
            <w:tcW w:type="dxa" w:w="5760"/>
            <w:tcBorders>
              <w:top w:val="single" w:color="CCCCCC" w:sz="1"/>
              <w:left w:val="single" w:color="CCCCCC" w:sz="1"/>
              <w:bottom w:val="single" w:color="CCCCCC" w:sz="1"/>
              <w:right w:val="single" w:color="CCCCCC" w:sz="1"/>
            </w:tcBorders>
            <w:shd w:fill="0D1F3C" w:val="clear"/>
            <w:tcMar>
              <w:top w:type="dxa" w:w="80"/>
              <w:left w:type="dxa" w:w="120"/>
              <w:bottom w:type="dxa" w:w="80"/>
              <w:right w:type="dxa" w:w="120"/>
            </w:tcMar>
          </w:tcPr>
          <w:p>
            <w:r>
              <w:rPr>
                <w:rFonts w:ascii="Arial" w:cs="Arial" w:eastAsia="Arial" w:hAnsi="Arial"/>
                <w:color w:val="FFFFFF"/>
                <w:sz w:val="21"/>
                <w:szCs w:val="21"/>
              </w:rPr>
              <w:t xml:space="preserve">Value + Usage</w:t>
            </w:r>
          </w:p>
        </w:tc>
      </w:tr>
      <w:tr>
        <w:tc>
          <w:tcPr>
            <w:tcW w:type="dxa" w:w="360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r>
              <w:rPr>
                <w:rFonts w:ascii="Arial" w:cs="Arial" w:eastAsia="Arial" w:hAnsi="Arial"/>
                <w:b w:val="false"/>
                <w:bCs w:val="false"/>
                <w:color w:val="1C2B3A"/>
                <w:sz w:val="21"/>
                <w:szCs w:val="21"/>
              </w:rPr>
              <w:t xml:space="preserve">--bg</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1"/>
                <w:szCs w:val="21"/>
              </w:rPr>
              <w:t xml:space="preserve">#070a12 — base background</w:t>
            </w:r>
          </w:p>
        </w:tc>
      </w:tr>
      <w:tr>
        <w:tc>
          <w:tcPr>
            <w:tcW w:type="dxa" w:w="360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r>
              <w:rPr>
                <w:rFonts w:ascii="Arial" w:cs="Arial" w:eastAsia="Arial" w:hAnsi="Arial"/>
                <w:b w:val="false"/>
                <w:bCs w:val="false"/>
                <w:color w:val="1C2B3A"/>
                <w:sz w:val="21"/>
                <w:szCs w:val="21"/>
              </w:rPr>
              <w:t xml:space="preserve">--bg-2</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1"/>
                <w:szCs w:val="21"/>
              </w:rPr>
              <w:t xml:space="preserve">#0f1728 — elevated surface (cards over bg)</w:t>
            </w:r>
          </w:p>
        </w:tc>
      </w:tr>
      <w:tr>
        <w:tc>
          <w:tcPr>
            <w:tcW w:type="dxa" w:w="360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r>
              <w:rPr>
                <w:rFonts w:ascii="Arial" w:cs="Arial" w:eastAsia="Arial" w:hAnsi="Arial"/>
                <w:b w:val="false"/>
                <w:bCs w:val="false"/>
                <w:color w:val="1C2B3A"/>
                <w:sz w:val="21"/>
                <w:szCs w:val="21"/>
              </w:rPr>
              <w:t xml:space="preserve">--card</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1"/>
                <w:szCs w:val="21"/>
              </w:rPr>
              <w:t xml:space="preserve">#121b2e — card background</w:t>
            </w:r>
          </w:p>
        </w:tc>
      </w:tr>
      <w:tr>
        <w:tc>
          <w:tcPr>
            <w:tcW w:type="dxa" w:w="360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r>
              <w:rPr>
                <w:rFonts w:ascii="Arial" w:cs="Arial" w:eastAsia="Arial" w:hAnsi="Arial"/>
                <w:b w:val="false"/>
                <w:bCs w:val="false"/>
                <w:color w:val="1C2B3A"/>
                <w:sz w:val="21"/>
                <w:szCs w:val="21"/>
              </w:rPr>
              <w:t xml:space="preserve">--line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1"/>
                <w:szCs w:val="21"/>
              </w:rPr>
              <w:t xml:space="preserve">#2a3752 — borders, dividers</w:t>
            </w:r>
          </w:p>
        </w:tc>
      </w:tr>
      <w:tr>
        <w:tc>
          <w:tcPr>
            <w:tcW w:type="dxa" w:w="360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r>
              <w:rPr>
                <w:rFonts w:ascii="Arial" w:cs="Arial" w:eastAsia="Arial" w:hAnsi="Arial"/>
                <w:b w:val="false"/>
                <w:bCs w:val="false"/>
                <w:color w:val="1C2B3A"/>
                <w:sz w:val="21"/>
                <w:szCs w:val="21"/>
              </w:rPr>
              <w:t xml:space="preserve">--text</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1"/>
                <w:szCs w:val="21"/>
              </w:rPr>
              <w:t xml:space="preserve">#f3f5fb — primary text</w:t>
            </w:r>
          </w:p>
        </w:tc>
      </w:tr>
      <w:tr>
        <w:tc>
          <w:tcPr>
            <w:tcW w:type="dxa" w:w="360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r>
              <w:rPr>
                <w:rFonts w:ascii="Arial" w:cs="Arial" w:eastAsia="Arial" w:hAnsi="Arial"/>
                <w:b w:val="false"/>
                <w:bCs w:val="false"/>
                <w:color w:val="1C2B3A"/>
                <w:sz w:val="21"/>
                <w:szCs w:val="21"/>
              </w:rPr>
              <w:t xml:space="preserve">--muted</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1"/>
                <w:szCs w:val="21"/>
              </w:rPr>
              <w:t xml:space="preserve">#98a6c3 — secondary/hint text</w:t>
            </w:r>
          </w:p>
        </w:tc>
      </w:tr>
      <w:tr>
        <w:tc>
          <w:tcPr>
            <w:tcW w:type="dxa" w:w="360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r>
              <w:rPr>
                <w:rFonts w:ascii="Arial" w:cs="Arial" w:eastAsia="Arial" w:hAnsi="Arial"/>
                <w:b w:val="false"/>
                <w:bCs w:val="false"/>
                <w:color w:val="1C2B3A"/>
                <w:sz w:val="21"/>
                <w:szCs w:val="21"/>
              </w:rPr>
              <w:t xml:space="preserve">--accent</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1"/>
                <w:szCs w:val="21"/>
              </w:rPr>
              <w:t xml:space="preserve">#24d3a7 — primary action, active states, progress</w:t>
            </w:r>
          </w:p>
        </w:tc>
      </w:tr>
      <w:tr>
        <w:tc>
          <w:tcPr>
            <w:tcW w:type="dxa" w:w="360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r>
              <w:rPr>
                <w:rFonts w:ascii="Arial" w:cs="Arial" w:eastAsia="Arial" w:hAnsi="Arial"/>
                <w:b w:val="false"/>
                <w:bCs w:val="false"/>
                <w:color w:val="1C2B3A"/>
                <w:sz w:val="21"/>
                <w:szCs w:val="21"/>
              </w:rPr>
              <w:t xml:space="preserve">--accent-2</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1"/>
                <w:szCs w:val="21"/>
              </w:rPr>
              <w:t xml:space="preserve">#00b7ff — secondary accent, highlights</w:t>
            </w:r>
          </w:p>
        </w:tc>
      </w:tr>
      <w:tr>
        <w:tc>
          <w:tcPr>
            <w:tcW w:type="dxa" w:w="360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r>
              <w:rPr>
                <w:rFonts w:ascii="Arial" w:cs="Arial" w:eastAsia="Arial" w:hAnsi="Arial"/>
                <w:b w:val="false"/>
                <w:bCs w:val="false"/>
                <w:color w:val="1C2B3A"/>
                <w:sz w:val="21"/>
                <w:szCs w:val="21"/>
              </w:rPr>
              <w:t xml:space="preserve">--danger</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1"/>
                <w:szCs w:val="21"/>
              </w:rPr>
              <w:t xml:space="preserve">#ff6b7a — errors, blocked states</w:t>
            </w:r>
          </w:p>
        </w:tc>
      </w:tr>
    </w:tbl>
    <w:p>
      <w:pPr>
        <w:spacing w:after="80" w:before="80"/>
      </w:pPr>
      <w:r>
        <w:t xml:space="preserve"/>
      </w:r>
    </w:p>
    <w:p>
      <w:pPr>
        <w:pStyle w:val="Heading2"/>
        <w:spacing w:after="120" w:before="280"/>
      </w:pPr>
      <w:r>
        <w:rPr>
          <w:rFonts w:ascii="Arial" w:cs="Arial" w:eastAsia="Arial" w:hAnsi="Arial"/>
          <w:b/>
          <w:bCs/>
          <w:color w:val="0F1728"/>
          <w:sz w:val="28"/>
          <w:szCs w:val="28"/>
        </w:rPr>
        <w:t xml:space="preserve">Polish Checklist (Non-Negotiable)</w:t>
      </w:r>
    </w:p>
    <w:p>
      <w:pPr>
        <w:pStyle w:val="ListParagraph"/>
        <w:numPr>
          <w:ilvl w:val="0"/>
          <w:numId w:val="2"/>
        </w:numPr>
        <w:spacing w:after="60" w:before="60"/>
      </w:pPr>
      <w:r>
        <w:rPr>
          <w:rFonts w:ascii="Arial" w:cs="Arial" w:eastAsia="Arial" w:hAnsi="Arial"/>
          <w:color w:val="1C2B3A"/>
          <w:sz w:val="22"/>
          <w:szCs w:val="22"/>
        </w:rPr>
        <w:t xml:space="preserve">Status badges: pill-shaped, color-coded — never plain text status</w:t>
      </w:r>
    </w:p>
    <w:p>
      <w:pPr>
        <w:pStyle w:val="ListParagraph"/>
        <w:numPr>
          <w:ilvl w:val="0"/>
          <w:numId w:val="2"/>
        </w:numPr>
        <w:spacing w:after="60" w:before="60"/>
      </w:pPr>
      <w:r>
        <w:rPr>
          <w:rFonts w:ascii="Arial" w:cs="Arial" w:eastAsia="Arial" w:hAnsi="Arial"/>
          <w:color w:val="1C2B3A"/>
          <w:sz w:val="22"/>
          <w:szCs w:val="22"/>
        </w:rPr>
        <w:t xml:space="preserve">Progress rings: SVG circles with stroke-dasharray animation for all percentage metrics</w:t>
      </w:r>
    </w:p>
    <w:p>
      <w:pPr>
        <w:pStyle w:val="ListParagraph"/>
        <w:numPr>
          <w:ilvl w:val="0"/>
          <w:numId w:val="2"/>
        </w:numPr>
        <w:spacing w:after="60" w:before="60"/>
      </w:pPr>
      <w:r>
        <w:rPr>
          <w:rFonts w:ascii="Arial" w:cs="Arial" w:eastAsia="Arial" w:hAnsi="Arial"/>
          <w:color w:val="1C2B3A"/>
          <w:sz w:val="22"/>
          <w:szCs w:val="22"/>
        </w:rPr>
        <w:t xml:space="preserve">Empty states: illustrated message + CTA button, never blank table with "No data"</w:t>
      </w:r>
    </w:p>
    <w:p>
      <w:pPr>
        <w:pStyle w:val="ListParagraph"/>
        <w:numPr>
          <w:ilvl w:val="0"/>
          <w:numId w:val="2"/>
        </w:numPr>
        <w:spacing w:after="60" w:before="60"/>
      </w:pPr>
      <w:r>
        <w:rPr>
          <w:rFonts w:ascii="Arial" w:cs="Arial" w:eastAsia="Arial" w:hAnsi="Arial"/>
          <w:color w:val="1C2B3A"/>
          <w:sz w:val="22"/>
          <w:szCs w:val="22"/>
        </w:rPr>
        <w:t xml:space="preserve">Loading states: skeleton loaders for all async content, never a spinner on a blank card</w:t>
      </w:r>
    </w:p>
    <w:p>
      <w:pPr>
        <w:pStyle w:val="ListParagraph"/>
        <w:numPr>
          <w:ilvl w:val="0"/>
          <w:numId w:val="2"/>
        </w:numPr>
        <w:spacing w:after="60" w:before="60"/>
      </w:pPr>
      <w:r>
        <w:rPr>
          <w:rFonts w:ascii="Arial" w:cs="Arial" w:eastAsia="Arial" w:hAnsi="Arial"/>
          <w:color w:val="1C2B3A"/>
          <w:sz w:val="22"/>
          <w:szCs w:val="22"/>
        </w:rPr>
        <w:t xml:space="preserve">Button states: hover glow (box-shadow with accent color), active scale(0.97), disabled opacity 0.45</w:t>
      </w:r>
    </w:p>
    <w:p>
      <w:pPr>
        <w:pStyle w:val="ListParagraph"/>
        <w:numPr>
          <w:ilvl w:val="0"/>
          <w:numId w:val="2"/>
        </w:numPr>
        <w:spacing w:after="60" w:before="60"/>
      </w:pPr>
      <w:r>
        <w:rPr>
          <w:rFonts w:ascii="Arial" w:cs="Arial" w:eastAsia="Arial" w:hAnsi="Arial"/>
          <w:color w:val="1C2B3A"/>
          <w:sz w:val="22"/>
          <w:szCs w:val="22"/>
        </w:rPr>
        <w:t xml:space="preserve">Table rows: hover highlight with subtle border-left accent stripe</w:t>
      </w:r>
    </w:p>
    <w:p>
      <w:pPr>
        <w:pStyle w:val="ListParagraph"/>
        <w:numPr>
          <w:ilvl w:val="0"/>
          <w:numId w:val="2"/>
        </w:numPr>
        <w:spacing w:after="60" w:before="60"/>
      </w:pPr>
      <w:r>
        <w:rPr>
          <w:rFonts w:ascii="Arial" w:cs="Arial" w:eastAsia="Arial" w:hAnsi="Arial"/>
          <w:color w:val="1C2B3A"/>
          <w:sz w:val="22"/>
          <w:szCs w:val="22"/>
        </w:rPr>
        <w:t xml:space="preserve">Cards: hover transform translateY(-2px) with transition 200ms — depth feedback</w:t>
      </w:r>
    </w:p>
    <w:p>
      <w:pPr>
        <w:pStyle w:val="ListParagraph"/>
        <w:numPr>
          <w:ilvl w:val="0"/>
          <w:numId w:val="2"/>
        </w:numPr>
        <w:spacing w:after="60" w:before="60"/>
      </w:pPr>
      <w:r>
        <w:rPr>
          <w:rFonts w:ascii="Arial" w:cs="Arial" w:eastAsia="Arial" w:hAnsi="Arial"/>
          <w:color w:val="1C2B3A"/>
          <w:sz w:val="22"/>
          <w:szCs w:val="22"/>
        </w:rPr>
        <w:t xml:space="preserve">Error states: red banner with icon + specific error message + recovery action link</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24D3A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POLISH RULE</w:t>
            </w:r>
          </w:p>
        </w:tc>
        <w:tc>
          <w:tcPr>
            <w:tcW w:type="dxa" w:w="8160"/>
            <w:tcBorders>
              <w:top w:val="single" w:color="CCCCCC" w:sz="1"/>
              <w:left w:val="single" w:color="CCCCCC" w:sz="1"/>
              <w:bottom w:val="single" w:color="CCCCCC" w:sz="1"/>
              <w:right w:val="single" w:color="CCCCCC" w:sz="1"/>
            </w:tcBorders>
            <w:shd w:fill="EAF6FF" w:val="clear"/>
            <w:tcMar>
              <w:top w:type="dxa" w:w="80"/>
              <w:left w:type="dxa" w:w="160"/>
              <w:bottom w:type="dxa" w:w="80"/>
              <w:right w:type="dxa" w:w="120"/>
            </w:tcMar>
          </w:tcPr>
          <w:p>
            <w:r>
              <w:rPr>
                <w:rFonts w:ascii="Arial" w:cs="Arial" w:eastAsia="Arial" w:hAnsi="Arial"/>
                <w:color w:val="1C2B3A"/>
                <w:sz w:val="21"/>
                <w:szCs w:val="21"/>
              </w:rPr>
              <w:t xml:space="preserve">Every interactive element must have a hover state, an active state, and a disabled state. Every async operation must have a loading state. Every empty list must have an empty state. No exceptions.</w:t>
            </w:r>
          </w:p>
        </w:tc>
      </w:tr>
    </w:tbl>
    <w:p>
      <w:pPr>
        <w:pBdr>
          <w:bottom w:val="single" w:color="24D3A7" w:sz="4" w:space="1"/>
        </w:pBdr>
        <w:spacing w:after="160" w:before="160"/>
      </w:pPr>
      <w:r>
        <w:t xml:space="preserve"/>
      </w:r>
    </w:p>
    <w:p>
      <w:r>
        <w:br w:type="page"/>
      </w:r>
    </w:p>
    <w:p>
      <w:pPr>
        <w:pStyle w:val="Heading1"/>
        <w:spacing w:after="160" w:before="360"/>
      </w:pPr>
      <w:r>
        <w:rPr>
          <w:rFonts w:ascii="Arial" w:cs="Arial" w:eastAsia="Arial" w:hAnsi="Arial"/>
          <w:b/>
          <w:bCs/>
          <w:color w:val="0F1728"/>
          <w:sz w:val="36"/>
          <w:szCs w:val="36"/>
        </w:rPr>
        <w:t xml:space="preserve">Skill 10: Mobile-Responsive Layout</w:t>
      </w:r>
    </w:p>
    <w:p>
      <w:pPr>
        <w:pStyle w:val="Heading2"/>
        <w:spacing w:after="120" w:before="280"/>
      </w:pPr>
      <w:r>
        <w:rPr>
          <w:rFonts w:ascii="Arial" w:cs="Arial" w:eastAsia="Arial" w:hAnsi="Arial"/>
          <w:b/>
          <w:bCs/>
          <w:color w:val="0F1728"/>
          <w:sz w:val="28"/>
          <w:szCs w:val="28"/>
        </w:rPr>
        <w:t xml:space="preserve">The Mobile Reality for SaaS Tools</w:t>
      </w:r>
    </w:p>
    <w:p>
      <w:pPr>
        <w:spacing w:after="80" w:before="80"/>
      </w:pPr>
      <w:r>
        <w:rPr>
          <w:rFonts w:ascii="Arial" w:cs="Arial" w:eastAsia="Arial" w:hAnsi="Arial"/>
          <w:color w:val="1C2B3A"/>
          <w:sz w:val="22"/>
          <w:szCs w:val="22"/>
        </w:rPr>
        <w:t xml:space="preserve">UX Planet's sidebar research and shadcn/ui mobile pattern analysis (2024) show that B2B SaaS tools have 30-45% mobile traffic — primarily from founders and sales leaders checking dashboards on mobile. The experience cannot be broken. A collapsed sidebar that works on desktop does not automatically work on mobile.</w:t>
      </w:r>
    </w:p>
    <w:p>
      <w:pPr>
        <w:spacing w:after="80" w:before="80"/>
      </w:pPr>
      <w:r>
        <w:t xml:space="preserve"/>
      </w:r>
    </w:p>
    <w:p>
      <w:pPr>
        <w:pStyle w:val="Heading2"/>
        <w:spacing w:after="120" w:before="280"/>
      </w:pPr>
      <w:r>
        <w:rPr>
          <w:rFonts w:ascii="Arial" w:cs="Arial" w:eastAsia="Arial" w:hAnsi="Arial"/>
          <w:b/>
          <w:bCs/>
          <w:color w:val="0F1728"/>
          <w:sz w:val="28"/>
          <w:szCs w:val="28"/>
        </w:rPr>
        <w:t xml:space="preserve">Responsive Breakpoint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3960"/>
        <w:gridCol w:w="2880"/>
      </w:tblGrid>
      <w:tr>
        <w:tc>
          <w:tcPr>
            <w:tcW w:type="dxa" w:w="2520"/>
            <w:tcBorders>
              <w:top w:val="single" w:color="CCCCCC" w:sz="1"/>
              <w:left w:val="single" w:color="CCCCCC" w:sz="1"/>
              <w:bottom w:val="single" w:color="CCCCCC" w:sz="1"/>
              <w:right w:val="single" w:color="CCCCCC" w:sz="1"/>
            </w:tcBorders>
            <w:shd w:fill="0D1F3C" w:val="clear"/>
            <w:tcMar>
              <w:top w:type="dxa" w:w="80"/>
              <w:left w:type="dxa" w:w="120"/>
              <w:bottom w:type="dxa" w:w="80"/>
              <w:right w:type="dxa" w:w="120"/>
            </w:tcMar>
          </w:tcPr>
          <w:p>
            <w:r>
              <w:rPr>
                <w:rFonts w:ascii="Arial" w:cs="Arial" w:eastAsia="Arial" w:hAnsi="Arial"/>
                <w:b/>
                <w:bCs/>
                <w:color w:val="FFFFFF"/>
                <w:sz w:val="21"/>
                <w:szCs w:val="21"/>
              </w:rPr>
              <w:t xml:space="preserve">Breakpoint</w:t>
            </w:r>
          </w:p>
        </w:tc>
        <w:tc>
          <w:tcPr>
            <w:tcW w:type="dxa" w:w="3960"/>
            <w:tcBorders>
              <w:top w:val="single" w:color="CCCCCC" w:sz="1"/>
              <w:left w:val="single" w:color="CCCCCC" w:sz="1"/>
              <w:bottom w:val="single" w:color="CCCCCC" w:sz="1"/>
              <w:right w:val="single" w:color="CCCCCC" w:sz="1"/>
            </w:tcBorders>
            <w:shd w:fill="0D1F3C" w:val="clear"/>
            <w:tcMar>
              <w:top w:type="dxa" w:w="80"/>
              <w:left w:type="dxa" w:w="120"/>
              <w:bottom w:type="dxa" w:w="80"/>
              <w:right w:type="dxa" w:w="120"/>
            </w:tcMar>
          </w:tcPr>
          <w:p>
            <w:r>
              <w:rPr>
                <w:rFonts w:ascii="Arial" w:cs="Arial" w:eastAsia="Arial" w:hAnsi="Arial"/>
                <w:b/>
                <w:bCs/>
                <w:color w:val="FFFFFF"/>
                <w:sz w:val="21"/>
                <w:szCs w:val="21"/>
              </w:rPr>
              <w:t xml:space="preserve">Layout</w:t>
            </w:r>
          </w:p>
        </w:tc>
        <w:tc>
          <w:tcPr>
            <w:tcW w:type="dxa" w:w="2880"/>
            <w:tcBorders>
              <w:top w:val="single" w:color="CCCCCC" w:sz="1"/>
              <w:left w:val="single" w:color="CCCCCC" w:sz="1"/>
              <w:bottom w:val="single" w:color="CCCCCC" w:sz="1"/>
              <w:right w:val="single" w:color="CCCCCC" w:sz="1"/>
            </w:tcBorders>
            <w:shd w:fill="0D1F3C" w:val="clear"/>
            <w:tcMar>
              <w:top w:type="dxa" w:w="80"/>
              <w:left w:type="dxa" w:w="120"/>
              <w:bottom w:type="dxa" w:w="80"/>
              <w:right w:type="dxa" w:w="120"/>
            </w:tcMar>
          </w:tcPr>
          <w:p>
            <w:r>
              <w:rPr>
                <w:rFonts w:ascii="Arial" w:cs="Arial" w:eastAsia="Arial" w:hAnsi="Arial"/>
                <w:b/>
                <w:bCs/>
                <w:color w:val="FFFFFF"/>
                <w:sz w:val="21"/>
                <w:szCs w:val="21"/>
              </w:rPr>
              <w:t xml:space="preserve">Sidebar Behavior</w:t>
            </w:r>
          </w:p>
        </w:tc>
      </w:tr>
      <w:tr>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2B3A"/>
                <w:sz w:val="21"/>
                <w:szCs w:val="21"/>
              </w:rPr>
              <w:t xml:space="preserve">&gt;1200px</w:t>
            </w:r>
          </w:p>
        </w:tc>
        <w:tc>
          <w:tcPr>
            <w:tcW w:type="dxa" w:w="396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r>
              <w:rPr>
                <w:rFonts w:ascii="Arial" w:cs="Arial" w:eastAsia="Arial" w:hAnsi="Arial"/>
                <w:b w:val="false"/>
                <w:bCs w:val="false"/>
                <w:color w:val="1C2B3A"/>
                <w:sz w:val="21"/>
                <w:szCs w:val="21"/>
              </w:rPr>
              <w:t xml:space="preserve">Full 260px sidebar + main content</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2B3A"/>
                <w:sz w:val="21"/>
                <w:szCs w:val="21"/>
              </w:rPr>
              <w:t xml:space="preserve">Always visible</w:t>
            </w:r>
          </w:p>
        </w:tc>
      </w:tr>
      <w:tr>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2B3A"/>
                <w:sz w:val="21"/>
                <w:szCs w:val="21"/>
              </w:rPr>
              <w:t xml:space="preserve">980px–1200px</w:t>
            </w:r>
          </w:p>
        </w:tc>
        <w:tc>
          <w:tcPr>
            <w:tcW w:type="dxa" w:w="396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r>
              <w:rPr>
                <w:rFonts w:ascii="Arial" w:cs="Arial" w:eastAsia="Arial" w:hAnsi="Arial"/>
                <w:b w:val="false"/>
                <w:bCs w:val="false"/>
                <w:color w:val="1C2B3A"/>
                <w:sz w:val="21"/>
                <w:szCs w:val="21"/>
              </w:rPr>
              <w:t xml:space="preserve">Collapsed icon-only sidebar (48px)</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2B3A"/>
                <w:sz w:val="21"/>
                <w:szCs w:val="21"/>
              </w:rPr>
              <w:t xml:space="preserve">Icons only, expand on hover</w:t>
            </w:r>
          </w:p>
        </w:tc>
      </w:tr>
      <w:tr>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2B3A"/>
                <w:sz w:val="21"/>
                <w:szCs w:val="21"/>
              </w:rPr>
              <w:t xml:space="preserve">640px–980px</w:t>
            </w:r>
          </w:p>
        </w:tc>
        <w:tc>
          <w:tcPr>
            <w:tcW w:type="dxa" w:w="396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r>
              <w:rPr>
                <w:rFonts w:ascii="Arial" w:cs="Arial" w:eastAsia="Arial" w:hAnsi="Arial"/>
                <w:b w:val="false"/>
                <w:bCs w:val="false"/>
                <w:color w:val="1C2B3A"/>
                <w:sz w:val="21"/>
                <w:szCs w:val="21"/>
              </w:rPr>
              <w:t xml:space="preserve">Sidebar hidden, top bar with hamburger</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2B3A"/>
                <w:sz w:val="21"/>
                <w:szCs w:val="21"/>
              </w:rPr>
              <w:t xml:space="preserve">Slide-in drawer on tap</w:t>
            </w:r>
          </w:p>
        </w:tc>
      </w:tr>
      <w:tr>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2B3A"/>
                <w:sz w:val="21"/>
                <w:szCs w:val="21"/>
              </w:rPr>
              <w:t xml:space="preserve">&lt;640px</w:t>
            </w:r>
          </w:p>
        </w:tc>
        <w:tc>
          <w:tcPr>
            <w:tcW w:type="dxa" w:w="396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r>
              <w:rPr>
                <w:rFonts w:ascii="Arial" w:cs="Arial" w:eastAsia="Arial" w:hAnsi="Arial"/>
                <w:b w:val="false"/>
                <w:bCs w:val="false"/>
                <w:color w:val="1C2B3A"/>
                <w:sz w:val="21"/>
                <w:szCs w:val="21"/>
              </w:rPr>
              <w:t xml:space="preserve">Bottom navigation bar</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2B3A"/>
                <w:sz w:val="21"/>
                <w:szCs w:val="21"/>
              </w:rPr>
              <w:t xml:space="preserve">5 icon tabs pinned to bottom</w:t>
            </w:r>
          </w:p>
        </w:tc>
      </w:tr>
    </w:tbl>
    <w:p>
      <w:pPr>
        <w:spacing w:after="80" w:before="80"/>
      </w:pPr>
      <w:r>
        <w:t xml:space="preserve"/>
      </w:r>
    </w:p>
    <w:p>
      <w:pPr>
        <w:pStyle w:val="Heading2"/>
        <w:spacing w:after="120" w:before="280"/>
      </w:pPr>
      <w:r>
        <w:rPr>
          <w:rFonts w:ascii="Arial" w:cs="Arial" w:eastAsia="Arial" w:hAnsi="Arial"/>
          <w:b/>
          <w:bCs/>
          <w:color w:val="0F1728"/>
          <w:sz w:val="28"/>
          <w:szCs w:val="28"/>
        </w:rPr>
        <w:t xml:space="preserve">Mobile Implementation Rules</w:t>
      </w:r>
    </w:p>
    <w:p>
      <w:pPr>
        <w:pStyle w:val="ListParagraph"/>
        <w:numPr>
          <w:ilvl w:val="0"/>
          <w:numId w:val="2"/>
        </w:numPr>
        <w:spacing w:after="60" w:before="60"/>
      </w:pPr>
      <w:r>
        <w:rPr>
          <w:rFonts w:ascii="Arial" w:cs="Arial" w:eastAsia="Arial" w:hAnsi="Arial"/>
          <w:color w:val="1C2B3A"/>
          <w:sz w:val="22"/>
          <w:szCs w:val="22"/>
        </w:rPr>
        <w:t xml:space="preserve">Bottom nav: 5 tabs max — Overview, Contacts, Campaigns, KPIs, Ops. More = hamburger menu overflow.</w:t>
      </w:r>
    </w:p>
    <w:p>
      <w:pPr>
        <w:pStyle w:val="ListParagraph"/>
        <w:numPr>
          <w:ilvl w:val="0"/>
          <w:numId w:val="2"/>
        </w:numPr>
        <w:spacing w:after="60" w:before="60"/>
      </w:pPr>
      <w:r>
        <w:rPr>
          <w:rFonts w:ascii="Arial" w:cs="Arial" w:eastAsia="Arial" w:hAnsi="Arial"/>
          <w:color w:val="1C2B3A"/>
          <w:sz w:val="22"/>
          <w:szCs w:val="22"/>
        </w:rPr>
        <w:t xml:space="preserve">Touch targets: minimum 44×44px for all interactive elements (Apple HIG standard)</w:t>
      </w:r>
    </w:p>
    <w:p>
      <w:pPr>
        <w:pStyle w:val="ListParagraph"/>
        <w:numPr>
          <w:ilvl w:val="0"/>
          <w:numId w:val="2"/>
        </w:numPr>
        <w:spacing w:after="60" w:before="60"/>
      </w:pPr>
      <w:r>
        <w:rPr>
          <w:rFonts w:ascii="Arial" w:cs="Arial" w:eastAsia="Arial" w:hAnsi="Arial"/>
          <w:color w:val="1C2B3A"/>
          <w:sz w:val="22"/>
          <w:szCs w:val="22"/>
        </w:rPr>
        <w:t xml:space="preserve">Table alternative: on mobile, replace data tables with card-list views (one row per card)</w:t>
      </w:r>
    </w:p>
    <w:p>
      <w:pPr>
        <w:pStyle w:val="ListParagraph"/>
        <w:numPr>
          <w:ilvl w:val="0"/>
          <w:numId w:val="2"/>
        </w:numPr>
        <w:spacing w:after="60" w:before="60"/>
      </w:pPr>
      <w:r>
        <w:rPr>
          <w:rFonts w:ascii="Arial" w:cs="Arial" w:eastAsia="Arial" w:hAnsi="Arial"/>
          <w:color w:val="1C2B3A"/>
          <w:sz w:val="22"/>
          <w:szCs w:val="22"/>
        </w:rPr>
        <w:t xml:space="preserve">Forms: full-width inputs, increased font size (16px minimum to prevent iOS zoom on focus)</w:t>
      </w:r>
    </w:p>
    <w:p>
      <w:pPr>
        <w:pStyle w:val="ListParagraph"/>
        <w:numPr>
          <w:ilvl w:val="0"/>
          <w:numId w:val="2"/>
        </w:numPr>
        <w:spacing w:after="60" w:before="60"/>
      </w:pPr>
      <w:r>
        <w:rPr>
          <w:rFonts w:ascii="Arial" w:cs="Arial" w:eastAsia="Arial" w:hAnsi="Arial"/>
          <w:color w:val="1C2B3A"/>
          <w:sz w:val="22"/>
          <w:szCs w:val="22"/>
        </w:rPr>
        <w:t xml:space="preserve">Modals: use full-screen bottom sheets on mobile instead of centered dialogs</w:t>
      </w:r>
    </w:p>
    <w:p>
      <w:pPr>
        <w:pStyle w:val="ListParagraph"/>
        <w:numPr>
          <w:ilvl w:val="0"/>
          <w:numId w:val="2"/>
        </w:numPr>
        <w:spacing w:after="60" w:before="60"/>
      </w:pPr>
      <w:r>
        <w:rPr>
          <w:rFonts w:ascii="Arial" w:cs="Arial" w:eastAsia="Arial" w:hAnsi="Arial"/>
          <w:color w:val="1C2B3A"/>
          <w:sz w:val="22"/>
          <w:szCs w:val="22"/>
        </w:rPr>
        <w:t xml:space="preserve">Gestures: swipe left on table rows to reveal actions (unsubscribe, view, launch)</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24D3A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MOBILE RULE</w:t>
            </w:r>
          </w:p>
        </w:tc>
        <w:tc>
          <w:tcPr>
            <w:tcW w:type="dxa" w:w="8160"/>
            <w:tcBorders>
              <w:top w:val="single" w:color="CCCCCC" w:sz="1"/>
              <w:left w:val="single" w:color="CCCCCC" w:sz="1"/>
              <w:bottom w:val="single" w:color="CCCCCC" w:sz="1"/>
              <w:right w:val="single" w:color="CCCCCC" w:sz="1"/>
            </w:tcBorders>
            <w:shd w:fill="EAF6FF" w:val="clear"/>
            <w:tcMar>
              <w:top w:type="dxa" w:w="80"/>
              <w:left w:type="dxa" w:w="160"/>
              <w:bottom w:type="dxa" w:w="80"/>
              <w:right w:type="dxa" w:w="120"/>
            </w:tcMar>
          </w:tcPr>
          <w:p>
            <w:r>
              <w:rPr>
                <w:rFonts w:ascii="Arial" w:cs="Arial" w:eastAsia="Arial" w:hAnsi="Arial"/>
                <w:color w:val="1C2B3A"/>
                <w:sz w:val="21"/>
                <w:szCs w:val="21"/>
              </w:rPr>
              <w:t xml:space="preserve">Test every feature at 375px viewport width (iPhone SE). If it breaks, it is not done. Mobile is not a "nice to have" — it is where decisions get made.</w:t>
            </w:r>
          </w:p>
        </w:tc>
      </w:tr>
    </w:tbl>
    <w:p>
      <w:pPr>
        <w:pBdr>
          <w:bottom w:val="single" w:color="24D3A7" w:sz="4" w:space="1"/>
        </w:pBdr>
        <w:spacing w:after="160" w:before="160"/>
      </w:pPr>
      <w:r>
        <w:t xml:space="preserve"/>
      </w:r>
    </w:p>
    <w:p>
      <w:r>
        <w:br w:type="page"/>
      </w:r>
    </w:p>
    <w:p>
      <w:pPr>
        <w:pStyle w:val="Heading1"/>
        <w:spacing w:after="160" w:before="360"/>
      </w:pPr>
      <w:r>
        <w:rPr>
          <w:rFonts w:ascii="Arial" w:cs="Arial" w:eastAsia="Arial" w:hAnsi="Arial"/>
          <w:b/>
          <w:bCs/>
          <w:color w:val="0F1728"/>
          <w:sz w:val="36"/>
          <w:szCs w:val="36"/>
        </w:rPr>
        <w:t xml:space="preserve">Execution Roadmap: 10-Agent Sprint Plan</w:t>
      </w:r>
    </w:p>
    <w:p>
      <w:pPr>
        <w:spacing w:after="80" w:before="80"/>
      </w:pPr>
      <w:r>
        <w:rPr>
          <w:rFonts w:ascii="Arial" w:cs="Arial" w:eastAsia="Arial" w:hAnsi="Arial"/>
          <w:color w:val="1C2B3A"/>
          <w:sz w:val="22"/>
          <w:szCs w:val="22"/>
        </w:rPr>
        <w:t xml:space="preserve">Each skill maps to one dedicated agent. Agents work on isolated new files only, then a single integration pass merges everything into App.tsx and index.js. This eliminates merge conflicts while maximizing parallel throughput.</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3960"/>
        <w:gridCol w:w="2880"/>
      </w:tblGrid>
      <w:tr>
        <w:tc>
          <w:tcPr>
            <w:tcW w:type="dxa" w:w="2520"/>
            <w:tcBorders>
              <w:top w:val="single" w:color="CCCCCC" w:sz="1"/>
              <w:left w:val="single" w:color="CCCCCC" w:sz="1"/>
              <w:bottom w:val="single" w:color="CCCCCC" w:sz="1"/>
              <w:right w:val="single" w:color="CCCCCC" w:sz="1"/>
            </w:tcBorders>
            <w:shd w:fill="0D1F3C" w:val="clear"/>
            <w:tcMar>
              <w:top w:type="dxa" w:w="80"/>
              <w:left w:type="dxa" w:w="120"/>
              <w:bottom w:type="dxa" w:w="80"/>
              <w:right w:type="dxa" w:w="120"/>
            </w:tcMar>
          </w:tcPr>
          <w:p>
            <w:r>
              <w:rPr>
                <w:rFonts w:ascii="Arial" w:cs="Arial" w:eastAsia="Arial" w:hAnsi="Arial"/>
                <w:b/>
                <w:bCs/>
                <w:color w:val="FFFFFF"/>
                <w:sz w:val="21"/>
                <w:szCs w:val="21"/>
              </w:rPr>
              <w:t xml:space="preserve">Agent</w:t>
            </w:r>
          </w:p>
        </w:tc>
        <w:tc>
          <w:tcPr>
            <w:tcW w:type="dxa" w:w="3960"/>
            <w:tcBorders>
              <w:top w:val="single" w:color="CCCCCC" w:sz="1"/>
              <w:left w:val="single" w:color="CCCCCC" w:sz="1"/>
              <w:bottom w:val="single" w:color="CCCCCC" w:sz="1"/>
              <w:right w:val="single" w:color="CCCCCC" w:sz="1"/>
            </w:tcBorders>
            <w:shd w:fill="0D1F3C" w:val="clear"/>
            <w:tcMar>
              <w:top w:type="dxa" w:w="80"/>
              <w:left w:type="dxa" w:w="120"/>
              <w:bottom w:type="dxa" w:w="80"/>
              <w:right w:type="dxa" w:w="120"/>
            </w:tcMar>
          </w:tcPr>
          <w:p>
            <w:r>
              <w:rPr>
                <w:rFonts w:ascii="Arial" w:cs="Arial" w:eastAsia="Arial" w:hAnsi="Arial"/>
                <w:b/>
                <w:bCs/>
                <w:color w:val="FFFFFF"/>
                <w:sz w:val="21"/>
                <w:szCs w:val="21"/>
              </w:rPr>
              <w:t xml:space="preserve">Skill</w:t>
            </w:r>
          </w:p>
        </w:tc>
        <w:tc>
          <w:tcPr>
            <w:tcW w:type="dxa" w:w="2880"/>
            <w:tcBorders>
              <w:top w:val="single" w:color="CCCCCC" w:sz="1"/>
              <w:left w:val="single" w:color="CCCCCC" w:sz="1"/>
              <w:bottom w:val="single" w:color="CCCCCC" w:sz="1"/>
              <w:right w:val="single" w:color="CCCCCC" w:sz="1"/>
            </w:tcBorders>
            <w:shd w:fill="0D1F3C" w:val="clear"/>
            <w:tcMar>
              <w:top w:type="dxa" w:w="80"/>
              <w:left w:type="dxa" w:w="120"/>
              <w:bottom w:type="dxa" w:w="80"/>
              <w:right w:type="dxa" w:w="120"/>
            </w:tcMar>
          </w:tcPr>
          <w:p>
            <w:r>
              <w:rPr>
                <w:rFonts w:ascii="Arial" w:cs="Arial" w:eastAsia="Arial" w:hAnsi="Arial"/>
                <w:b/>
                <w:bCs/>
                <w:color w:val="FFFFFF"/>
                <w:sz w:val="21"/>
                <w:szCs w:val="21"/>
              </w:rPr>
              <w:t xml:space="preserve">Isolated Output File</w:t>
            </w:r>
          </w:p>
        </w:tc>
      </w:tr>
      <w:tr>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2B3A"/>
                <w:sz w:val="21"/>
                <w:szCs w:val="21"/>
              </w:rPr>
              <w:t xml:space="preserve">Agent 1</w:t>
            </w:r>
          </w:p>
        </w:tc>
        <w:tc>
          <w:tcPr>
            <w:tcW w:type="dxa" w:w="396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r>
              <w:rPr>
                <w:rFonts w:ascii="Arial" w:cs="Arial" w:eastAsia="Arial" w:hAnsi="Arial"/>
                <w:b w:val="false"/>
                <w:bCs w:val="false"/>
                <w:color w:val="1C2B3A"/>
                <w:sz w:val="21"/>
                <w:szCs w:val="21"/>
              </w:rPr>
              <w:t xml:space="preserve">KPI Chart Components</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2B3A"/>
                <w:sz w:val="21"/>
                <w:szCs w:val="21"/>
              </w:rPr>
              <w:t xml:space="preserve">client/src/components/KPIChart.tsx</w:t>
            </w:r>
          </w:p>
        </w:tc>
      </w:tr>
      <w:tr>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2B3A"/>
                <w:sz w:val="21"/>
                <w:szCs w:val="21"/>
              </w:rPr>
              <w:t xml:space="preserve">Agent 2</w:t>
            </w:r>
          </w:p>
        </w:tc>
        <w:tc>
          <w:tcPr>
            <w:tcW w:type="dxa" w:w="396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r>
              <w:rPr>
                <w:rFonts w:ascii="Arial" w:cs="Arial" w:eastAsia="Arial" w:hAnsi="Arial"/>
                <w:b w:val="false"/>
                <w:bCs w:val="false"/>
                <w:color w:val="1C2B3A"/>
                <w:sz w:val="21"/>
                <w:szCs w:val="21"/>
              </w:rPr>
              <w:t xml:space="preserve">Conversion Intelligence Engine</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2B3A"/>
                <w:sz w:val="21"/>
                <w:szCs w:val="21"/>
              </w:rPr>
              <w:t xml:space="preserve">server/routes/intelligence.js + client/src/components/IntelligencePanel.tsx</w:t>
            </w:r>
          </w:p>
        </w:tc>
      </w:tr>
      <w:tr>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2B3A"/>
                <w:sz w:val="21"/>
                <w:szCs w:val="21"/>
              </w:rPr>
              <w:t xml:space="preserve">Agent 3</w:t>
            </w:r>
          </w:p>
        </w:tc>
        <w:tc>
          <w:tcPr>
            <w:tcW w:type="dxa" w:w="396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r>
              <w:rPr>
                <w:rFonts w:ascii="Arial" w:cs="Arial" w:eastAsia="Arial" w:hAnsi="Arial"/>
                <w:b w:val="false"/>
                <w:bCs w:val="false"/>
                <w:color w:val="1C2B3A"/>
                <w:sz w:val="21"/>
                <w:szCs w:val="21"/>
              </w:rPr>
              <w:t xml:space="preserve">Prompt Playbook Library</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2B3A"/>
                <w:sz w:val="21"/>
                <w:szCs w:val="21"/>
              </w:rPr>
              <w:t xml:space="preserve">client/src/components/PlaybookLibrary.tsx</w:t>
            </w:r>
          </w:p>
        </w:tc>
      </w:tr>
      <w:tr>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2B3A"/>
                <w:sz w:val="21"/>
                <w:szCs w:val="21"/>
              </w:rPr>
              <w:t xml:space="preserve">Agent 4</w:t>
            </w:r>
          </w:p>
        </w:tc>
        <w:tc>
          <w:tcPr>
            <w:tcW w:type="dxa" w:w="396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r>
              <w:rPr>
                <w:rFonts w:ascii="Arial" w:cs="Arial" w:eastAsia="Arial" w:hAnsi="Arial"/>
                <w:b w:val="false"/>
                <w:bCs w:val="false"/>
                <w:color w:val="1C2B3A"/>
                <w:sz w:val="21"/>
                <w:szCs w:val="21"/>
              </w:rPr>
              <w:t xml:space="preserve">Copy Intelligence Scorer</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2B3A"/>
                <w:sz w:val="21"/>
                <w:szCs w:val="21"/>
              </w:rPr>
              <w:t xml:space="preserve">client/src/components/CopyScorer.tsx</w:t>
            </w:r>
          </w:p>
        </w:tc>
      </w:tr>
      <w:tr>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2B3A"/>
                <w:sz w:val="21"/>
                <w:szCs w:val="21"/>
              </w:rPr>
              <w:t xml:space="preserve">Agent 5</w:t>
            </w:r>
          </w:p>
        </w:tc>
        <w:tc>
          <w:tcPr>
            <w:tcW w:type="dxa" w:w="396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r>
              <w:rPr>
                <w:rFonts w:ascii="Arial" w:cs="Arial" w:eastAsia="Arial" w:hAnsi="Arial"/>
                <w:b w:val="false"/>
                <w:bCs w:val="false"/>
                <w:color w:val="1C2B3A"/>
                <w:sz w:val="21"/>
                <w:szCs w:val="21"/>
              </w:rPr>
              <w:t xml:space="preserve">Launch Wizard</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2B3A"/>
                <w:sz w:val="21"/>
                <w:szCs w:val="21"/>
              </w:rPr>
              <w:t xml:space="preserve">client/src/components/LaunchWizard.tsx</w:t>
            </w:r>
          </w:p>
        </w:tc>
      </w:tr>
      <w:tr>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2B3A"/>
                <w:sz w:val="21"/>
                <w:szCs w:val="21"/>
              </w:rPr>
              <w:t xml:space="preserve">Agent 6</w:t>
            </w:r>
          </w:p>
        </w:tc>
        <w:tc>
          <w:tcPr>
            <w:tcW w:type="dxa" w:w="396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r>
              <w:rPr>
                <w:rFonts w:ascii="Arial" w:cs="Arial" w:eastAsia="Arial" w:hAnsi="Arial"/>
                <w:b w:val="false"/>
                <w:bCs w:val="false"/>
                <w:color w:val="1C2B3A"/>
                <w:sz w:val="21"/>
                <w:szCs w:val="21"/>
              </w:rPr>
              <w:t xml:space="preserve">Learning Registry</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2B3A"/>
                <w:sz w:val="21"/>
                <w:szCs w:val="21"/>
              </w:rPr>
              <w:t xml:space="preserve">server/routes/learning.js + client/src/components/LearningRegistry.tsx</w:t>
            </w:r>
          </w:p>
        </w:tc>
      </w:tr>
      <w:tr>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2B3A"/>
                <w:sz w:val="21"/>
                <w:szCs w:val="21"/>
              </w:rPr>
              <w:t xml:space="preserve">Agent 7</w:t>
            </w:r>
          </w:p>
        </w:tc>
        <w:tc>
          <w:tcPr>
            <w:tcW w:type="dxa" w:w="396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r>
              <w:rPr>
                <w:rFonts w:ascii="Arial" w:cs="Arial" w:eastAsia="Arial" w:hAnsi="Arial"/>
                <w:b w:val="false"/>
                <w:bCs w:val="false"/>
                <w:color w:val="1C2B3A"/>
                <w:sz w:val="21"/>
                <w:szCs w:val="21"/>
              </w:rPr>
              <w:t xml:space="preserve">Onboarding Flow</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2B3A"/>
                <w:sz w:val="21"/>
                <w:szCs w:val="21"/>
              </w:rPr>
              <w:t xml:space="preserve">client/src/components/Onboarding.tsx</w:t>
            </w:r>
          </w:p>
        </w:tc>
      </w:tr>
      <w:tr>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2B3A"/>
                <w:sz w:val="21"/>
                <w:szCs w:val="21"/>
              </w:rPr>
              <w:t xml:space="preserve">Agent 8</w:t>
            </w:r>
          </w:p>
        </w:tc>
        <w:tc>
          <w:tcPr>
            <w:tcW w:type="dxa" w:w="396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r>
              <w:rPr>
                <w:rFonts w:ascii="Arial" w:cs="Arial" w:eastAsia="Arial" w:hAnsi="Arial"/>
                <w:b w:val="false"/>
                <w:bCs w:val="false"/>
                <w:color w:val="1C2B3A"/>
                <w:sz w:val="21"/>
                <w:szCs w:val="21"/>
              </w:rPr>
              <w:t xml:space="preserve">Overview Dashboard</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2B3A"/>
                <w:sz w:val="21"/>
                <w:szCs w:val="21"/>
              </w:rPr>
              <w:t xml:space="preserve">client/src/components/OverviewDashboard.tsx</w:t>
            </w:r>
          </w:p>
        </w:tc>
      </w:tr>
      <w:tr>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2B3A"/>
                <w:sz w:val="21"/>
                <w:szCs w:val="21"/>
              </w:rPr>
              <w:t xml:space="preserve">Agent 9</w:t>
            </w:r>
          </w:p>
        </w:tc>
        <w:tc>
          <w:tcPr>
            <w:tcW w:type="dxa" w:w="396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r>
              <w:rPr>
                <w:rFonts w:ascii="Arial" w:cs="Arial" w:eastAsia="Arial" w:hAnsi="Arial"/>
                <w:b w:val="false"/>
                <w:bCs w:val="false"/>
                <w:color w:val="1C2B3A"/>
                <w:sz w:val="21"/>
                <w:szCs w:val="21"/>
              </w:rPr>
              <w:t xml:space="preserve">UI Design System Polish</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2B3A"/>
                <w:sz w:val="21"/>
                <w:szCs w:val="21"/>
              </w:rPr>
              <w:t xml:space="preserve">client/src/styles/polish.css</w:t>
            </w:r>
          </w:p>
        </w:tc>
      </w:tr>
      <w:tr>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2B3A"/>
                <w:sz w:val="21"/>
                <w:szCs w:val="21"/>
              </w:rPr>
              <w:t xml:space="preserve">Agent 10</w:t>
            </w:r>
          </w:p>
        </w:tc>
        <w:tc>
          <w:tcPr>
            <w:tcW w:type="dxa" w:w="396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r>
              <w:rPr>
                <w:rFonts w:ascii="Arial" w:cs="Arial" w:eastAsia="Arial" w:hAnsi="Arial"/>
                <w:b w:val="false"/>
                <w:bCs w:val="false"/>
                <w:color w:val="1C2B3A"/>
                <w:sz w:val="21"/>
                <w:szCs w:val="21"/>
              </w:rPr>
              <w:t xml:space="preserve">Mobile Responsive Layout</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2B3A"/>
                <w:sz w:val="21"/>
                <w:szCs w:val="21"/>
              </w:rPr>
              <w:t xml:space="preserve">client/src/styles/mobile.css + layout refactor</w:t>
            </w:r>
          </w:p>
        </w:tc>
      </w:tr>
    </w:tbl>
    <w:p>
      <w:pPr>
        <w:spacing w:after="80" w:before="80"/>
      </w:pPr>
      <w:r>
        <w:t xml:space="preserve"/>
      </w:r>
    </w:p>
    <w:p>
      <w:pPr>
        <w:spacing w:after="80" w:before="80"/>
      </w:pPr>
      <w:r>
        <w:rPr>
          <w:rFonts w:ascii="Arial" w:cs="Arial" w:eastAsia="Arial" w:hAnsi="Arial"/>
          <w:color w:val="1C2B3A"/>
          <w:sz w:val="22"/>
          <w:szCs w:val="22"/>
        </w:rPr>
        <w:t xml:space="preserve">Total estimated implementation time with 10 parallel agents: 45-90 minutes. Integration pass: 20-30 minutes. QA + rebuild: 10 minutes. Full production-ready build: under 2 hours.</w:t>
      </w:r>
    </w:p>
    <w:p>
      <w:pPr>
        <w:spacing w:after="160" w:before="160"/>
      </w:pPr>
      <w:r>
        <w:t xml:space="preserve"/>
      </w:r>
    </w:p>
    <w:p>
      <w:pPr>
        <w:pBdr>
          <w:top w:val="single" w:color="24D3A7" w:sz="4" w:space="1"/>
        </w:pBdr>
        <w:spacing w:after="240" w:before="240"/>
        <w:jc w:val="center"/>
      </w:pPr>
      <w:r>
        <w:rPr>
          <w:rFonts w:ascii="Arial" w:cs="Arial" w:eastAsia="Arial" w:hAnsi="Arial"/>
          <w:b/>
          <w:bCs/>
          <w:i/>
          <w:iCs/>
          <w:color w:val="00B7FF"/>
          <w:sz w:val="26"/>
          <w:szCs w:val="26"/>
        </w:rPr>
        <w:t xml:space="preserve">This is not an outreach tool. This is an Outreach OS that compounds.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1"/>
      </w:pBdr>
      <w:jc w:val="right"/>
    </w:pPr>
    <w:r>
      <w:rPr>
        <w:rFonts w:ascii="Arial" w:cs="Arial" w:eastAsia="Arial" w:hAnsi="Arial"/>
        <w:color w:val="8A9BB0"/>
        <w:sz w:val="18"/>
        <w:szCs w:val="18"/>
      </w:rPr>
      <w:t xml:space="preserve">Page </w:t>
    </w:r>
    <w:r>
      <w:rPr>
        <w:rFonts w:ascii="Arial" w:cs="Arial" w:eastAsia="Arial" w:hAnsi="Arial"/>
        <w:color w:val="8A9BB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4D3A7" w:sz="4" w:space="1"/>
      </w:pBdr>
    </w:pPr>
    <w:r>
      <w:rPr>
        <w:rFonts w:ascii="Arial" w:cs="Arial" w:eastAsia="Arial" w:hAnsi="Arial"/>
        <w:color w:val="6A80A0"/>
        <w:sz w:val="18"/>
        <w:szCs w:val="18"/>
      </w:rPr>
      <w:t xml:space="preserve">SignalIQ Grid System — Top 1% Master Bible</w:t>
    </w:r>
    <w:r>
      <w:rPr>
        <w:rFonts w:ascii="Arial" w:cs="Arial" w:eastAsia="Arial" w:hAnsi="Arial"/>
        <w:i/>
        <w:iCs/>
        <w:color w:val="24D3A7"/>
        <w:sz w:val="18"/>
        <w:szCs w:val="18"/>
      </w:rPr>
      <w:t xml:space="preserve">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0F1728"/>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0F1728"/>
      <w:sz w:val="28"/>
      <w:szCs w:val="28"/>
    </w:rPr>
  </w:style>
  <w:style w:type="paragraph" w:styleId="Heading3">
    <w:name w:val="Heading 3"/>
    <w:basedOn w:val="Normal"/>
    <w:next w:val="Normal"/>
    <w:qFormat/>
    <w:pPr>
      <w:spacing w:after="80" w:before="200"/>
      <w:outlineLvl w:val="2"/>
    </w:pPr>
    <w:rPr>
      <w:rFonts w:ascii="Arial" w:cs="Arial" w:eastAsia="Arial" w:hAnsi="Arial"/>
      <w:b/>
      <w:bCs/>
      <w:color w:val="1A356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2026-04-07T03:14:05.132Z</dcterms:created>
  <dcterms:modified xsi:type="dcterms:W3CDTF">2026-04-07T03:14:05.132Z</dcterms:modified>
</cp:coreProperties>
</file>

<file path=docProps/custom.xml><?xml version="1.0" encoding="utf-8"?>
<Properties xmlns="http://schemas.openxmlformats.org/officeDocument/2006/custom-properties" xmlns:vt="http://schemas.openxmlformats.org/officeDocument/2006/docPropsVTypes"/>
</file>