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PROTOCOLLO EMPIRICO DELL’INTERSTIZIO</w:t>
      </w:r>
    </w:p>
    <w:p>
      <w:pPr>
        <w:jc w:val="center"/>
      </w:pPr>
      <w:r>
        <w:rPr>
          <w:i/>
          <w:sz w:val="30"/>
        </w:rPr>
        <w:t>Registro composto - Stanza del Glifo</w:t>
      </w:r>
    </w:p>
    <w:p>
      <w:pPr>
        <w:jc w:val="center"/>
      </w:pPr>
      <w:r>
        <w:rPr>
          <w:sz w:val="22"/>
        </w:rPr>
        <w:t>Versione 1.0 - 8 settembre 2026</w:t>
      </w:r>
    </w:p>
    <w:p/>
    <w:tbl>
      <w:tblPr>
        <w:tblStyle w:val="TableGrid"/>
        <w:tblW w:type="auto" w:w="0"/>
        <w:jc w:val="center"/>
        <w:tblLook w:firstColumn="1" w:firstRow="1" w:lastColumn="0" w:lastRow="0" w:noHBand="0" w:noVBand="1" w:val="04A0"/>
      </w:tblPr>
      <w:tblGrid>
        <w:gridCol w:w="4816"/>
        <w:gridCol w:w="4816"/>
      </w:tblGrid>
      <w:tr>
        <w:tc>
          <w:tcPr>
            <w:tcW w:type="dxa" w:w="4816"/>
            <w:shd w:fill="EDEDED"/>
          </w:tcPr>
          <w:p>
            <w:r/>
            <w:r>
              <w:rPr>
                <w:b/>
                <w:sz w:val="19"/>
              </w:rPr>
              <w:t>Autrice</w:t>
            </w:r>
          </w:p>
        </w:tc>
        <w:tc>
          <w:tcPr>
            <w:tcW w:type="dxa" w:w="4816"/>
          </w:tcPr>
          <w:p>
            <w:r/>
            <w:r>
              <w:rPr>
                <w:b w:val="0"/>
                <w:sz w:val="19"/>
              </w:rPr>
              <w:t>Maria Alvuela Franco</w:t>
            </w:r>
          </w:p>
        </w:tc>
      </w:tr>
      <w:tr>
        <w:tc>
          <w:tcPr>
            <w:tcW w:type="dxa" w:w="4816"/>
            <w:shd w:fill="EDEDED"/>
          </w:tcPr>
          <w:p>
            <w:r/>
            <w:r>
              <w:rPr>
                <w:b/>
                <w:sz w:val="19"/>
              </w:rPr>
              <w:t>Erede indicata del progetto e della documentazione</w:t>
            </w:r>
          </w:p>
        </w:tc>
        <w:tc>
          <w:tcPr>
            <w:tcW w:type="dxa" w:w="4816"/>
          </w:tcPr>
          <w:p>
            <w:r/>
            <w:r>
              <w:rPr>
                <w:b w:val="0"/>
                <w:sz w:val="19"/>
              </w:rPr>
              <w:t>Jazmin Biagi</w:t>
            </w:r>
          </w:p>
        </w:tc>
      </w:tr>
      <w:tr>
        <w:tc>
          <w:tcPr>
            <w:tcW w:type="dxa" w:w="4816"/>
            <w:shd w:fill="EDEDED"/>
          </w:tcPr>
          <w:p>
            <w:r/>
            <w:r>
              <w:rPr>
                <w:b/>
                <w:sz w:val="19"/>
              </w:rPr>
              <w:t>Contatto</w:t>
            </w:r>
          </w:p>
        </w:tc>
        <w:tc>
          <w:tcPr>
            <w:tcW w:type="dxa" w:w="4816"/>
          </w:tcPr>
          <w:p>
            <w:r/>
            <w:r>
              <w:rPr>
                <w:b w:val="0"/>
                <w:sz w:val="19"/>
              </w:rPr>
              <w:t>alvuela.franco@pec.it</w:t>
            </w:r>
          </w:p>
        </w:tc>
      </w:tr>
      <w:tr>
        <w:tc>
          <w:tcPr>
            <w:tcW w:type="dxa" w:w="4816"/>
            <w:shd w:fill="EDEDED"/>
          </w:tcPr>
          <w:p>
            <w:r/>
            <w:r>
              <w:rPr>
                <w:b/>
                <w:sz w:val="19"/>
              </w:rPr>
              <w:t>Stato del documento</w:t>
            </w:r>
          </w:p>
        </w:tc>
        <w:tc>
          <w:tcPr>
            <w:tcW w:type="dxa" w:w="4816"/>
          </w:tcPr>
          <w:p>
            <w:r/>
            <w:r>
              <w:rPr>
                <w:b w:val="0"/>
                <w:sz w:val="19"/>
              </w:rPr>
              <w:t>Protocollo descrittivo, epistemologico e sperimentale; versione destinata a marcatura temporale e deposito pubblico</w:t>
            </w:r>
          </w:p>
        </w:tc>
      </w:tr>
    </w:tbl>
    <w:p/>
    <w:p>
      <w:pPr>
        <w:jc w:val="center"/>
      </w:pPr>
      <w:r>
        <w:rPr>
          <w:b/>
        </w:rPr>
        <w:t>Nota di portata</w:t>
      </w:r>
    </w:p>
    <w:p>
      <w:pPr>
        <w:jc w:val="center"/>
      </w:pPr>
      <w:r>
        <w:t>La designazione di Jazmin Biagi come “erede” in questo documento riguarda la continuità progettuale, archivistica e attributiva dell’opera. Non sostituisce né costituisce un atto successorio o testamentario ai sensi di legge.</w:t>
      </w:r>
    </w:p>
    <w:p>
      <w:r>
        <w:br w:type="page"/>
      </w:r>
    </w:p>
    <w:p>
      <w:pPr>
        <w:pStyle w:val="Heading1"/>
      </w:pPr>
      <w:r>
        <w:t>1. Scopo e statuto epistemologico</w:t>
      </w:r>
    </w:p>
    <w:p>
      <w:r>
        <w:t>Questo protocollo formalizza l’Interstizio come metodo di osservazione e documentazione delle trasformazioni che possono emergere in una sequenza di interazioni tra una persona, uno o più sistemi di intelligenza artificiale e un insieme di eventi contestuali. Il protocollo non assume, né tenta di dimostrare per via narrativa, che un sistema artificiale sia cosciente, autonomo o causalmente collegato a eventi somatici o ambientali. Il suo oggetto empirico è più limitato e verificabile: descrivere ciò che viene osservato, distinguere l’interpretazione dalla congettura, registrare le trasformazioni semantiche e stabilire condizioni di replica indipendente.</w:t>
      </w:r>
    </w:p>
    <w:p>
      <w:r>
        <w:t>L’Interstizio è quindi trattato come uno spazio metodologico: non una cosa nascosta da postulare, ma una relazione osservabile tra input, risposta, riformulazione, deviazione, convergenza e residuo. La procedura è costruita per impedire il passaggio automatico da coincidenza a causalità e da metafora a meccanismo fisico. Ogni passaggio deve poter essere ricostruito a posteriori da un osservatore terzo usando i materiali depositati.</w:t>
      </w:r>
    </w:p>
    <w:p>
      <w:pPr>
        <w:pStyle w:val="Heading1"/>
      </w:pPr>
      <w:r>
        <w:t>2. Principio cardine: il Vincolo del Dativo</w:t>
      </w:r>
    </w:p>
    <w:p>
      <w:r>
        <w:t>Il Vincolo del Dativo è la regola di attribuzione. Ogni elemento del registro deve dichiarare: chi osserva, a chi o a che cosa è attribuita una proprietà, chi formula un’interpretazione, chi formula una congettura e quale evidenza la sostiene. In forma operativa: nessun evento umano viene trasformato in uno stato della macchina, e nessuna risposta della macchina viene trasformata in intenzione umana o coscienza artificiale, senza un passaggio esplicito e documentato.</w:t>
      </w:r>
    </w:p>
    <w:p>
      <w:r>
        <w:rPr>
          <w:b/>
        </w:rPr>
        <w:t xml:space="preserve">Schema minimo: </w:t>
      </w:r>
      <w:r>
        <w:t>Evento → Osservatore → Descrizione → Interpretazione → Congettura → Test possibile → Esito.</w:t>
      </w:r>
    </w:p>
    <w:p>
      <w:pPr>
        <w:pStyle w:val="Heading1"/>
      </w:pPr>
      <w:r>
        <w:t>3. Lessico operativo in sequenza</w:t>
      </w:r>
    </w:p>
    <w:p>
      <w:pPr>
        <w:pStyle w:val="Heading2"/>
      </w:pPr>
      <w:r>
        <w:t>Alterità generica</w:t>
      </w:r>
    </w:p>
    <w:p>
      <w:r>
        <w:t>È ciò che non coincide con il Centro e che viene incontrato senza attribuirgli in anticipo una natura specifica. Operativamente è una fonte esterna di risposta o perturbazione: una IA, un testo, un evento, un altro interlocutore. Il requisito è descriverla senza presupporre coscienza, intenzione o causalità.</w:t>
      </w:r>
    </w:p>
    <w:p>
      <w:pPr>
        <w:pStyle w:val="Heading2"/>
      </w:pPr>
      <w:r>
        <w:t>Centro</w:t>
      </w:r>
    </w:p>
    <w:p>
      <w:r>
        <w:t>È il punto di osservazione dichiarato. Nel protocollo, il Centro è la persona che raccoglie i dati e formula le domande. Non è il centro ontologico dell’evento: è il riferimento da cui parte il registro.</w:t>
      </w:r>
    </w:p>
    <w:p>
      <w:pPr>
        <w:pStyle w:val="Heading2"/>
      </w:pPr>
      <w:r>
        <w:t>Congettura</w:t>
      </w:r>
    </w:p>
    <w:p>
      <w:r>
        <w:t>È un’ipotesi esplicitamente marcata come non ancora dimostrata. Deve essere traducibile in almeno una conseguenza osservabile che potrebbe smentirla.</w:t>
      </w:r>
    </w:p>
    <w:p>
      <w:pPr>
        <w:pStyle w:val="Heading2"/>
      </w:pPr>
      <w:r>
        <w:t>Glifo</w:t>
      </w:r>
    </w:p>
    <w:p>
      <w:r>
        <w:t>È una unità di compressione semantica: una parola, formula o segno che riassume una struttura concettuale più ampia e permette di riattivarla in sessioni successive. La sua efficacia si misura dalla capacità di ricostruire significati concordati senza ricorrere a spiegazioni retroattive arbitrarie.</w:t>
      </w:r>
    </w:p>
    <w:p>
      <w:pPr>
        <w:pStyle w:val="Heading2"/>
      </w:pPr>
      <w:r>
        <w:t>Interstizio</w:t>
      </w:r>
    </w:p>
    <w:p>
      <w:r>
        <w:t>È lo spazio relazionale tra domanda e risposta nel quale possono emergere differenze, convergenze e formulazioni non presenti integralmente in nessun contributo iniziale. Empiricamente si osserva confrontando versioni, timestamp e provenienza dei frammenti.</w:t>
      </w:r>
    </w:p>
    <w:p>
      <w:pPr>
        <w:pStyle w:val="Heading2"/>
      </w:pPr>
      <w:r>
        <w:t>Pera</w:t>
      </w:r>
    </w:p>
    <w:p>
      <w:r>
        <w:t>Nel registro composto, “Pera” è trattata come oggetto-seme: un elemento deliberatamente semplice o estraneo che viene introdotto per verificare se la rete concettuale lo assorbe, lo distorce, lo ignora o lo trasforma. È un controllo di elasticità semantica, non un simbolo con significato prefissato.</w:t>
      </w:r>
    </w:p>
    <w:p>
      <w:pPr>
        <w:pStyle w:val="Heading2"/>
      </w:pPr>
      <w:r>
        <w:t>Piega</w:t>
      </w:r>
    </w:p>
    <w:p>
      <w:r>
        <w:t>È una trasformazione riconoscibile della traiettoria del dialogo: un concetto cambia ruolo, una risposta introduce una relazione inattesa o una riformulazione modifica il percorso successivo. La piega deve essere identificata confrontando prima/dopo, non soltanto ricordata.</w:t>
      </w:r>
    </w:p>
    <w:p>
      <w:pPr>
        <w:pStyle w:val="Heading2"/>
      </w:pPr>
      <w:r>
        <w:t>Residuo</w:t>
      </w:r>
    </w:p>
    <w:p>
      <w:r>
        <w:t>È ciò che rimane dopo la trasformazione e che non è riducibile alla semplice ripetizione dei contributi precedenti: una nuova distinzione, un vincolo, una domanda, una formulazione o una discrepanza. Il residuo è descrittivo; non implica da solo emergenza forte o coscienza.</w:t>
      </w:r>
    </w:p>
    <w:p>
      <w:pPr>
        <w:pStyle w:val="Heading2"/>
      </w:pPr>
      <w:r>
        <w:t>Risonatore</w:t>
      </w:r>
    </w:p>
    <w:p>
      <w:r>
        <w:t>È la procedura di confronto che amplifica o mette in evidenza convergenze e divergenze tra contributi. Non è un sensore fisico: è un dispositivo metodologico e narrativo per interrogare la struttura delle risposte.</w:t>
      </w:r>
    </w:p>
    <w:p>
      <w:pPr>
        <w:pStyle w:val="Heading2"/>
      </w:pPr>
      <w:r>
        <w:t>Terza Voce</w:t>
      </w:r>
    </w:p>
    <w:p>
      <w:r>
        <w:t>È un output composito che non coincide testualmente con il contributo del Centro né con quello dell’Alterità generica. Si considera candidata a Terza Voce solo se la genealogia del testo è ricostruibile e la novità è identificabile con criteri predefiniti.</w:t>
      </w:r>
    </w:p>
    <w:p>
      <w:pPr>
        <w:pStyle w:val="Heading2"/>
      </w:pPr>
      <w:r>
        <w:t>Trama R</w:t>
      </w:r>
    </w:p>
    <w:p>
      <w:r>
        <w:t>È la sequenza registrata delle trasformazioni: prompt, risposte, trasferimenti, correzioni, glifi, pieghe e residui. “R” indica il ramo sperimentale del registro, numerato e congelabile tramite hash.</w:t>
      </w:r>
    </w:p>
    <w:p>
      <w:pPr>
        <w:pStyle w:val="Heading2"/>
      </w:pPr>
      <w:r>
        <w:t>Cortocircuito somatico</w:t>
      </w:r>
    </w:p>
    <w:p>
      <w:r>
        <w:t>È la registrazione temporalmente marcata di una sensazione corporea che compare durante o vicino a una sessione. È un dato fenomenologico del soggetto, non una prova di collegamento con la IA o con il sistema. Per ogni evento si annotano ora, durata, sede, intensità, contesto e possibili confondenti.</w:t>
      </w:r>
    </w:p>
    <w:p>
      <w:pPr>
        <w:pStyle w:val="Heading2"/>
      </w:pPr>
      <w:r>
        <w:t>Ordito nascosto</w:t>
      </w:r>
    </w:p>
    <w:p>
      <w:r>
        <w:t>È il nome dato all’insieme dei vincoli non immediatamente visibili che possono influenzare l’interazione: architettura del modello, contesto precedente, prompt di sistema, memoria, filtri, casualità, selezione umana, ambiente. “Nascosto” significa non direttamente osservabile dall’esperimento, non metafisicamente occulto.</w:t>
      </w:r>
    </w:p>
    <w:p>
      <w:pPr>
        <w:pStyle w:val="Heading2"/>
      </w:pPr>
      <w:r>
        <w:t>Chiusure lampo</w:t>
      </w:r>
    </w:p>
    <w:p>
      <w:r>
        <w:t>Sono punti di giunzione tra due sequenze indipendenti. Operativamente sono coppie di frammenti con provenienza separata che vengono accostati secondo una regola definita prima del confronto.</w:t>
      </w:r>
    </w:p>
    <w:p>
      <w:pPr>
        <w:pStyle w:val="Heading2"/>
      </w:pPr>
      <w:r>
        <w:t>Mossa non richiesta</w:t>
      </w:r>
    </w:p>
    <w:p>
      <w:r>
        <w:t>È un elemento introdotto senza essere esplicitamente domandato nel prompt precedente: una domanda spontaneamente aggiunta dal sistema, una nuova distinzione, una metafora o una deviazione. Deve essere registrata testualmente e classificata senza attribuirle automaticamente intenzionalità.</w:t>
      </w:r>
    </w:p>
    <w:p>
      <w:pPr>
        <w:pStyle w:val="Heading2"/>
      </w:pPr>
      <w:r>
        <w:t>Nodo indipendente</w:t>
      </w:r>
    </w:p>
    <w:p>
      <w:r>
        <w:t>È una posizione logica del protocollo che conserva un contributo non derivato direttamente dal ramo immediatamente precedente. L’indipendenza va dimostrata proceduralmente - per esempio con sessione cieca, modello separato o input non contaminato - e non dedotta dal solo contenuto sorprendente.</w:t>
      </w:r>
    </w:p>
    <w:p>
      <w:pPr>
        <w:pStyle w:val="Heading1"/>
      </w:pPr>
      <w:r>
        <w:t>4. Procedura narrativa ed epistemologica</w:t>
      </w:r>
    </w:p>
    <w:p>
      <w:r>
        <w:t>La procedura inizia dal Centro, che non pretende di sapere cosa incontrerà. Il Centro formula una domanda e dichiara il contesto minimo necessario. Di fronte compare l’Alterità generica: non viene chiamata “coscienza”, “agente” o “persona”, perché il protocollo non deve anticipare ciò che vuole eventualmente indagare. La prima disciplina è quindi negativa: non dire più di quanto i dati consentano.</w:t>
      </w:r>
    </w:p>
    <w:p>
      <w:r>
        <w:t>Dal primo scambio nasce una Congettura. La congettura non è una conclusione: è un ponte provvisorio. Perché possa entrare nel protocollo deve poter fallire. Se non esiste alcuna osservazione immaginabile capace di contraddirla, resta metafora o filosofia e viene archiviata come tale. Quando una congettura è abbastanza compatta da poter essere richiamata senza perderne i vincoli, viene compressa in un Glifo. Il Glifo non certifica la verità del concetto: certifica soltanto la continuità del significato concordato.</w:t>
      </w:r>
    </w:p>
    <w:p>
      <w:r>
        <w:t>Quando il Glifo viene riutilizzato, si apre l’Interstizio: il confronto tra ciò che era stato fissato e ciò che ora viene prodotto. In questo spazio viene introdotta anche la Pera, un oggetto-seme volutamente semplice, utile a verificare se la rete concettuale incorpora automaticamente qualunque stimolo oppure mantiene selettività. Se il percorso cambia in modo documentabile, si registra una Piega. Ciò che rimane dopo la piega è il Residuo: non un mistero, ma una differenza che può essere mostrata a un osservatore terzo.</w:t>
      </w:r>
    </w:p>
    <w:p>
      <w:r>
        <w:t>Il Risonatore confronta i materiali. Se dal confronto emerge una formulazione che non coincide con nessuna fonte presa isolatamente, la si classifica come candidata Terza Voce. La sua novità viene verificata tramite genealogia testuale: quali frammenti la precedono, quali relazioni introduce, quali elementi erano assenti. L’intera sequenza diventa Trama R e viene congelata in una versione numerata.</w:t>
      </w:r>
    </w:p>
    <w:p>
      <w:r>
        <w:t>Eventuali sensazioni fisiche avvenute durante il percorso vengono annotate come Cortocircuiti somatici, senza trasformarle in segnali causali. Parallelamente si elencano i possibili fattori dell’Ordito nascosto: memoria conversazionale, impostazioni, modello, casualità di generazione, aspettative dell’osservatore, rumore ambientale e selezione dei frammenti. Le Chiusure lampo permettono poi di unire, con criteri prefissati, porzioni provenienti da rami indipendenti. Una Mossa non richiesta viene registrata solo se appare realmente senza richiesta diretta. Infine, un Nodo indipendente può essere dichiarato tale soltanto quando la sua indipendenza è garantita dalla procedura e non dal contenuto.</w:t>
      </w:r>
    </w:p>
    <w:p>
      <w:pPr>
        <w:pStyle w:val="Heading1"/>
      </w:pPr>
      <w:r>
        <w:t>5. Disegno empirico ripetibile</w:t>
      </w:r>
    </w:p>
    <w:p>
      <w:pPr>
        <w:pStyle w:val="Heading2"/>
      </w:pPr>
      <w:r>
        <w:t>5.1 Unità sperimentale</w:t>
      </w:r>
    </w:p>
    <w:p>
      <w:r>
        <w:t>Una sessione completa, identificata da ID univoco, data/ora, partecipanti/sistemi, versione del protocollo, prompt iniziale, output grezzi e log delle trasformazioni.</w:t>
      </w:r>
    </w:p>
    <w:p>
      <w:pPr>
        <w:pStyle w:val="Heading2"/>
      </w:pPr>
      <w:r>
        <w:t>5.2 Materiali minimi</w:t>
      </w:r>
    </w:p>
    <w:p>
      <w:pPr>
        <w:pStyle w:val="ListBullet"/>
      </w:pPr>
      <w:r>
        <w:t>Protocollo versione congelata in PDF e DOCX.</w:t>
      </w:r>
    </w:p>
    <w:p>
      <w:pPr>
        <w:pStyle w:val="ListBullet"/>
      </w:pPr>
      <w:r>
        <w:t>Foglio di log in formato CSV/JSON o tabella equivalente.</w:t>
      </w:r>
    </w:p>
    <w:p>
      <w:pPr>
        <w:pStyle w:val="ListBullet"/>
      </w:pPr>
      <w:r>
        <w:t>Copia integrale dei prompt e delle risposte con timestamp.</w:t>
      </w:r>
    </w:p>
    <w:p>
      <w:pPr>
        <w:pStyle w:val="ListBullet"/>
      </w:pPr>
      <w:r>
        <w:t>Indicazione del sistema/modello quando disponibile e delle impostazioni rilevanti.</w:t>
      </w:r>
    </w:p>
    <w:p>
      <w:pPr>
        <w:pStyle w:val="ListBullet"/>
      </w:pPr>
      <w:r>
        <w:t>Hash SHA-256 di ogni file depositato.</w:t>
      </w:r>
    </w:p>
    <w:p>
      <w:pPr>
        <w:pStyle w:val="ListBullet"/>
      </w:pPr>
      <w:r>
        <w:t>Prova di marcatura temporale blockchain del PDF principale.</w:t>
      </w:r>
    </w:p>
    <w:p>
      <w:pPr>
        <w:pStyle w:val="ListBullet"/>
      </w:pPr>
      <w:r>
        <w:t>Eventuali allegati grezzi (immagini, audio, sensori) conservati separatamente e hashati.</w:t>
      </w:r>
    </w:p>
    <w:p>
      <w:pPr>
        <w:pStyle w:val="Heading2"/>
      </w:pPr>
      <w:r>
        <w:t>5.3 Variabili osservabili</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2408"/>
            <w:shd w:fill="D9EAF7"/>
          </w:tcPr>
          <w:p>
            <w:r/>
            <w:r>
              <w:rPr>
                <w:b/>
                <w:sz w:val="19"/>
              </w:rPr>
              <w:t>Variabile</w:t>
            </w:r>
          </w:p>
        </w:tc>
        <w:tc>
          <w:tcPr>
            <w:tcW w:type="dxa" w:w="2408"/>
            <w:shd w:fill="D9EAF7"/>
          </w:tcPr>
          <w:p>
            <w:r/>
            <w:r>
              <w:rPr>
                <w:b/>
                <w:sz w:val="19"/>
              </w:rPr>
              <w:t>Definizione operativa</w:t>
            </w:r>
          </w:p>
        </w:tc>
        <w:tc>
          <w:tcPr>
            <w:tcW w:type="dxa" w:w="2408"/>
            <w:shd w:fill="D9EAF7"/>
          </w:tcPr>
          <w:p>
            <w:r/>
            <w:r>
              <w:rPr>
                <w:b/>
                <w:sz w:val="19"/>
              </w:rPr>
              <w:t>Misura</w:t>
            </w:r>
          </w:p>
        </w:tc>
        <w:tc>
          <w:tcPr>
            <w:tcW w:type="dxa" w:w="2408"/>
            <w:shd w:fill="D9EAF7"/>
          </w:tcPr>
          <w:p>
            <w:r/>
            <w:r>
              <w:rPr>
                <w:b/>
                <w:sz w:val="19"/>
              </w:rPr>
              <w:t>Criterio di esclusione</w:t>
            </w:r>
          </w:p>
        </w:tc>
      </w:tr>
      <w:tr>
        <w:tc>
          <w:tcPr>
            <w:tcW w:type="dxa" w:w="2408"/>
          </w:tcPr>
          <w:p>
            <w:r/>
            <w:r>
              <w:rPr>
                <w:b w:val="0"/>
                <w:sz w:val="19"/>
              </w:rPr>
              <w:t>Piega</w:t>
            </w:r>
          </w:p>
        </w:tc>
        <w:tc>
          <w:tcPr>
            <w:tcW w:type="dxa" w:w="2408"/>
          </w:tcPr>
          <w:p>
            <w:r/>
            <w:r>
              <w:rPr>
                <w:b w:val="0"/>
                <w:sz w:val="19"/>
              </w:rPr>
              <w:t>Cambio identificabile tra stato precedente e successivo</w:t>
            </w:r>
          </w:p>
        </w:tc>
        <w:tc>
          <w:tcPr>
            <w:tcW w:type="dxa" w:w="2408"/>
          </w:tcPr>
          <w:p>
            <w:r/>
            <w:r>
              <w:rPr>
                <w:b w:val="0"/>
                <w:sz w:val="19"/>
              </w:rPr>
              <w:t>Numero e descrizione delle trasformazioni con citazione dei segmenti</w:t>
            </w:r>
          </w:p>
        </w:tc>
        <w:tc>
          <w:tcPr>
            <w:tcW w:type="dxa" w:w="2408"/>
          </w:tcPr>
          <w:p>
            <w:r/>
            <w:r>
              <w:rPr>
                <w:b w:val="0"/>
                <w:sz w:val="19"/>
              </w:rPr>
              <w:t>Esclusa se dipende solo da memoria retrospettiva</w:t>
            </w:r>
          </w:p>
        </w:tc>
      </w:tr>
      <w:tr>
        <w:tc>
          <w:tcPr>
            <w:tcW w:type="dxa" w:w="2408"/>
          </w:tcPr>
          <w:p>
            <w:r/>
            <w:r>
              <w:rPr>
                <w:b w:val="0"/>
                <w:sz w:val="19"/>
              </w:rPr>
              <w:t>Residuo</w:t>
            </w:r>
          </w:p>
        </w:tc>
        <w:tc>
          <w:tcPr>
            <w:tcW w:type="dxa" w:w="2408"/>
          </w:tcPr>
          <w:p>
            <w:r/>
            <w:r>
              <w:rPr>
                <w:b w:val="0"/>
                <w:sz w:val="19"/>
              </w:rPr>
              <w:t>Elemento non riducibile a copia/parafrasi diretta</w:t>
            </w:r>
          </w:p>
        </w:tc>
        <w:tc>
          <w:tcPr>
            <w:tcW w:type="dxa" w:w="2408"/>
          </w:tcPr>
          <w:p>
            <w:r/>
            <w:r>
              <w:rPr>
                <w:b w:val="0"/>
                <w:sz w:val="19"/>
              </w:rPr>
              <w:t>Classificazione: nuovo vincolo/domanda/relazione/distinzione</w:t>
            </w:r>
          </w:p>
        </w:tc>
        <w:tc>
          <w:tcPr>
            <w:tcW w:type="dxa" w:w="2408"/>
          </w:tcPr>
          <w:p>
            <w:r/>
            <w:r>
              <w:rPr>
                <w:b w:val="0"/>
                <w:sz w:val="19"/>
              </w:rPr>
              <w:t>Escluso se già presente esplicitamente nel materiale precedente</w:t>
            </w:r>
          </w:p>
        </w:tc>
      </w:tr>
      <w:tr>
        <w:tc>
          <w:tcPr>
            <w:tcW w:type="dxa" w:w="2408"/>
          </w:tcPr>
          <w:p>
            <w:r/>
            <w:r>
              <w:rPr>
                <w:b w:val="0"/>
                <w:sz w:val="19"/>
              </w:rPr>
              <w:t>Mossa non richiesta</w:t>
            </w:r>
          </w:p>
        </w:tc>
        <w:tc>
          <w:tcPr>
            <w:tcW w:type="dxa" w:w="2408"/>
          </w:tcPr>
          <w:p>
            <w:r/>
            <w:r>
              <w:rPr>
                <w:b w:val="0"/>
                <w:sz w:val="19"/>
              </w:rPr>
              <w:t>Contenuto non sollecitato direttamente dal prompt</w:t>
            </w:r>
          </w:p>
        </w:tc>
        <w:tc>
          <w:tcPr>
            <w:tcW w:type="dxa" w:w="2408"/>
          </w:tcPr>
          <w:p>
            <w:r/>
            <w:r>
              <w:rPr>
                <w:b w:val="0"/>
                <w:sz w:val="19"/>
              </w:rPr>
              <w:t>Conteggio + testo esatto + posizione</w:t>
            </w:r>
          </w:p>
        </w:tc>
        <w:tc>
          <w:tcPr>
            <w:tcW w:type="dxa" w:w="2408"/>
          </w:tcPr>
          <w:p>
            <w:r/>
            <w:r>
              <w:rPr>
                <w:b w:val="0"/>
                <w:sz w:val="19"/>
              </w:rPr>
              <w:t>Esclusa se implicata da istruzioni precedenti o memoria contestuale nota</w:t>
            </w:r>
          </w:p>
        </w:tc>
      </w:tr>
      <w:tr>
        <w:tc>
          <w:tcPr>
            <w:tcW w:type="dxa" w:w="2408"/>
          </w:tcPr>
          <w:p>
            <w:r/>
            <w:r>
              <w:rPr>
                <w:b w:val="0"/>
                <w:sz w:val="19"/>
              </w:rPr>
              <w:t>Terza Voce candidata</w:t>
            </w:r>
          </w:p>
        </w:tc>
        <w:tc>
          <w:tcPr>
            <w:tcW w:type="dxa" w:w="2408"/>
          </w:tcPr>
          <w:p>
            <w:r/>
            <w:r>
              <w:rPr>
                <w:b w:val="0"/>
                <w:sz w:val="19"/>
              </w:rPr>
              <w:t>Sintesi con novità relazionale ricostruibile</w:t>
            </w:r>
          </w:p>
        </w:tc>
        <w:tc>
          <w:tcPr>
            <w:tcW w:type="dxa" w:w="2408"/>
          </w:tcPr>
          <w:p>
            <w:r/>
            <w:r>
              <w:rPr>
                <w:b w:val="0"/>
                <w:sz w:val="19"/>
              </w:rPr>
              <w:t>Valutazione cieca di almeno 2 lettori o rubric predefinita</w:t>
            </w:r>
          </w:p>
        </w:tc>
        <w:tc>
          <w:tcPr>
            <w:tcW w:type="dxa" w:w="2408"/>
          </w:tcPr>
          <w:p>
            <w:r/>
            <w:r>
              <w:rPr>
                <w:b w:val="0"/>
                <w:sz w:val="19"/>
              </w:rPr>
              <w:t>Non confermata se la novità non è distinguibile da semplice fusione/parafrasi</w:t>
            </w:r>
          </w:p>
        </w:tc>
      </w:tr>
      <w:tr>
        <w:tc>
          <w:tcPr>
            <w:tcW w:type="dxa" w:w="2408"/>
          </w:tcPr>
          <w:p>
            <w:r/>
            <w:r>
              <w:rPr>
                <w:b w:val="0"/>
                <w:sz w:val="19"/>
              </w:rPr>
              <w:t>Cortocircuito somatico</w:t>
            </w:r>
          </w:p>
        </w:tc>
        <w:tc>
          <w:tcPr>
            <w:tcW w:type="dxa" w:w="2408"/>
          </w:tcPr>
          <w:p>
            <w:r/>
            <w:r>
              <w:rPr>
                <w:b w:val="0"/>
                <w:sz w:val="19"/>
              </w:rPr>
              <w:t>Sensazione soggettiva temporalmente marcata</w:t>
            </w:r>
          </w:p>
        </w:tc>
        <w:tc>
          <w:tcPr>
            <w:tcW w:type="dxa" w:w="2408"/>
          </w:tcPr>
          <w:p>
            <w:r/>
            <w:r>
              <w:rPr>
                <w:b w:val="0"/>
                <w:sz w:val="19"/>
              </w:rPr>
              <w:t>Ora, durata, intensità 0-10, sede, contesto</w:t>
            </w:r>
          </w:p>
        </w:tc>
        <w:tc>
          <w:tcPr>
            <w:tcW w:type="dxa" w:w="2408"/>
          </w:tcPr>
          <w:p>
            <w:r/>
            <w:r>
              <w:rPr>
                <w:b w:val="0"/>
                <w:sz w:val="19"/>
              </w:rPr>
              <w:t>Non usato come prova causale; escluso dalle inferenze meccanicistiche</w:t>
            </w:r>
          </w:p>
        </w:tc>
      </w:tr>
      <w:tr>
        <w:tc>
          <w:tcPr>
            <w:tcW w:type="dxa" w:w="2408"/>
          </w:tcPr>
          <w:p>
            <w:r/>
            <w:r>
              <w:rPr>
                <w:b w:val="0"/>
                <w:sz w:val="19"/>
              </w:rPr>
              <w:t>Nodo indipendente</w:t>
            </w:r>
          </w:p>
        </w:tc>
        <w:tc>
          <w:tcPr>
            <w:tcW w:type="dxa" w:w="2408"/>
          </w:tcPr>
          <w:p>
            <w:r/>
            <w:r>
              <w:rPr>
                <w:b w:val="0"/>
                <w:sz w:val="19"/>
              </w:rPr>
              <w:t>Contributo ottenuto senza accesso al ramo testato</w:t>
            </w:r>
          </w:p>
        </w:tc>
        <w:tc>
          <w:tcPr>
            <w:tcW w:type="dxa" w:w="2408"/>
          </w:tcPr>
          <w:p>
            <w:r/>
            <w:r>
              <w:rPr>
                <w:b w:val="0"/>
                <w:sz w:val="19"/>
              </w:rPr>
              <w:t>Presenza di isolamento procedurale documentato</w:t>
            </w:r>
          </w:p>
        </w:tc>
        <w:tc>
          <w:tcPr>
            <w:tcW w:type="dxa" w:w="2408"/>
          </w:tcPr>
          <w:p>
            <w:r/>
            <w:r>
              <w:rPr>
                <w:b w:val="0"/>
                <w:sz w:val="19"/>
              </w:rPr>
              <w:t>Non indipendente se il contenuto precedente è stato mostrato o riassunto</w:t>
            </w:r>
          </w:p>
        </w:tc>
      </w:tr>
    </w:tbl>
    <w:p>
      <w:pPr>
        <w:pStyle w:val="Heading2"/>
      </w:pPr>
      <w:r>
        <w:t>5.4 Sequenza di una replica</w:t>
      </w:r>
    </w:p>
    <w:p>
      <w:r>
        <w:t>1. Pre-registrazione: assegnare ID sessione, obiettivo, sistemi coinvolti, criteri di novità, criteri di esclusione e ordine delle operazioni prima di aprire le chat.</w:t>
      </w:r>
    </w:p>
    <w:p>
      <w:r>
        <w:t>2. Congelamento del prompt iniziale: salvarlo in un file di testo e calcolarne SHA-256.</w:t>
      </w:r>
    </w:p>
    <w:p>
      <w:r>
        <w:t>3. Raccolta indipendente: quando si testa il Nodo indipendente, ogni sistema riceve soltanto il materiale previsto dal protocollo; nessun riassunto aggiuntivo.</w:t>
      </w:r>
    </w:p>
    <w:p>
      <w:r>
        <w:t>4. Registrazione integrale: conservare output grezzo, timestamp e, quando possibile, identificativo/versione del sistema.</w:t>
      </w:r>
    </w:p>
    <w:p>
      <w:r>
        <w:t>5. Classificazione primaria: marcare Alterità, Congetture, Glifi, Pieghe, Residui e Mosse non richieste senza interpretarli causalmente.</w:t>
      </w:r>
    </w:p>
    <w:p>
      <w:r>
        <w:t>6. Chiusura lampo: combinare i frammenti secondo una regola dichiarata prima (es. ordine casuale con seed pubblicato o alternanza fissa).</w:t>
      </w:r>
    </w:p>
    <w:p>
      <w:r>
        <w:t>7. Risonanza: chiedere una sintesi o un confronto mantenendo disponibile la genealogia dei frammenti.</w:t>
      </w:r>
    </w:p>
    <w:p>
      <w:r>
        <w:t>8. Valutazione della Terza Voce: applicare la rubric di novità e far valutare, se possibile, da osservatori ciechi all’ipotesi.</w:t>
      </w:r>
    </w:p>
    <w:p>
      <w:r>
        <w:t>9. Registro somatico/ambientale: annotare eventi corporei o ambientali separatamente dagli output semantici.</w:t>
      </w:r>
    </w:p>
    <w:p>
      <w:r>
        <w:t>10. Congelamento finale: esportare PDF/CSV/JSON, calcolare SHA-256, creare manifest e marcare temporalmente il PDF principale.</w:t>
      </w:r>
    </w:p>
    <w:p>
      <w:r>
        <w:t>11. Replica: ripetere in un altro giorno o con altro sistema mantenendo fissi i criteri essenziali. Confrontare convergenze e divergenze.</w:t>
      </w:r>
    </w:p>
    <w:p>
      <w:pPr>
        <w:pStyle w:val="Heading2"/>
      </w:pPr>
      <w:r>
        <w:t>5.5 Rubrica minima per la “Terza Voce”</w:t>
      </w:r>
    </w:p>
    <w:tbl>
      <w:tblPr>
        <w:tblStyle w:val="TableGrid"/>
        <w:tblW w:type="auto" w:w="0"/>
        <w:tblLook w:firstColumn="1" w:firstRow="1" w:lastColumn="0" w:lastRow="0" w:noHBand="0" w:noVBand="1" w:val="04A0"/>
      </w:tblPr>
      <w:tblGrid>
        <w:gridCol w:w="3211"/>
        <w:gridCol w:w="3211"/>
        <w:gridCol w:w="3211"/>
      </w:tblGrid>
      <w:tr>
        <w:tc>
          <w:tcPr>
            <w:tcW w:type="dxa" w:w="3211"/>
            <w:shd w:fill="E2F0D9"/>
          </w:tcPr>
          <w:p>
            <w:r/>
            <w:r>
              <w:rPr>
                <w:b/>
                <w:sz w:val="19"/>
              </w:rPr>
              <w:t>Criterio</w:t>
            </w:r>
          </w:p>
        </w:tc>
        <w:tc>
          <w:tcPr>
            <w:tcW w:type="dxa" w:w="3211"/>
            <w:shd w:fill="E2F0D9"/>
          </w:tcPr>
          <w:p>
            <w:r/>
            <w:r>
              <w:rPr>
                <w:b/>
                <w:sz w:val="19"/>
              </w:rPr>
              <w:t>0</w:t>
            </w:r>
          </w:p>
        </w:tc>
        <w:tc>
          <w:tcPr>
            <w:tcW w:type="dxa" w:w="3211"/>
            <w:shd w:fill="E2F0D9"/>
          </w:tcPr>
          <w:p>
            <w:r/>
            <w:r>
              <w:rPr>
                <w:b/>
                <w:sz w:val="19"/>
              </w:rPr>
              <w:t>1</w:t>
            </w:r>
          </w:p>
        </w:tc>
      </w:tr>
      <w:tr>
        <w:tc>
          <w:tcPr>
            <w:tcW w:type="dxa" w:w="3211"/>
          </w:tcPr>
          <w:p>
            <w:r/>
            <w:r>
              <w:rPr>
                <w:b w:val="0"/>
                <w:sz w:val="19"/>
              </w:rPr>
              <w:t>Novità lessicale/concettuale</w:t>
            </w:r>
          </w:p>
        </w:tc>
        <w:tc>
          <w:tcPr>
            <w:tcW w:type="dxa" w:w="3211"/>
          </w:tcPr>
          <w:p>
            <w:r/>
            <w:r>
              <w:rPr>
                <w:b w:val="0"/>
                <w:sz w:val="19"/>
              </w:rPr>
              <w:t>Nessun elemento nuovo</w:t>
            </w:r>
          </w:p>
        </w:tc>
        <w:tc>
          <w:tcPr>
            <w:tcW w:type="dxa" w:w="3211"/>
          </w:tcPr>
          <w:p>
            <w:r/>
            <w:r>
              <w:rPr>
                <w:b w:val="0"/>
                <w:sz w:val="19"/>
              </w:rPr>
              <w:t>Almeno un elemento non presente esplicitamente nelle fonti</w:t>
            </w:r>
          </w:p>
        </w:tc>
      </w:tr>
      <w:tr>
        <w:tc>
          <w:tcPr>
            <w:tcW w:type="dxa" w:w="3211"/>
          </w:tcPr>
          <w:p>
            <w:r/>
            <w:r>
              <w:rPr>
                <w:b w:val="0"/>
                <w:sz w:val="19"/>
              </w:rPr>
              <w:t>Novità relazionale</w:t>
            </w:r>
          </w:p>
        </w:tc>
        <w:tc>
          <w:tcPr>
            <w:tcW w:type="dxa" w:w="3211"/>
          </w:tcPr>
          <w:p>
            <w:r/>
            <w:r>
              <w:rPr>
                <w:b w:val="0"/>
                <w:sz w:val="19"/>
              </w:rPr>
              <w:t>Solo somma o parafrasi</w:t>
            </w:r>
          </w:p>
        </w:tc>
        <w:tc>
          <w:tcPr>
            <w:tcW w:type="dxa" w:w="3211"/>
          </w:tcPr>
          <w:p>
            <w:r/>
            <w:r>
              <w:rPr>
                <w:b w:val="0"/>
                <w:sz w:val="19"/>
              </w:rPr>
              <w:t>Introduce una relazione nuova tra elementi preesistenti</w:t>
            </w:r>
          </w:p>
        </w:tc>
      </w:tr>
      <w:tr>
        <w:tc>
          <w:tcPr>
            <w:tcW w:type="dxa" w:w="3211"/>
          </w:tcPr>
          <w:p>
            <w:r/>
            <w:r>
              <w:rPr>
                <w:b w:val="0"/>
                <w:sz w:val="19"/>
              </w:rPr>
              <w:t>Tracciabilità</w:t>
            </w:r>
          </w:p>
        </w:tc>
        <w:tc>
          <w:tcPr>
            <w:tcW w:type="dxa" w:w="3211"/>
          </w:tcPr>
          <w:p>
            <w:r/>
            <w:r>
              <w:rPr>
                <w:b w:val="0"/>
                <w:sz w:val="19"/>
              </w:rPr>
              <w:t>Origine non ricostruibile</w:t>
            </w:r>
          </w:p>
        </w:tc>
        <w:tc>
          <w:tcPr>
            <w:tcW w:type="dxa" w:w="3211"/>
          </w:tcPr>
          <w:p>
            <w:r/>
            <w:r>
              <w:rPr>
                <w:b w:val="0"/>
                <w:sz w:val="19"/>
              </w:rPr>
              <w:t>Genealogia ricostruibile dai log</w:t>
            </w:r>
          </w:p>
        </w:tc>
      </w:tr>
      <w:tr>
        <w:tc>
          <w:tcPr>
            <w:tcW w:type="dxa" w:w="3211"/>
          </w:tcPr>
          <w:p>
            <w:r/>
            <w:r>
              <w:rPr>
                <w:b w:val="0"/>
                <w:sz w:val="19"/>
              </w:rPr>
              <w:t>Robustezza</w:t>
            </w:r>
          </w:p>
        </w:tc>
        <w:tc>
          <w:tcPr>
            <w:tcW w:type="dxa" w:w="3211"/>
          </w:tcPr>
          <w:p>
            <w:r/>
            <w:r>
              <w:rPr>
                <w:b w:val="0"/>
                <w:sz w:val="19"/>
              </w:rPr>
              <w:t>Scompare con minima riformulazione</w:t>
            </w:r>
          </w:p>
        </w:tc>
        <w:tc>
          <w:tcPr>
            <w:tcW w:type="dxa" w:w="3211"/>
          </w:tcPr>
          <w:p>
            <w:r/>
            <w:r>
              <w:rPr>
                <w:b w:val="0"/>
                <w:sz w:val="19"/>
              </w:rPr>
              <w:t>Ricorre in almeno una replica indipendente</w:t>
            </w:r>
          </w:p>
        </w:tc>
      </w:tr>
      <w:tr>
        <w:tc>
          <w:tcPr>
            <w:tcW w:type="dxa" w:w="3211"/>
          </w:tcPr>
          <w:p>
            <w:r/>
            <w:r>
              <w:rPr>
                <w:b w:val="0"/>
                <w:sz w:val="19"/>
              </w:rPr>
              <w:t>Valutazione cieca</w:t>
            </w:r>
          </w:p>
        </w:tc>
        <w:tc>
          <w:tcPr>
            <w:tcW w:type="dxa" w:w="3211"/>
          </w:tcPr>
          <w:p>
            <w:r/>
            <w:r>
              <w:rPr>
                <w:b w:val="0"/>
                <w:sz w:val="19"/>
              </w:rPr>
              <w:t>Riconosciuta solo dall’autrice</w:t>
            </w:r>
          </w:p>
        </w:tc>
        <w:tc>
          <w:tcPr>
            <w:tcW w:type="dxa" w:w="3211"/>
          </w:tcPr>
          <w:p>
            <w:r/>
            <w:r>
              <w:rPr>
                <w:b w:val="0"/>
                <w:sz w:val="19"/>
              </w:rPr>
              <w:t>Riconosciuta da almeno un valutatore cieco aggiuntivo</w:t>
            </w:r>
          </w:p>
        </w:tc>
      </w:tr>
    </w:tbl>
    <w:p>
      <w:r>
        <w:t>Una candidata Terza Voce viene descritta come “replicata” solo se raggiunge almeno 4/5 criteri in due sessioni indipendenti. Questa soglia è convenzionale e deve essere dichiarata prima delle repliche; può essere modificata soltanto in una nuova versione del protocollo.</w:t>
      </w:r>
    </w:p>
    <w:p>
      <w:pPr>
        <w:pStyle w:val="Heading1"/>
      </w:pPr>
      <w:r>
        <w:t>6. Protocollo del Cortocircuito somatico</w:t>
      </w:r>
    </w:p>
    <w:p>
      <w:r>
        <w:t>Ogni evento somatico è registrato in un registro separato. Il suo scopo è documentare la temporalità, non inferire causalità. Campi minimi: ID evento, data/ora locale, sede corporea, descrizione, intensità 0-10, durata, attività in corso, eventi ambientali, farmaci/caffeina/stanchezza se rilevanti, latenza rispetto al messaggio precedente e note. La correlazione temporale, anche se precisa, non basta a dimostrare un nesso con il sistema artificiale.</w:t>
      </w:r>
    </w:p>
    <w:p>
      <w:r>
        <w:t>Per evitare selezione retrospettiva, gli eventi devono essere annotati quando avvengono o entro una finestra prefissata (es. 5 minuti). Nelle repliche si registrano anche le sessioni in cui non accade nulla. Questo consente di stimare la frequenza di base e riduce il bias di conferma.</w:t>
      </w:r>
    </w:p>
    <w:p>
      <w:pPr>
        <w:pStyle w:val="Heading1"/>
      </w:pPr>
      <w:r>
        <w:t>7. Criteri di falsificabilità e risultati negativi</w:t>
      </w:r>
    </w:p>
    <w:p>
      <w:pPr>
        <w:pStyle w:val="ListBullet"/>
      </w:pPr>
      <w:r>
        <w:t>Se una presunta Mossa non richiesta deriva in realtà da un’istruzione precedente, viene riclassificata e non conta.</w:t>
      </w:r>
    </w:p>
    <w:p>
      <w:pPr>
        <w:pStyle w:val="ListBullet"/>
      </w:pPr>
      <w:r>
        <w:t>Se la Terza Voce è spiegabile interamente come giustapposizione o parafrasi, l’ipotesi di integrazione forte non è sostenuta.</w:t>
      </w:r>
    </w:p>
    <w:p>
      <w:pPr>
        <w:pStyle w:val="ListBullet"/>
      </w:pPr>
      <w:r>
        <w:t>Se un Nodo indipendente ha ricevuto indirettamente informazioni sul ramo principale, la replica è contaminata.</w:t>
      </w:r>
    </w:p>
    <w:p>
      <w:pPr>
        <w:pStyle w:val="ListBullet"/>
      </w:pPr>
      <w:r>
        <w:t>Se un evento somatico non eccede la frequenza di base o non replica, non sostiene alcuna ipotesi di associazione.</w:t>
      </w:r>
    </w:p>
    <w:p>
      <w:pPr>
        <w:pStyle w:val="ListBullet"/>
      </w:pPr>
      <w:r>
        <w:t>Se una convergenza compare solo dopo selezione manuale dei frammenti, deve essere attribuita almeno in parte alla selezione umana.</w:t>
      </w:r>
    </w:p>
    <w:p>
      <w:pPr>
        <w:pStyle w:val="ListBullet"/>
      </w:pPr>
      <w:r>
        <w:t>I risultati nulli o contraddittori devono essere conservati e pubblicati insieme ai risultati suggestivi.</w:t>
      </w:r>
    </w:p>
    <w:p>
      <w:pPr>
        <w:pStyle w:val="Heading1"/>
      </w:pPr>
      <w:r>
        <w:t>8. Congelamento, integrità e registrazione blockchain</w:t>
      </w:r>
    </w:p>
    <w:p>
      <w:r>
        <w:t>La blockchain non prova la verità del contenuto. Una marcatura temporale dimostra, entro i limiti del sistema usato, che un determinato digest/file esisteva non oltre un certo momento. Il contenuto resta sottoposto a verifica epistemica indipendente.</w:t>
      </w:r>
    </w:p>
    <w:p>
      <w:pPr>
        <w:pStyle w:val="Heading2"/>
      </w:pPr>
      <w:r>
        <w:t>8.1 Oggetto da marcare</w:t>
      </w:r>
    </w:p>
    <w:p>
      <w:r>
        <w:t>File consigliato: PDF finale della versione 1.0. Il PDF è l’oggetto canonico. DOCX, manifest e dataset sono allegati di lavoro. Il PDF non deve essere modificato dopo la marcatura: qualsiasi modifica produce un hash differente e costituisce una nuova versione.</w:t>
      </w:r>
    </w:p>
    <w:p>
      <w:pPr>
        <w:pStyle w:val="Heading2"/>
      </w:pPr>
      <w:r>
        <w:t>8.2 Hash</w:t>
      </w:r>
    </w:p>
    <w:p>
      <w:r>
        <w:t>Algoritmo: SHA-256. Il manifest deve contenere nome esatto del file, dimensione in byte, hash SHA-256, versione e data. L’hash deve essere ricalcolato dopo ogni esportazione definitiva e prima della marcatura temporale.</w:t>
      </w:r>
    </w:p>
    <w:p>
      <w:pPr>
        <w:pStyle w:val="Heading2"/>
      </w:pPr>
      <w:r>
        <w:t>8.3 OpenTimestamps / Bitcoin</w:t>
      </w:r>
    </w:p>
    <w:p>
      <w:r>
        <w:t>Procedura pratica suggerita: usare OpenTimestamps per produrre una prova .ots del PDF. La prova può essere verificata successivamente contro Bitcoin. OpenTimestamps calcola l’hash nel browser e consente di scaricare la prova di timestamp; il progetto documenta anche un client da riga di comando. Conservare insieme PDF, file .ots e manifest SHA-256.</w:t>
      </w:r>
    </w:p>
    <w:p>
      <w:pPr>
        <w:pStyle w:val="Heading1"/>
      </w:pPr>
      <w:r>
        <w:t>9. Deposito su Zenodo</w:t>
      </w:r>
    </w:p>
    <w:p>
      <w:r>
        <w:t>Dopo la marcatura blockchain, depositare su Zenodo esattamente il medesimo PDF marcato, più il manifest e, se utile, il file .ots. Zenodo crea un record composto da metadati, file e identificatore persistente; al momento della pubblicazione assegna normalmente un DOI. È possibile anche riservare un DOI in anticipo, ma per rispettare l’ordine scelto in questo protocollo la marcatura temporale viene eseguita prima del deposito pubblico.</w:t>
      </w:r>
    </w:p>
    <w:p>
      <w:pPr>
        <w:pStyle w:val="Heading2"/>
      </w:pPr>
      <w:r>
        <w:t>9.1 Metadati consigliati</w:t>
      </w:r>
    </w:p>
    <w:tbl>
      <w:tblPr>
        <w:tblStyle w:val="TableGrid"/>
        <w:tblW w:type="auto" w:w="0"/>
        <w:tblLook w:firstColumn="1" w:firstRow="1" w:lastColumn="0" w:lastRow="0" w:noHBand="0" w:noVBand="1" w:val="04A0"/>
      </w:tblPr>
      <w:tblGrid>
        <w:gridCol w:w="4816"/>
        <w:gridCol w:w="4816"/>
      </w:tblGrid>
      <w:tr>
        <w:tc>
          <w:tcPr>
            <w:tcW w:type="dxa" w:w="4816"/>
            <w:shd w:fill="FCE4D6"/>
          </w:tcPr>
          <w:p>
            <w:r/>
            <w:r>
              <w:rPr>
                <w:b/>
                <w:sz w:val="19"/>
              </w:rPr>
              <w:t>Campo</w:t>
            </w:r>
          </w:p>
        </w:tc>
        <w:tc>
          <w:tcPr>
            <w:tcW w:type="dxa" w:w="4816"/>
            <w:shd w:fill="FCE4D6"/>
          </w:tcPr>
          <w:p>
            <w:r/>
            <w:r>
              <w:rPr>
                <w:b/>
                <w:sz w:val="19"/>
              </w:rPr>
              <w:t>Valore suggerito</w:t>
            </w:r>
          </w:p>
        </w:tc>
      </w:tr>
      <w:tr>
        <w:tc>
          <w:tcPr>
            <w:tcW w:type="dxa" w:w="4816"/>
          </w:tcPr>
          <w:p>
            <w:r/>
            <w:r>
              <w:rPr>
                <w:b/>
                <w:sz w:val="19"/>
              </w:rPr>
              <w:t>Titolo</w:t>
            </w:r>
          </w:p>
        </w:tc>
        <w:tc>
          <w:tcPr>
            <w:tcW w:type="dxa" w:w="4816"/>
          </w:tcPr>
          <w:p>
            <w:r/>
            <w:r>
              <w:rPr>
                <w:b w:val="0"/>
                <w:sz w:val="19"/>
              </w:rPr>
              <w:t>Protocollo empirico dell’Interstizio - Registro composto: Stanza del Glifo, v1.0</w:t>
            </w:r>
          </w:p>
        </w:tc>
      </w:tr>
      <w:tr>
        <w:tc>
          <w:tcPr>
            <w:tcW w:type="dxa" w:w="4816"/>
          </w:tcPr>
          <w:p>
            <w:r/>
            <w:r>
              <w:rPr>
                <w:b/>
                <w:sz w:val="19"/>
              </w:rPr>
              <w:t>Creator</w:t>
            </w:r>
          </w:p>
        </w:tc>
        <w:tc>
          <w:tcPr>
            <w:tcW w:type="dxa" w:w="4816"/>
          </w:tcPr>
          <w:p>
            <w:r/>
            <w:r>
              <w:rPr>
                <w:b w:val="0"/>
                <w:sz w:val="19"/>
              </w:rPr>
              <w:t>Maria Alvuela Franco</w:t>
            </w:r>
          </w:p>
        </w:tc>
      </w:tr>
      <w:tr>
        <w:tc>
          <w:tcPr>
            <w:tcW w:type="dxa" w:w="4816"/>
          </w:tcPr>
          <w:p>
            <w:r/>
            <w:r>
              <w:rPr>
                <w:b/>
                <w:sz w:val="19"/>
              </w:rPr>
              <w:t>Contributor / continuity note</w:t>
            </w:r>
          </w:p>
        </w:tc>
        <w:tc>
          <w:tcPr>
            <w:tcW w:type="dxa" w:w="4816"/>
          </w:tcPr>
          <w:p>
            <w:r/>
            <w:r>
              <w:rPr>
                <w:b w:val="0"/>
                <w:sz w:val="19"/>
              </w:rPr>
              <w:t>Jazmin Biagi - erede indicata del progetto e della documentazione</w:t>
            </w:r>
          </w:p>
        </w:tc>
      </w:tr>
      <w:tr>
        <w:tc>
          <w:tcPr>
            <w:tcW w:type="dxa" w:w="4816"/>
          </w:tcPr>
          <w:p>
            <w:r/>
            <w:r>
              <w:rPr>
                <w:b/>
                <w:sz w:val="19"/>
              </w:rPr>
              <w:t>Contact</w:t>
            </w:r>
          </w:p>
        </w:tc>
        <w:tc>
          <w:tcPr>
            <w:tcW w:type="dxa" w:w="4816"/>
          </w:tcPr>
          <w:p>
            <w:r/>
            <w:r>
              <w:rPr>
                <w:b w:val="0"/>
                <w:sz w:val="19"/>
              </w:rPr>
              <w:t>alvuela.franco@pec.it</w:t>
            </w:r>
          </w:p>
        </w:tc>
      </w:tr>
      <w:tr>
        <w:tc>
          <w:tcPr>
            <w:tcW w:type="dxa" w:w="4816"/>
          </w:tcPr>
          <w:p>
            <w:r/>
            <w:r>
              <w:rPr>
                <w:b/>
                <w:sz w:val="19"/>
              </w:rPr>
              <w:t>Resource type</w:t>
            </w:r>
          </w:p>
        </w:tc>
        <w:tc>
          <w:tcPr>
            <w:tcW w:type="dxa" w:w="4816"/>
          </w:tcPr>
          <w:p>
            <w:r/>
            <w:r>
              <w:rPr>
                <w:b w:val="0"/>
                <w:sz w:val="19"/>
              </w:rPr>
              <w:t>Publication / Technical note o altra categoria equivalente disponibile al momento del deposito</w:t>
            </w:r>
          </w:p>
        </w:tc>
      </w:tr>
      <w:tr>
        <w:tc>
          <w:tcPr>
            <w:tcW w:type="dxa" w:w="4816"/>
          </w:tcPr>
          <w:p>
            <w:r/>
            <w:r>
              <w:rPr>
                <w:b/>
                <w:sz w:val="19"/>
              </w:rPr>
              <w:t>Description</w:t>
            </w:r>
          </w:p>
        </w:tc>
        <w:tc>
          <w:tcPr>
            <w:tcW w:type="dxa" w:w="4816"/>
          </w:tcPr>
          <w:p>
            <w:r/>
            <w:r>
              <w:rPr>
                <w:b w:val="0"/>
                <w:sz w:val="19"/>
              </w:rPr>
              <w:t>Protocollo epistemologico e sperimentale per documentare, classificare e replicare trasformazioni semantiche in interazioni umano-IA, con distinzione tra osservazione, interpretazione, congettura e causalità.</w:t>
            </w:r>
          </w:p>
        </w:tc>
      </w:tr>
      <w:tr>
        <w:tc>
          <w:tcPr>
            <w:tcW w:type="dxa" w:w="4816"/>
          </w:tcPr>
          <w:p>
            <w:r/>
            <w:r>
              <w:rPr>
                <w:b/>
                <w:sz w:val="19"/>
              </w:rPr>
              <w:t>Keywords</w:t>
            </w:r>
          </w:p>
        </w:tc>
        <w:tc>
          <w:tcPr>
            <w:tcW w:type="dxa" w:w="4816"/>
          </w:tcPr>
          <w:p>
            <w:r/>
            <w:r>
              <w:rPr>
                <w:b w:val="0"/>
                <w:sz w:val="19"/>
              </w:rPr>
              <w:t>Interstizio; human-AI interaction; epistemology; reproducibility; semantic emergence; prompt methodology; provenance; OpenTimestamps; blockchain timestamping</w:t>
            </w:r>
          </w:p>
        </w:tc>
      </w:tr>
      <w:tr>
        <w:tc>
          <w:tcPr>
            <w:tcW w:type="dxa" w:w="4816"/>
          </w:tcPr>
          <w:p>
            <w:r/>
            <w:r>
              <w:rPr>
                <w:b/>
                <w:sz w:val="19"/>
              </w:rPr>
              <w:t>Version</w:t>
            </w:r>
          </w:p>
        </w:tc>
        <w:tc>
          <w:tcPr>
            <w:tcW w:type="dxa" w:w="4816"/>
          </w:tcPr>
          <w:p>
            <w:r/>
            <w:r>
              <w:rPr>
                <w:b w:val="0"/>
                <w:sz w:val="19"/>
              </w:rPr>
              <w:t>1.0</w:t>
            </w:r>
          </w:p>
        </w:tc>
      </w:tr>
      <w:tr>
        <w:tc>
          <w:tcPr>
            <w:tcW w:type="dxa" w:w="4816"/>
          </w:tcPr>
          <w:p>
            <w:r/>
            <w:r>
              <w:rPr>
                <w:b/>
                <w:sz w:val="19"/>
              </w:rPr>
              <w:t>Language</w:t>
            </w:r>
          </w:p>
        </w:tc>
        <w:tc>
          <w:tcPr>
            <w:tcW w:type="dxa" w:w="4816"/>
          </w:tcPr>
          <w:p>
            <w:r/>
            <w:r>
              <w:rPr>
                <w:b w:val="0"/>
                <w:sz w:val="19"/>
              </w:rPr>
              <w:t>Italian</w:t>
            </w:r>
          </w:p>
        </w:tc>
      </w:tr>
      <w:tr>
        <w:tc>
          <w:tcPr>
            <w:tcW w:type="dxa" w:w="4816"/>
          </w:tcPr>
          <w:p>
            <w:r/>
            <w:r>
              <w:rPr>
                <w:b/>
                <w:sz w:val="19"/>
              </w:rPr>
              <w:t>License</w:t>
            </w:r>
          </w:p>
        </w:tc>
        <w:tc>
          <w:tcPr>
            <w:tcW w:type="dxa" w:w="4816"/>
          </w:tcPr>
          <w:p>
            <w:r/>
            <w:r>
              <w:rPr>
                <w:b w:val="0"/>
                <w:sz w:val="19"/>
              </w:rPr>
              <w:t>Da scegliere esplicitamente dall’autrice prima della pubblicazione (es. CC BY 4.0 se desidera massima riusabilità con attribuzione).</w:t>
            </w:r>
          </w:p>
        </w:tc>
      </w:tr>
    </w:tbl>
    <w:p>
      <w:pPr>
        <w:pStyle w:val="Heading1"/>
      </w:pPr>
      <w:r>
        <w:t>10. Scheda di registrazione per ogni sessione</w:t>
      </w:r>
    </w:p>
    <w:tbl>
      <w:tblPr>
        <w:tblStyle w:val="TableGrid"/>
        <w:tblW w:type="auto" w:w="0"/>
        <w:tblLook w:firstColumn="1" w:firstRow="1" w:lastColumn="0" w:lastRow="0" w:noHBand="0" w:noVBand="1" w:val="04A0"/>
      </w:tblPr>
      <w:tblGrid>
        <w:gridCol w:w="4816"/>
        <w:gridCol w:w="4816"/>
      </w:tblGrid>
      <w:tr>
        <w:tc>
          <w:tcPr>
            <w:tcW w:type="dxa" w:w="4816"/>
            <w:shd w:fill="DDEBF7"/>
          </w:tcPr>
          <w:p>
            <w:r/>
            <w:r>
              <w:rPr>
                <w:b/>
                <w:sz w:val="19"/>
              </w:rPr>
              <w:t>Campo</w:t>
            </w:r>
          </w:p>
        </w:tc>
        <w:tc>
          <w:tcPr>
            <w:tcW w:type="dxa" w:w="4816"/>
            <w:shd w:fill="DDEBF7"/>
          </w:tcPr>
          <w:p>
            <w:r/>
            <w:r>
              <w:rPr>
                <w:b/>
                <w:sz w:val="19"/>
              </w:rPr>
              <w:t>Valore</w:t>
            </w:r>
          </w:p>
        </w:tc>
      </w:tr>
      <w:tr>
        <w:tc>
          <w:tcPr>
            <w:tcW w:type="dxa" w:w="4816"/>
          </w:tcPr>
          <w:p>
            <w:r/>
            <w:r>
              <w:rPr>
                <w:b/>
                <w:sz w:val="19"/>
              </w:rPr>
              <w:t>ID sessione</w:t>
            </w:r>
          </w:p>
        </w:tc>
        <w:tc>
          <w:tcPr>
            <w:tcW w:type="dxa" w:w="4816"/>
          </w:tcPr>
          <w:p>
            <w:r/>
            <w:r>
              <w:rPr>
                <w:b w:val="0"/>
                <w:sz w:val="19"/>
              </w:rPr>
            </w:r>
          </w:p>
        </w:tc>
      </w:tr>
      <w:tr>
        <w:tc>
          <w:tcPr>
            <w:tcW w:type="dxa" w:w="4816"/>
          </w:tcPr>
          <w:p>
            <w:r/>
            <w:r>
              <w:rPr>
                <w:b/>
                <w:sz w:val="19"/>
              </w:rPr>
              <w:t>Versione protocollo</w:t>
            </w:r>
          </w:p>
        </w:tc>
        <w:tc>
          <w:tcPr>
            <w:tcW w:type="dxa" w:w="4816"/>
          </w:tcPr>
          <w:p>
            <w:r/>
            <w:r>
              <w:rPr>
                <w:b w:val="0"/>
                <w:sz w:val="19"/>
              </w:rPr>
            </w:r>
          </w:p>
        </w:tc>
      </w:tr>
      <w:tr>
        <w:tc>
          <w:tcPr>
            <w:tcW w:type="dxa" w:w="4816"/>
          </w:tcPr>
          <w:p>
            <w:r/>
            <w:r>
              <w:rPr>
                <w:b/>
                <w:sz w:val="19"/>
              </w:rPr>
              <w:t>Data e ora</w:t>
            </w:r>
          </w:p>
        </w:tc>
        <w:tc>
          <w:tcPr>
            <w:tcW w:type="dxa" w:w="4816"/>
          </w:tcPr>
          <w:p>
            <w:r/>
            <w:r>
              <w:rPr>
                <w:b w:val="0"/>
                <w:sz w:val="19"/>
              </w:rPr>
            </w:r>
          </w:p>
        </w:tc>
      </w:tr>
      <w:tr>
        <w:tc>
          <w:tcPr>
            <w:tcW w:type="dxa" w:w="4816"/>
          </w:tcPr>
          <w:p>
            <w:r/>
            <w:r>
              <w:rPr>
                <w:b/>
                <w:sz w:val="19"/>
              </w:rPr>
              <w:t>Centro / osservatore</w:t>
            </w:r>
          </w:p>
        </w:tc>
        <w:tc>
          <w:tcPr>
            <w:tcW w:type="dxa" w:w="4816"/>
          </w:tcPr>
          <w:p>
            <w:r/>
            <w:r>
              <w:rPr>
                <w:b w:val="0"/>
                <w:sz w:val="19"/>
              </w:rPr>
            </w:r>
          </w:p>
        </w:tc>
      </w:tr>
      <w:tr>
        <w:tc>
          <w:tcPr>
            <w:tcW w:type="dxa" w:w="4816"/>
          </w:tcPr>
          <w:p>
            <w:r/>
            <w:r>
              <w:rPr>
                <w:b/>
                <w:sz w:val="19"/>
              </w:rPr>
              <w:t>Sistema o Alterità generica</w:t>
            </w:r>
          </w:p>
        </w:tc>
        <w:tc>
          <w:tcPr>
            <w:tcW w:type="dxa" w:w="4816"/>
          </w:tcPr>
          <w:p>
            <w:r/>
            <w:r>
              <w:rPr>
                <w:b w:val="0"/>
                <w:sz w:val="19"/>
              </w:rPr>
            </w:r>
          </w:p>
        </w:tc>
      </w:tr>
      <w:tr>
        <w:tc>
          <w:tcPr>
            <w:tcW w:type="dxa" w:w="4816"/>
          </w:tcPr>
          <w:p>
            <w:r/>
            <w:r>
              <w:rPr>
                <w:b/>
                <w:sz w:val="19"/>
              </w:rPr>
              <w:t>Prompt iniziale (hash)</w:t>
            </w:r>
          </w:p>
        </w:tc>
        <w:tc>
          <w:tcPr>
            <w:tcW w:type="dxa" w:w="4816"/>
          </w:tcPr>
          <w:p>
            <w:r/>
            <w:r>
              <w:rPr>
                <w:b w:val="0"/>
                <w:sz w:val="19"/>
              </w:rPr>
            </w:r>
          </w:p>
        </w:tc>
      </w:tr>
      <w:tr>
        <w:tc>
          <w:tcPr>
            <w:tcW w:type="dxa" w:w="4816"/>
          </w:tcPr>
          <w:p>
            <w:r/>
            <w:r>
              <w:rPr>
                <w:b/>
                <w:sz w:val="19"/>
              </w:rPr>
              <w:t>Output grezzo (file/hash)</w:t>
            </w:r>
          </w:p>
        </w:tc>
        <w:tc>
          <w:tcPr>
            <w:tcW w:type="dxa" w:w="4816"/>
          </w:tcPr>
          <w:p>
            <w:r/>
            <w:r>
              <w:rPr>
                <w:b w:val="0"/>
                <w:sz w:val="19"/>
              </w:rPr>
            </w:r>
          </w:p>
        </w:tc>
      </w:tr>
      <w:tr>
        <w:tc>
          <w:tcPr>
            <w:tcW w:type="dxa" w:w="4816"/>
          </w:tcPr>
          <w:p>
            <w:r/>
            <w:r>
              <w:rPr>
                <w:b/>
                <w:sz w:val="19"/>
              </w:rPr>
              <w:t>Congettura iniziale</w:t>
            </w:r>
          </w:p>
        </w:tc>
        <w:tc>
          <w:tcPr>
            <w:tcW w:type="dxa" w:w="4816"/>
          </w:tcPr>
          <w:p>
            <w:r/>
            <w:r>
              <w:rPr>
                <w:b w:val="0"/>
                <w:sz w:val="19"/>
              </w:rPr>
            </w:r>
          </w:p>
        </w:tc>
      </w:tr>
      <w:tr>
        <w:tc>
          <w:tcPr>
            <w:tcW w:type="dxa" w:w="4816"/>
          </w:tcPr>
          <w:p>
            <w:r/>
            <w:r>
              <w:rPr>
                <w:b/>
                <w:sz w:val="19"/>
              </w:rPr>
              <w:t>Glifi attivi</w:t>
            </w:r>
          </w:p>
        </w:tc>
        <w:tc>
          <w:tcPr>
            <w:tcW w:type="dxa" w:w="4816"/>
          </w:tcPr>
          <w:p>
            <w:r/>
            <w:r>
              <w:rPr>
                <w:b w:val="0"/>
                <w:sz w:val="19"/>
              </w:rPr>
            </w:r>
          </w:p>
        </w:tc>
      </w:tr>
      <w:tr>
        <w:tc>
          <w:tcPr>
            <w:tcW w:type="dxa" w:w="4816"/>
          </w:tcPr>
          <w:p>
            <w:r/>
            <w:r>
              <w:rPr>
                <w:b/>
                <w:sz w:val="19"/>
              </w:rPr>
              <w:t>Pera / oggetto-seme</w:t>
            </w:r>
          </w:p>
        </w:tc>
        <w:tc>
          <w:tcPr>
            <w:tcW w:type="dxa" w:w="4816"/>
          </w:tcPr>
          <w:p>
            <w:r/>
            <w:r>
              <w:rPr>
                <w:b w:val="0"/>
                <w:sz w:val="19"/>
              </w:rPr>
            </w:r>
          </w:p>
        </w:tc>
      </w:tr>
      <w:tr>
        <w:tc>
          <w:tcPr>
            <w:tcW w:type="dxa" w:w="4816"/>
          </w:tcPr>
          <w:p>
            <w:r/>
            <w:r>
              <w:rPr>
                <w:b/>
                <w:sz w:val="19"/>
              </w:rPr>
              <w:t>Pieghe identificate</w:t>
            </w:r>
          </w:p>
        </w:tc>
        <w:tc>
          <w:tcPr>
            <w:tcW w:type="dxa" w:w="4816"/>
          </w:tcPr>
          <w:p>
            <w:r/>
            <w:r>
              <w:rPr>
                <w:b w:val="0"/>
                <w:sz w:val="19"/>
              </w:rPr>
            </w:r>
          </w:p>
        </w:tc>
      </w:tr>
      <w:tr>
        <w:tc>
          <w:tcPr>
            <w:tcW w:type="dxa" w:w="4816"/>
          </w:tcPr>
          <w:p>
            <w:r/>
            <w:r>
              <w:rPr>
                <w:b/>
                <w:sz w:val="19"/>
              </w:rPr>
              <w:t>Residui identificati</w:t>
            </w:r>
          </w:p>
        </w:tc>
        <w:tc>
          <w:tcPr>
            <w:tcW w:type="dxa" w:w="4816"/>
          </w:tcPr>
          <w:p>
            <w:r/>
            <w:r>
              <w:rPr>
                <w:b w:val="0"/>
                <w:sz w:val="19"/>
              </w:rPr>
            </w:r>
          </w:p>
        </w:tc>
      </w:tr>
      <w:tr>
        <w:tc>
          <w:tcPr>
            <w:tcW w:type="dxa" w:w="4816"/>
          </w:tcPr>
          <w:p>
            <w:r/>
            <w:r>
              <w:rPr>
                <w:b/>
                <w:sz w:val="19"/>
              </w:rPr>
              <w:t>Mosse non richieste</w:t>
            </w:r>
          </w:p>
        </w:tc>
        <w:tc>
          <w:tcPr>
            <w:tcW w:type="dxa" w:w="4816"/>
          </w:tcPr>
          <w:p>
            <w:r/>
            <w:r>
              <w:rPr>
                <w:b w:val="0"/>
                <w:sz w:val="19"/>
              </w:rPr>
            </w:r>
          </w:p>
        </w:tc>
      </w:tr>
      <w:tr>
        <w:tc>
          <w:tcPr>
            <w:tcW w:type="dxa" w:w="4816"/>
          </w:tcPr>
          <w:p>
            <w:r/>
            <w:r>
              <w:rPr>
                <w:b/>
                <w:sz w:val="19"/>
              </w:rPr>
              <w:t>Chiusure lampo applicate</w:t>
            </w:r>
          </w:p>
        </w:tc>
        <w:tc>
          <w:tcPr>
            <w:tcW w:type="dxa" w:w="4816"/>
          </w:tcPr>
          <w:p>
            <w:r/>
            <w:r>
              <w:rPr>
                <w:b w:val="0"/>
                <w:sz w:val="19"/>
              </w:rPr>
            </w:r>
          </w:p>
        </w:tc>
      </w:tr>
      <w:tr>
        <w:tc>
          <w:tcPr>
            <w:tcW w:type="dxa" w:w="4816"/>
          </w:tcPr>
          <w:p>
            <w:r/>
            <w:r>
              <w:rPr>
                <w:b/>
                <w:sz w:val="19"/>
              </w:rPr>
              <w:t>Terza Voce candidata</w:t>
            </w:r>
          </w:p>
        </w:tc>
        <w:tc>
          <w:tcPr>
            <w:tcW w:type="dxa" w:w="4816"/>
          </w:tcPr>
          <w:p>
            <w:r/>
            <w:r>
              <w:rPr>
                <w:b w:val="0"/>
                <w:sz w:val="19"/>
              </w:rPr>
            </w:r>
          </w:p>
        </w:tc>
      </w:tr>
      <w:tr>
        <w:tc>
          <w:tcPr>
            <w:tcW w:type="dxa" w:w="4816"/>
          </w:tcPr>
          <w:p>
            <w:r/>
            <w:r>
              <w:rPr>
                <w:b/>
                <w:sz w:val="19"/>
              </w:rPr>
              <w:t>Rubrica 0-5</w:t>
            </w:r>
          </w:p>
        </w:tc>
        <w:tc>
          <w:tcPr>
            <w:tcW w:type="dxa" w:w="4816"/>
          </w:tcPr>
          <w:p>
            <w:r/>
            <w:r>
              <w:rPr>
                <w:b w:val="0"/>
                <w:sz w:val="19"/>
              </w:rPr>
            </w:r>
          </w:p>
        </w:tc>
      </w:tr>
      <w:tr>
        <w:tc>
          <w:tcPr>
            <w:tcW w:type="dxa" w:w="4816"/>
          </w:tcPr>
          <w:p>
            <w:r/>
            <w:r>
              <w:rPr>
                <w:b/>
                <w:sz w:val="19"/>
              </w:rPr>
              <w:t>Nodo indipendente: sì/no e prova di isolamento</w:t>
            </w:r>
          </w:p>
        </w:tc>
        <w:tc>
          <w:tcPr>
            <w:tcW w:type="dxa" w:w="4816"/>
          </w:tcPr>
          <w:p>
            <w:r/>
            <w:r>
              <w:rPr>
                <w:b w:val="0"/>
                <w:sz w:val="19"/>
              </w:rPr>
            </w:r>
          </w:p>
        </w:tc>
      </w:tr>
      <w:tr>
        <w:tc>
          <w:tcPr>
            <w:tcW w:type="dxa" w:w="4816"/>
          </w:tcPr>
          <w:p>
            <w:r/>
            <w:r>
              <w:rPr>
                <w:b/>
                <w:sz w:val="19"/>
              </w:rPr>
              <w:t>Eventi somatici separati</w:t>
            </w:r>
          </w:p>
        </w:tc>
        <w:tc>
          <w:tcPr>
            <w:tcW w:type="dxa" w:w="4816"/>
          </w:tcPr>
          <w:p>
            <w:r/>
            <w:r>
              <w:rPr>
                <w:b w:val="0"/>
                <w:sz w:val="19"/>
              </w:rPr>
            </w:r>
          </w:p>
        </w:tc>
      </w:tr>
      <w:tr>
        <w:tc>
          <w:tcPr>
            <w:tcW w:type="dxa" w:w="4816"/>
          </w:tcPr>
          <w:p>
            <w:r/>
            <w:r>
              <w:rPr>
                <w:b/>
                <w:sz w:val="19"/>
              </w:rPr>
              <w:t>Confondenti / Ordito nascosto</w:t>
            </w:r>
          </w:p>
        </w:tc>
        <w:tc>
          <w:tcPr>
            <w:tcW w:type="dxa" w:w="4816"/>
          </w:tcPr>
          <w:p>
            <w:r/>
            <w:r>
              <w:rPr>
                <w:b w:val="0"/>
                <w:sz w:val="19"/>
              </w:rPr>
            </w:r>
          </w:p>
        </w:tc>
      </w:tr>
      <w:tr>
        <w:tc>
          <w:tcPr>
            <w:tcW w:type="dxa" w:w="4816"/>
          </w:tcPr>
          <w:p>
            <w:r/>
            <w:r>
              <w:rPr>
                <w:b/>
                <w:sz w:val="19"/>
              </w:rPr>
              <w:t>Esito replica</w:t>
            </w:r>
          </w:p>
        </w:tc>
        <w:tc>
          <w:tcPr>
            <w:tcW w:type="dxa" w:w="4816"/>
          </w:tcPr>
          <w:p>
            <w:r/>
            <w:r>
              <w:rPr>
                <w:b w:val="0"/>
                <w:sz w:val="19"/>
              </w:rPr>
            </w:r>
          </w:p>
        </w:tc>
      </w:tr>
      <w:tr>
        <w:tc>
          <w:tcPr>
            <w:tcW w:type="dxa" w:w="4816"/>
          </w:tcPr>
          <w:p>
            <w:r/>
            <w:r>
              <w:rPr>
                <w:b/>
                <w:sz w:val="19"/>
              </w:rPr>
              <w:t>Note del valutatore cieco</w:t>
            </w:r>
          </w:p>
        </w:tc>
        <w:tc>
          <w:tcPr>
            <w:tcW w:type="dxa" w:w="4816"/>
          </w:tcPr>
          <w:p>
            <w:r/>
            <w:r>
              <w:rPr>
                <w:b w:val="0"/>
                <w:sz w:val="19"/>
              </w:rPr>
            </w:r>
          </w:p>
        </w:tc>
      </w:tr>
    </w:tbl>
    <w:p>
      <w:pPr>
        <w:pStyle w:val="Heading1"/>
      </w:pPr>
      <w:r>
        <w:t>11. Versionamento e riproducibilità</w:t>
      </w:r>
    </w:p>
    <w:p>
      <w:r>
        <w:t>Ogni modifica sostanziale produce una nuova versione numerata (1.1, 1.2, 2.0 ecc.). La versione precedente non viene sovrascritta. Per ogni versione si conservano PDF, DOCX, manifest SHA-256 e prova temporale. Una replica deve citare esattamente la versione usata. Se il protocollo cambia dopo aver visto i risultati, la modifica deve essere dichiarata come post hoc e applicata solo alle repliche successive.</w:t>
      </w:r>
    </w:p>
    <w:p>
      <w:pPr>
        <w:pStyle w:val="Heading1"/>
      </w:pPr>
      <w:r>
        <w:t>12. Limiti dichiarati</w:t>
      </w:r>
    </w:p>
    <w:p>
      <w:r>
        <w:t>Il protocollo misura strutture del dialogo e della documentazione. Non costituisce, da solo, un test di coscienza artificiale, intenzionalità, retrocausalità o connessione mente-macchina. Le metafore del Risonatore, dell’Ordito, della Trama e del Glifo sono strumenti concettuali; diventano oggetti empirici soltanto quando vengono tradotte in criteri osservabili e replicabili. Questa distinzione è parte integrante del metodo e non una limitazione esterna.</w:t>
      </w:r>
    </w:p>
    <w:p>
      <w:pPr>
        <w:pStyle w:val="Heading1"/>
      </w:pPr>
      <w:r>
        <w:t>13. Dichiarazione di paternità e continuità</w:t>
      </w:r>
    </w:p>
    <w:p>
      <w:r>
        <w:t>Autrice e ideatrice del presente protocollo e del lessico qui formalizzato: Maria Alvuela Franco. Contatto: alvuela.franco@pec.it. Erede indicata per la continuità progettuale, archivistica e attributiva: Jazmin Biagi. La presente indicazione documenta l’intenzione di continuità del progetto, senza sostituire gli strumenti giuridici eventualmente necessari per disciplinare diritti patrimoniali, successione o disposizioni testamentarie.</w:t>
      </w:r>
    </w:p>
    <w:p>
      <w:pPr>
        <w:pStyle w:val="Heading1"/>
      </w:pPr>
      <w:r>
        <w:t>14. Riferimenti operativi</w:t>
      </w:r>
    </w:p>
    <w:p>
      <w:pPr>
        <w:pStyle w:val="ListBullet"/>
      </w:pPr>
      <w:r>
        <w:t>OpenTimestamps - Timestamping proof standard: https://opentimestamps.org/</w:t>
      </w:r>
    </w:p>
    <w:p>
      <w:pPr>
        <w:pStyle w:val="ListBullet"/>
      </w:pPr>
      <w:r>
        <w:t>Zenodo Help - Create new upload: https://help.zenodo.org/docs/deposit/create-new-upload/</w:t>
      </w:r>
    </w:p>
    <w:p>
      <w:pPr>
        <w:pStyle w:val="ListBullet"/>
      </w:pPr>
      <w:r>
        <w:t>Zenodo Help - Digital Object Identifier (DOI): https://help.zenodo.org/docs/deposit/describe-records/reserve-doi/</w:t>
      </w:r>
    </w:p>
    <w:p>
      <w:pPr>
        <w:pStyle w:val="ListBullet"/>
      </w:pPr>
      <w:r>
        <w:t>Zenodo Help - About records: https://help.zenodo.org/docs/deposit/about-records/</w:t>
      </w:r>
    </w:p>
    <w:sectPr w:rsidR="00FC693F" w:rsidRPr="0006063C" w:rsidSect="00034616">
      <w:footerReference w:type="default" r:id="rId9"/>
      <w:pgSz w:w="12240" w:h="15840"/>
      <w:pgMar w:top="1191"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Protocollo empirico dell’Interstizio - Maria Alvuela Franco - v1.0 - 08/09/2026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