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52E3E">
      <w:r>
        <w:rPr>
          <w:rtl w:val="0"/>
        </w:rPr>
        <w:t xml:space="preserve">Hasil Analisa CR </w:t>
      </w:r>
      <w:r>
        <w:rPr>
          <w:rFonts w:hint="default"/>
          <w:rtl w:val="0"/>
          <w:lang w:val="en-US"/>
        </w:rPr>
        <w:t xml:space="preserve">NITKU </w:t>
      </w:r>
    </w:p>
    <w:p w14:paraId="5825D43D">
      <w:r>
        <w:rPr>
          <w:rtl w:val="0"/>
        </w:rPr>
        <w:t>Requirement :</w:t>
      </w:r>
    </w:p>
    <w:p w14:paraId="5D2964A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Penambahan kolom NITKU dan NPWP Pusat</w:t>
      </w:r>
    </w:p>
    <w:p w14:paraId="114FC64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default"/>
          <w:lang w:val="en-US"/>
        </w:rPr>
        <w:t>Ketika proses transaksi yang melibatkan PPN dan PPH, maka NITKU dan NPWP Pusat ini juga terbawa ke SAP</w:t>
      </w:r>
    </w:p>
    <w:p w14:paraId="4E0502F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</w:pPr>
    </w:p>
    <w:p w14:paraId="38E05FF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highlight w:val="yellow"/>
        </w:rPr>
      </w:pPr>
      <w:r>
        <w:rPr>
          <w:highlight w:val="yellow"/>
          <w:shd w:val="clear"/>
          <w:rtl w:val="0"/>
        </w:rPr>
        <w:t>Tujuan dilakukan penambahan sistem ini adalah:</w:t>
      </w:r>
    </w:p>
    <w:p w14:paraId="3C037A5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Perubahan peraturan dari pemerintah yang mengharuskan vendor cabang memiliki NITKU. Sehingga ketika user melakukan transaksi dengan vendor cabang, dalam pelaporan pajaknya harus dimunculkan juga NITKU serta NPWP pusatnya. </w:t>
      </w:r>
    </w:p>
    <w:p w14:paraId="57EAD502">
      <w:pPr>
        <w:rPr>
          <w:rFonts w:hint="default"/>
          <w:lang w:val="en-US"/>
        </w:rPr>
      </w:pPr>
      <w:r>
        <w:rPr>
          <w:rFonts w:hint="default"/>
          <w:lang w:val="en-US"/>
        </w:rPr>
        <w:t>Detail Perubahan FOU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99"/>
        <w:gridCol w:w="5713"/>
      </w:tblGrid>
      <w:tr w14:paraId="020C0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 w14:paraId="349FC58E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No.</w:t>
            </w:r>
          </w:p>
        </w:tc>
        <w:tc>
          <w:tcPr>
            <w:tcW w:w="2999" w:type="dxa"/>
          </w:tcPr>
          <w:p w14:paraId="19AC2562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Menu</w:t>
            </w:r>
          </w:p>
        </w:tc>
        <w:tc>
          <w:tcPr>
            <w:tcW w:w="5713" w:type="dxa"/>
          </w:tcPr>
          <w:p w14:paraId="3C6D988E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Detail Perubahan</w:t>
            </w:r>
          </w:p>
        </w:tc>
      </w:tr>
      <w:tr w14:paraId="5D387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 w14:paraId="24B8222D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2999" w:type="dxa"/>
          </w:tcPr>
          <w:p w14:paraId="76167649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IFINPROC -&gt;Supplier Selection</w:t>
            </w:r>
          </w:p>
        </w:tc>
        <w:tc>
          <w:tcPr>
            <w:tcW w:w="5713" w:type="dxa"/>
          </w:tcPr>
          <w:p w14:paraId="4D9E328E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Penambahan informasi NITKU untuk dapat diterima informasi tersebut pada table ifin http://172.31.224.17:8888/v1/VendorX/GetListVendorForLookup</w:t>
            </w:r>
          </w:p>
        </w:tc>
      </w:tr>
      <w:tr w14:paraId="19D2E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 w14:paraId="771F0172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2999" w:type="dxa"/>
          </w:tcPr>
          <w:p w14:paraId="3E72BCBB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IFINPROC -&gt; Quotation </w:t>
            </w:r>
          </w:p>
        </w:tc>
        <w:tc>
          <w:tcPr>
            <w:tcW w:w="5713" w:type="dxa"/>
          </w:tcPr>
          <w:p w14:paraId="5355C11E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Penambahan informasi NITKU untuk dapat diterima informasi tersebut pada table ifin http://172.31.224.17:8888/v1/VendorX/GetListVendorForLookup</w:t>
            </w:r>
          </w:p>
        </w:tc>
      </w:tr>
      <w:tr w14:paraId="54E27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 w14:paraId="17CCE3E6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2999" w:type="dxa"/>
          </w:tcPr>
          <w:p w14:paraId="3D841C3D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IFINOPL -&gt; Client Matching</w:t>
            </w:r>
          </w:p>
        </w:tc>
        <w:tc>
          <w:tcPr>
            <w:tcW w:w="5713" w:type="dxa"/>
          </w:tcPr>
          <w:p w14:paraId="1DD66C61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Penambahan informasi NITKU untuk dapat diterima informasi tersebut pada table ifin </w:t>
            </w:r>
          </w:p>
          <w:p w14:paraId="3AF53F2F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http://172.31.224.17:8888/v1/CustX/GetCustDetailByCustNo</w:t>
            </w:r>
          </w:p>
        </w:tc>
      </w:tr>
    </w:tbl>
    <w:p w14:paraId="304C282E">
      <w:pPr>
        <w:rPr>
          <w:rFonts w:hint="default"/>
          <w:lang w:val="en-US"/>
        </w:rPr>
      </w:pPr>
    </w:p>
    <w:p w14:paraId="17C91190">
      <w:pPr>
        <w:jc w:val="both"/>
        <w:rPr>
          <w:rFonts w:hint="default"/>
          <w:lang w:val="en-US"/>
        </w:rPr>
      </w:pPr>
      <w:r>
        <w:rPr>
          <w:rtl w:val="0"/>
        </w:rPr>
        <w:t>Detail Perubahan</w:t>
      </w:r>
      <w:r>
        <w:rPr>
          <w:rFonts w:hint="default"/>
          <w:rtl w:val="0"/>
          <w:lang w:val="en-US"/>
        </w:rPr>
        <w:t xml:space="preserve"> IFIN</w:t>
      </w:r>
    </w:p>
    <w:p w14:paraId="05562D5E">
      <w:pPr>
        <w:jc w:val="both"/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62"/>
        <w:gridCol w:w="2977"/>
        <w:gridCol w:w="5477"/>
      </w:tblGrid>
      <w:tr w14:paraId="56F27B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629B55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No.</w:t>
            </w:r>
          </w:p>
        </w:tc>
        <w:tc>
          <w:p w14:paraId="2E14B5C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Menu</w:t>
            </w:r>
          </w:p>
        </w:tc>
        <w:tc>
          <w:p w14:paraId="18ECC7E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Detail Perubahan</w:t>
            </w:r>
          </w:p>
        </w:tc>
      </w:tr>
      <w:tr w14:paraId="556C84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12B30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</w:t>
            </w:r>
          </w:p>
        </w:tc>
        <w:tc>
          <w:p w14:paraId="08FC99C0"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 xml:space="preserve">IFINBAM - &gt; vendor </w:t>
            </w:r>
          </w:p>
        </w:tc>
        <w:tc>
          <w:p w14:paraId="1000108F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321" w:hanging="321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rtl w:val="0"/>
              </w:rPr>
              <w:t xml:space="preserve">Penambahan </w:t>
            </w:r>
            <w:r>
              <w:rPr>
                <w:rFonts w:hint="default" w:cs="Calibri"/>
                <w:color w:val="000000"/>
                <w:sz w:val="18"/>
                <w:szCs w:val="18"/>
                <w:rtl w:val="0"/>
                <w:lang w:val="en-US"/>
              </w:rPr>
              <w:t>kolom  pada table master vendor</w:t>
            </w:r>
          </w:p>
          <w:p w14:paraId="66E84CB2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681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K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olom NITKU</w:t>
            </w:r>
          </w:p>
          <w:p w14:paraId="6EBFCDDD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81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Kolom NPWP Pusat </w:t>
            </w:r>
          </w:p>
        </w:tc>
      </w:tr>
      <w:tr w14:paraId="7B2BF9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443CA00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</w:t>
            </w:r>
          </w:p>
        </w:tc>
        <w:tc>
          <w:p w14:paraId="26DA22BE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 xml:space="preserve">IFINAMS -&gt; Master Public service </w:t>
            </w:r>
          </w:p>
        </w:tc>
        <w:tc>
          <w:p w14:paraId="1A0654C6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321" w:hanging="321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rtl w:val="0"/>
              </w:rPr>
              <w:t xml:space="preserve">Penambahan </w:t>
            </w:r>
            <w:r>
              <w:rPr>
                <w:rFonts w:hint="default" w:cs="Calibri"/>
                <w:color w:val="000000"/>
                <w:sz w:val="18"/>
                <w:szCs w:val="18"/>
                <w:rtl w:val="0"/>
                <w:lang w:val="en-US"/>
              </w:rPr>
              <w:t>kolom  pada table master public service</w:t>
            </w:r>
          </w:p>
          <w:p w14:paraId="51DE4055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681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K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olom NITKU</w:t>
            </w:r>
          </w:p>
          <w:p w14:paraId="14E19436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81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Kolom NPWP Pusat </w:t>
            </w:r>
          </w:p>
        </w:tc>
      </w:tr>
      <w:tr w14:paraId="1ED0B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56A982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</w:t>
            </w:r>
          </w:p>
        </w:tc>
        <w:tc>
          <w:tcPr>
            <w:tcW w:w="2977" w:type="dxa"/>
            <w:vAlign w:val="top"/>
          </w:tcPr>
          <w:p w14:paraId="4F9612DE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IFINAMS -&gt; Master auction</w:t>
            </w:r>
          </w:p>
        </w:tc>
        <w:tc>
          <w:tcPr>
            <w:tcW w:w="5477" w:type="dxa"/>
            <w:vAlign w:val="top"/>
          </w:tcPr>
          <w:p w14:paraId="1D240EDD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321" w:hanging="321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rtl w:val="0"/>
              </w:rPr>
              <w:t xml:space="preserve">Penambahan </w:t>
            </w:r>
            <w:r>
              <w:rPr>
                <w:rFonts w:hint="default" w:cs="Calibri"/>
                <w:color w:val="000000"/>
                <w:sz w:val="18"/>
                <w:szCs w:val="18"/>
                <w:rtl w:val="0"/>
                <w:lang w:val="en-US"/>
              </w:rPr>
              <w:t>kolom  pada table master auction</w:t>
            </w:r>
          </w:p>
          <w:p w14:paraId="2D3905CF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681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K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olom NITKU</w:t>
            </w:r>
          </w:p>
          <w:p w14:paraId="23400B6D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81" w:leftChars="0" w:right="0" w:rightChars="0" w:hanging="360" w:firstLine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Kolom NPWP Pusat </w:t>
            </w:r>
          </w:p>
        </w:tc>
      </w:tr>
      <w:tr w14:paraId="246D1E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vAlign w:val="top"/>
          </w:tcPr>
          <w:p w14:paraId="40212108">
            <w:pPr>
              <w:jc w:val="both"/>
              <w:rPr>
                <w:rFonts w:ascii="Calibri" w:hAnsi="Calibri" w:eastAsia="Calibri" w:cs="Calibri"/>
                <w:sz w:val="18"/>
                <w:szCs w:val="18"/>
                <w:rtl w:val="0"/>
                <w:lang w:val="zh-CN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w="2977" w:type="dxa"/>
            <w:shd w:val="clear" w:color="auto" w:fill="auto"/>
            <w:vAlign w:val="top"/>
          </w:tcPr>
          <w:p w14:paraId="12641ED0">
            <w:pPr>
              <w:rPr>
                <w:rFonts w:hint="default" w:ascii="Calibri" w:hAnsi="Calibri" w:eastAsia="Calibri" w:cs="Calibri"/>
                <w:sz w:val="18"/>
                <w:szCs w:val="18"/>
                <w:rtl w:val="0"/>
                <w:lang w:val="en-US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IFINAMS -&gt; Master Insurance</w:t>
            </w:r>
          </w:p>
        </w:tc>
        <w:tc>
          <w:tcPr>
            <w:tcW w:w="5477" w:type="dxa"/>
            <w:shd w:val="clear" w:color="auto" w:fill="auto"/>
            <w:vAlign w:val="top"/>
          </w:tcPr>
          <w:p w14:paraId="5FDE8A7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321" w:hanging="321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rtl w:val="0"/>
              </w:rPr>
              <w:t xml:space="preserve">Penambahan </w:t>
            </w:r>
            <w:r>
              <w:rPr>
                <w:rFonts w:hint="default" w:cs="Calibri"/>
                <w:color w:val="000000"/>
                <w:sz w:val="18"/>
                <w:szCs w:val="18"/>
                <w:rtl w:val="0"/>
                <w:lang w:val="en-US"/>
              </w:rPr>
              <w:t xml:space="preserve">kolom  pada table master </w:t>
            </w:r>
            <w:r>
              <w:rPr>
                <w:rFonts w:hint="default"/>
                <w:sz w:val="18"/>
                <w:szCs w:val="18"/>
                <w:rtl w:val="0"/>
                <w:lang w:val="en-US"/>
              </w:rPr>
              <w:t>Insurance</w:t>
            </w:r>
          </w:p>
          <w:p w14:paraId="7F8170BF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681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K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olom NITKU</w:t>
            </w:r>
          </w:p>
          <w:p w14:paraId="0B67A73D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81" w:leftChars="0" w:right="0" w:rightChars="0" w:hanging="360" w:firstLineChars="0"/>
              <w:jc w:val="both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Kolom NPWP Pusat </w:t>
            </w:r>
          </w:p>
        </w:tc>
      </w:tr>
      <w:tr w14:paraId="644FBB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147064DA">
            <w:pPr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5</w:t>
            </w:r>
          </w:p>
        </w:tc>
        <w:tc>
          <w:p w14:paraId="06FBF92E"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IFINAMS -&gt; Work Order </w:t>
            </w:r>
          </w:p>
        </w:tc>
        <w:tc>
          <w:p w14:paraId="3A4A61DC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right="0" w:rightChars="0"/>
              <w:jc w:val="both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 Penambahan kolom NITKU dan NPWP pada Interface Journal AMS, dan Kolom pada table rpt_ext_sub_ledger_sap_tax</w:t>
            </w:r>
          </w:p>
          <w:p w14:paraId="2EE98137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right="0" w:rightChars="0"/>
              <w:jc w:val="both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Penambahan kondisi agar 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k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etika work order post, data NITKU dan NPWP terkirim ke interface journal AMS, masuk ke journal detail, masuk ke subledger dan terkirim ke SAP</w:t>
            </w:r>
          </w:p>
        </w:tc>
      </w:tr>
      <w:tr w14:paraId="31C80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477EF5B4">
            <w:pPr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w="2977" w:type="dxa"/>
            <w:vAlign w:val="top"/>
          </w:tcPr>
          <w:p w14:paraId="6A2A036A"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IFINAMS -&gt; Realization</w:t>
            </w:r>
          </w:p>
        </w:tc>
        <w:tc>
          <w:tcPr>
            <w:tcW w:w="5477" w:type="dxa"/>
            <w:vAlign w:val="top"/>
          </w:tcPr>
          <w:p w14:paraId="097E073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Penambahan kondisi agar 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k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etika </w:t>
            </w:r>
            <w:r>
              <w:rPr>
                <w:rFonts w:hint="default"/>
                <w:sz w:val="18"/>
                <w:szCs w:val="18"/>
                <w:lang w:val="en-US"/>
              </w:rPr>
              <w:t>Realization proceed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, data NITKU dan NPWP terkirim ke interface journal AMS, masuk ke journal detail, masuk ke subledger dan terkirim ke SAP</w:t>
            </w:r>
          </w:p>
        </w:tc>
      </w:tr>
      <w:tr w14:paraId="57D2A4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62" w:type="dxa"/>
            <w:vAlign w:val="top"/>
          </w:tcPr>
          <w:p w14:paraId="207A15DF">
            <w:pPr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w="2977" w:type="dxa"/>
            <w:vAlign w:val="top"/>
          </w:tcPr>
          <w:p w14:paraId="6D094989"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IFINAMS -&gt; Insurance </w:t>
            </w:r>
          </w:p>
        </w:tc>
        <w:tc>
          <w:tcPr>
            <w:tcW w:w="5477" w:type="dxa"/>
            <w:vAlign w:val="top"/>
          </w:tcPr>
          <w:p w14:paraId="6361F5A2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Penambahan kondisi agar 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t>k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etika </w:t>
            </w:r>
            <w:r>
              <w:rPr>
                <w:rFonts w:hint="default"/>
                <w:sz w:val="18"/>
                <w:szCs w:val="18"/>
                <w:lang w:val="en-US"/>
              </w:rPr>
              <w:t>Insurance proceed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, data NITKU dan NPWP terkirim ke interface journal AMS, masuk ke journal detail, masuk ke subledger dan terkirim ke SAP</w:t>
            </w:r>
          </w:p>
          <w:p w14:paraId="3D595FE2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Serta penambahan parameter untuk kedua kolom tersebut agar data dapat masuk ke IFIN </w:t>
            </w:r>
          </w:p>
        </w:tc>
      </w:tr>
      <w:tr w14:paraId="57F771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32B97780">
            <w:pPr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8</w:t>
            </w:r>
          </w:p>
        </w:tc>
        <w:tc>
          <w:p w14:paraId="02F6DACD"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IFINPROC -&gt; Supplier Selection</w:t>
            </w:r>
          </w:p>
        </w:tc>
        <w:tc>
          <w:p w14:paraId="6F02B92B">
            <w:pPr>
              <w:numPr>
                <w:ilvl w:val="0"/>
                <w:numId w:val="6"/>
              </w:num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Pastikan API FOU sudah mengirim data NITKU untuk ditampung pada table IFIN.</w:t>
            </w:r>
          </w:p>
          <w:p w14:paraId="17123D41">
            <w:pPr>
              <w:numPr>
                <w:ilvl w:val="0"/>
                <w:numId w:val="6"/>
              </w:num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Penambahan kolom NITKU dan NPWP pusat pada table supplier selection untuk menampung data NITKU yang terkirim dari FOU</w:t>
            </w:r>
          </w:p>
          <w:p w14:paraId="2236668F">
            <w:pPr>
              <w:numPr>
                <w:ilvl w:val="0"/>
                <w:numId w:val="6"/>
              </w:num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Serta penambahan parameter untuk kedua kolom tersebut agar data dapat masuk ke IFIN </w:t>
            </w:r>
          </w:p>
        </w:tc>
      </w:tr>
      <w:tr w14:paraId="4F56FE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45CEA4E5">
            <w:pPr>
              <w:jc w:val="both"/>
              <w:rPr>
                <w:rFonts w:hint="default"/>
                <w:sz w:val="18"/>
                <w:szCs w:val="18"/>
                <w:rtl w:val="0"/>
                <w:lang w:val="en-US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shd w:val="clear" w:color="auto" w:fill="auto"/>
            <w:vAlign w:val="top"/>
          </w:tcPr>
          <w:p w14:paraId="2392F63E">
            <w:pPr>
              <w:jc w:val="both"/>
              <w:rPr>
                <w:rFonts w:hint="default" w:ascii="Calibri" w:hAnsi="Calibri" w:eastAsia="Calibri" w:cs="Calibri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IFINPROC -&gt; Quotation</w:t>
            </w:r>
          </w:p>
        </w:tc>
        <w:tc>
          <w:tcPr>
            <w:shd w:val="clear" w:color="auto" w:fill="auto"/>
            <w:vAlign w:val="top"/>
          </w:tcPr>
          <w:p w14:paraId="45C14968">
            <w:pPr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Calibri" w:hAnsi="Calibri" w:eastAsia="Calibri" w:cs="Calibri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eastAsia="Calibri"/>
                <w:sz w:val="18"/>
                <w:szCs w:val="18"/>
                <w:lang w:val="en-US"/>
              </w:rPr>
              <w:t>Pastikan API FOU sudah mengirim data NITKU untuk ditampung pada table IFIN.</w:t>
            </w:r>
          </w:p>
          <w:p w14:paraId="726626B5">
            <w:pPr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Calibri" w:hAnsi="Calibri" w:eastAsia="Calibri" w:cs="Calibri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Penambahan kolom NITKU dan NPWP pusat pada table Quotation, sehingga ketika pemilihan supplier selection</w:t>
            </w:r>
          </w:p>
          <w:p w14:paraId="0CA06694">
            <w:pPr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 w:ascii="Calibri" w:hAnsi="Calibri" w:eastAsia="Calibri" w:cs="Calibri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Serta penambahan parameter untuk kedua kolom tersebut agar data dapat masuk ke IFIN </w:t>
            </w:r>
          </w:p>
        </w:tc>
      </w:tr>
      <w:tr w14:paraId="73828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761BE2A0">
            <w:pPr>
              <w:jc w:val="both"/>
              <w:rPr>
                <w:rFonts w:hint="default"/>
                <w:sz w:val="18"/>
                <w:szCs w:val="18"/>
                <w:rtl w:val="0"/>
                <w:lang w:val="en-US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10</w:t>
            </w:r>
          </w:p>
        </w:tc>
        <w:tc>
          <w:tcPr>
            <w:shd w:val="clear" w:color="auto" w:fill="auto"/>
            <w:vAlign w:val="top"/>
          </w:tcPr>
          <w:p w14:paraId="4290C762"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IFINPROC -&gt; Journal</w:t>
            </w:r>
          </w:p>
        </w:tc>
        <w:tc>
          <w:tcPr>
            <w:shd w:val="clear" w:color="auto" w:fill="auto"/>
            <w:vAlign w:val="top"/>
          </w:tcPr>
          <w:p w14:paraId="55315B7A"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Penambahan Kolom untuk menampung data NITKU, dan NPWP pusat pada journal Interface di module procurement </w:t>
            </w:r>
          </w:p>
        </w:tc>
      </w:tr>
      <w:tr w14:paraId="55CEC5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47E7E85B">
            <w:pPr>
              <w:jc w:val="both"/>
              <w:rPr>
                <w:rFonts w:hint="default"/>
                <w:sz w:val="18"/>
                <w:szCs w:val="18"/>
                <w:rtl w:val="0"/>
                <w:lang w:val="en-US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11</w:t>
            </w:r>
          </w:p>
        </w:tc>
        <w:tc>
          <w:tcPr>
            <w:shd w:val="clear" w:color="auto" w:fill="auto"/>
            <w:vAlign w:val="top"/>
          </w:tcPr>
          <w:p w14:paraId="5D24EA73"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IFINOPL -&gt; client matching</w:t>
            </w:r>
          </w:p>
        </w:tc>
        <w:tc>
          <w:tcPr>
            <w:shd w:val="clear" w:color="auto" w:fill="auto"/>
            <w:vAlign w:val="top"/>
          </w:tcPr>
          <w:p w14:paraId="5C9F3B0F">
            <w:pPr>
              <w:numPr>
                <w:ilvl w:val="0"/>
                <w:numId w:val="6"/>
              </w:num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Pastikan API FOU sudah mengirim data NITKU untuk ditampung pada table IFIN.</w:t>
            </w:r>
          </w:p>
          <w:p w14:paraId="5A25ED5A">
            <w:pPr>
              <w:numPr>
                <w:ilvl w:val="0"/>
                <w:numId w:val="6"/>
              </w:num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Penambahan kolom untuk menampung data NITKU ketika proses client matching. </w:t>
            </w:r>
          </w:p>
          <w:p w14:paraId="702EB368">
            <w:pPr>
              <w:numPr>
                <w:ilvl w:val="0"/>
                <w:numId w:val="6"/>
              </w:num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Serta penambahan 2 kolom tersebut pada table agreement asset  untuk menampung data NITKU dan NPWP Pusat</w:t>
            </w:r>
          </w:p>
          <w:p w14:paraId="1D913F4B">
            <w:pPr>
              <w:numPr>
                <w:ilvl w:val="0"/>
                <w:numId w:val="6"/>
              </w:num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IFIN hanya menerima data NITKU setelah proses client matching dilakukan dari foundation. </w:t>
            </w:r>
          </w:p>
        </w:tc>
      </w:tr>
      <w:tr w14:paraId="6E6F49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3A35E2A7">
            <w:pPr>
              <w:jc w:val="both"/>
              <w:rPr>
                <w:rFonts w:hint="default"/>
                <w:sz w:val="18"/>
                <w:szCs w:val="18"/>
                <w:rtl w:val="0"/>
                <w:lang w:val="en-US"/>
              </w:rPr>
            </w:pPr>
            <w:r>
              <w:rPr>
                <w:rFonts w:hint="default"/>
                <w:sz w:val="18"/>
                <w:szCs w:val="18"/>
                <w:rtl w:val="0"/>
                <w:lang w:val="en-US"/>
              </w:rPr>
              <w:t>12</w:t>
            </w:r>
          </w:p>
        </w:tc>
        <w:tc>
          <w:tcPr>
            <w:shd w:val="clear" w:color="auto" w:fill="auto"/>
            <w:vAlign w:val="top"/>
          </w:tcPr>
          <w:p w14:paraId="2499A00D"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IFINOPL </w:t>
            </w:r>
          </w:p>
        </w:tc>
        <w:tc>
          <w:tcPr>
            <w:shd w:val="clear" w:color="auto" w:fill="auto"/>
            <w:vAlign w:val="top"/>
          </w:tcPr>
          <w:p w14:paraId="54E1374D"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Proses ketika print pajak, akan ditambahkan informasi terkait NITKU</w:t>
            </w:r>
          </w:p>
        </w:tc>
      </w:tr>
    </w:tbl>
    <w:p w14:paraId="3672BCDF">
      <w:pPr>
        <w:jc w:val="both"/>
        <w:rPr>
          <w:highlight w:val="yellow"/>
        </w:rPr>
      </w:pPr>
      <w:r>
        <w:rPr>
          <w:rtl w:val="0"/>
        </w:rPr>
        <w:br w:type="textWrapping"/>
      </w:r>
      <w:r>
        <w:rPr>
          <w:highlight w:val="yellow"/>
          <w:rtl w:val="0"/>
        </w:rPr>
        <w:t>Proses Flow</w:t>
      </w:r>
    </w:p>
    <w:p w14:paraId="3A44F1A6">
      <w:pPr>
        <w:numPr>
          <w:ilvl w:val="0"/>
          <w:numId w:val="8"/>
        </w:numPr>
        <w:ind w:left="720" w:hanging="360"/>
        <w:jc w:val="both"/>
        <w:rPr>
          <w:u w:val="none"/>
        </w:rPr>
      </w:pPr>
      <w:r>
        <w:rPr>
          <w:rFonts w:hint="default"/>
          <w:rtl w:val="0"/>
          <w:lang w:val="en-US"/>
        </w:rPr>
        <w:t>IMS akan melakukan inject data NITKU dan NPWP pusat untuk vendor bengkel, birojasa, insurance, dan auction.</w:t>
      </w:r>
    </w:p>
    <w:p w14:paraId="18D3A19B">
      <w:pPr>
        <w:numPr>
          <w:ilvl w:val="0"/>
          <w:numId w:val="8"/>
        </w:numPr>
        <w:ind w:left="720" w:hanging="360"/>
        <w:jc w:val="both"/>
        <w:rPr>
          <w:u w:val="none"/>
        </w:rPr>
      </w:pPr>
      <w:r>
        <w:rPr>
          <w:rFonts w:hint="default"/>
          <w:u w:val="none"/>
          <w:lang w:val="en-US"/>
        </w:rPr>
        <w:t xml:space="preserve">Ketika user melakukan proses Work order, realization birojasa, insurance post, dan Invoice register post, data NITKU dan NPWP pusat atas masing-masing vendor dapat dikirimkan juga ketika terjadi penjurnalan atau ketika transaksi mengirimkan jurnal yang berkaitan dengan PPN maupun PPH. </w:t>
      </w:r>
    </w:p>
    <w:p w14:paraId="727B623C">
      <w:pPr>
        <w:numPr>
          <w:ilvl w:val="0"/>
          <w:numId w:val="0"/>
        </w:numPr>
        <w:ind w:left="360" w:leftChars="0"/>
        <w:jc w:val="both"/>
        <w:rPr>
          <w:u w:val="none"/>
        </w:rPr>
      </w:pPr>
      <w:bookmarkStart w:id="0" w:name="_GoBack"/>
      <w:bookmarkEnd w:id="0"/>
    </w:p>
    <w:p w14:paraId="0B7F4620">
      <w:pPr>
        <w:numPr>
          <w:ilvl w:val="0"/>
          <w:numId w:val="0"/>
        </w:numPr>
        <w:ind w:left="360" w:leftChars="0"/>
        <w:jc w:val="both"/>
        <w:rPr>
          <w:u w:val="none"/>
        </w:rPr>
      </w:pPr>
    </w:p>
    <w:p w14:paraId="1719663F">
      <w:pPr>
        <w:numPr>
          <w:ilvl w:val="-1"/>
          <w:numId w:val="0"/>
        </w:numPr>
        <w:jc w:val="both"/>
        <w:rPr>
          <w:rFonts w:hint="default"/>
          <w:u w:val="none"/>
        </w:rPr>
      </w:pPr>
      <w:r>
        <w:rPr>
          <w:rFonts w:hint="default"/>
          <w:u w:val="none"/>
        </w:rPr>
        <w:t xml:space="preserve">TIMELINE CR NITKU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020"/>
        <w:gridCol w:w="2257"/>
        <w:gridCol w:w="1015"/>
        <w:gridCol w:w="422"/>
        <w:gridCol w:w="347"/>
        <w:gridCol w:w="384"/>
        <w:gridCol w:w="460"/>
        <w:gridCol w:w="431"/>
        <w:gridCol w:w="444"/>
        <w:gridCol w:w="392"/>
        <w:gridCol w:w="433"/>
      </w:tblGrid>
      <w:tr w14:paraId="68FE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1E3A799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No</w:t>
            </w:r>
          </w:p>
        </w:tc>
        <w:tc>
          <w:tcPr>
            <w:tcW w:w="4277" w:type="dxa"/>
            <w:gridSpan w:val="2"/>
            <w:vAlign w:val="center"/>
          </w:tcPr>
          <w:p w14:paraId="1EFD4055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Activity</w:t>
            </w:r>
          </w:p>
        </w:tc>
        <w:tc>
          <w:tcPr>
            <w:tcW w:w="1015" w:type="dxa"/>
            <w:vMerge w:val="restart"/>
            <w:vAlign w:val="center"/>
          </w:tcPr>
          <w:p w14:paraId="2C9794C6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Duration(in day(s))</w:t>
            </w:r>
          </w:p>
        </w:tc>
        <w:tc>
          <w:tcPr>
            <w:tcW w:w="3313" w:type="dxa"/>
            <w:gridSpan w:val="8"/>
            <w:vAlign w:val="center"/>
          </w:tcPr>
          <w:p w14:paraId="351AA547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Timeline (in Week(s))</w:t>
            </w:r>
          </w:p>
        </w:tc>
      </w:tr>
      <w:tr w14:paraId="21780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</w:tcPr>
          <w:p w14:paraId="22055E89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020" w:type="dxa"/>
            <w:vMerge w:val="restart"/>
            <w:vAlign w:val="center"/>
          </w:tcPr>
          <w:p w14:paraId="24E400CC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Task</w:t>
            </w:r>
          </w:p>
        </w:tc>
        <w:tc>
          <w:tcPr>
            <w:tcW w:w="2257" w:type="dxa"/>
            <w:vMerge w:val="restart"/>
            <w:vAlign w:val="center"/>
          </w:tcPr>
          <w:p w14:paraId="2C452D26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Note</w:t>
            </w:r>
          </w:p>
        </w:tc>
        <w:tc>
          <w:tcPr>
            <w:tcW w:w="1015" w:type="dxa"/>
            <w:vMerge w:val="continue"/>
          </w:tcPr>
          <w:p w14:paraId="3CC50538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1613" w:type="dxa"/>
            <w:gridSpan w:val="4"/>
            <w:vAlign w:val="center"/>
          </w:tcPr>
          <w:p w14:paraId="0F7D9D67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M1</w:t>
            </w:r>
          </w:p>
        </w:tc>
        <w:tc>
          <w:tcPr>
            <w:tcW w:w="1700" w:type="dxa"/>
            <w:gridSpan w:val="4"/>
            <w:vAlign w:val="center"/>
          </w:tcPr>
          <w:p w14:paraId="3A3BD5B5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M2</w:t>
            </w:r>
          </w:p>
        </w:tc>
      </w:tr>
      <w:tr w14:paraId="209C9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</w:tcPr>
          <w:p w14:paraId="68731164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020" w:type="dxa"/>
            <w:vMerge w:val="continue"/>
          </w:tcPr>
          <w:p w14:paraId="0140D3D6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257" w:type="dxa"/>
            <w:vMerge w:val="continue"/>
          </w:tcPr>
          <w:p w14:paraId="079C8891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1015" w:type="dxa"/>
            <w:vMerge w:val="continue"/>
          </w:tcPr>
          <w:p w14:paraId="2ED627A5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22" w:type="dxa"/>
          </w:tcPr>
          <w:p w14:paraId="100666B2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/>
                <w:sz w:val="18"/>
                <w:szCs w:val="18"/>
                <w:u w:val="none"/>
                <w:vertAlign w:val="baseline"/>
                <w:lang w:val="en-US"/>
              </w:rPr>
              <w:t>w</w:t>
            </w:r>
            <w:r>
              <w:rPr>
                <w:rFonts w:hint="default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347" w:type="dxa"/>
          </w:tcPr>
          <w:p w14:paraId="5A6CAA30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/>
                <w:sz w:val="18"/>
                <w:szCs w:val="18"/>
                <w:u w:val="none"/>
                <w:vertAlign w:val="baseline"/>
                <w:lang w:val="en-US"/>
              </w:rPr>
              <w:t>w</w:t>
            </w:r>
            <w:r>
              <w:rPr>
                <w:rFonts w:hint="default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384" w:type="dxa"/>
          </w:tcPr>
          <w:p w14:paraId="2934E37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/>
                <w:sz w:val="18"/>
                <w:szCs w:val="18"/>
                <w:u w:val="none"/>
                <w:vertAlign w:val="baseline"/>
                <w:lang w:val="en-US"/>
              </w:rPr>
              <w:t>w</w:t>
            </w:r>
            <w:r>
              <w:rPr>
                <w:rFonts w:hint="default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460" w:type="dxa"/>
          </w:tcPr>
          <w:p w14:paraId="35A9C41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w</w:t>
            </w:r>
            <w:r>
              <w:rPr>
                <w:rFonts w:hint="default"/>
                <w:sz w:val="20"/>
                <w:szCs w:val="20"/>
                <w:u w:val="none"/>
                <w:vertAlign w:val="baseline"/>
              </w:rPr>
              <w:t>4</w:t>
            </w:r>
          </w:p>
        </w:tc>
        <w:tc>
          <w:tcPr>
            <w:tcW w:w="431" w:type="dxa"/>
          </w:tcPr>
          <w:p w14:paraId="57FE5903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w</w:t>
            </w:r>
            <w:r>
              <w:rPr>
                <w:rFonts w:hint="default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w="444" w:type="dxa"/>
          </w:tcPr>
          <w:p w14:paraId="034D8669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w</w:t>
            </w:r>
            <w:r>
              <w:rPr>
                <w:rFonts w:hint="default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w="392" w:type="dxa"/>
          </w:tcPr>
          <w:p w14:paraId="684BCDED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w</w:t>
            </w:r>
            <w:r>
              <w:rPr>
                <w:rFonts w:hint="default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w="433" w:type="dxa"/>
          </w:tcPr>
          <w:p w14:paraId="44FCA1DE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w</w:t>
            </w:r>
            <w:r>
              <w:rPr>
                <w:rFonts w:hint="default"/>
                <w:sz w:val="20"/>
                <w:szCs w:val="20"/>
                <w:u w:val="none"/>
                <w:vertAlign w:val="baseline"/>
              </w:rPr>
              <w:t>4</w:t>
            </w:r>
          </w:p>
        </w:tc>
      </w:tr>
      <w:tr w14:paraId="67D0F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0AACA87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1</w:t>
            </w:r>
          </w:p>
        </w:tc>
        <w:tc>
          <w:tcPr>
            <w:tcW w:w="2020" w:type="dxa"/>
            <w:vMerge w:val="restart"/>
            <w:vAlign w:val="center"/>
          </w:tcPr>
          <w:p w14:paraId="73EE1EC3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Update Document Impact Analysis</w:t>
            </w:r>
          </w:p>
        </w:tc>
        <w:tc>
          <w:tcPr>
            <w:tcW w:w="2257" w:type="dxa"/>
          </w:tcPr>
          <w:p w14:paraId="77EBBD4E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Update Document</w:t>
            </w:r>
          </w:p>
        </w:tc>
        <w:tc>
          <w:tcPr>
            <w:tcW w:w="1015" w:type="dxa"/>
          </w:tcPr>
          <w:p w14:paraId="596794A3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2</w:t>
            </w:r>
          </w:p>
        </w:tc>
        <w:tc>
          <w:tcPr>
            <w:tcW w:w="422" w:type="dxa"/>
            <w:shd w:val="clear" w:color="auto" w:fill="FFFF00"/>
          </w:tcPr>
          <w:p w14:paraId="4AF9071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color w:val="auto"/>
                <w:highlight w:val="black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47" w:type="dxa"/>
          </w:tcPr>
          <w:p w14:paraId="5A0092C2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84" w:type="dxa"/>
          </w:tcPr>
          <w:p w14:paraId="1F638602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60" w:type="dxa"/>
          </w:tcPr>
          <w:p w14:paraId="4BEE3A00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1" w:type="dxa"/>
          </w:tcPr>
          <w:p w14:paraId="3B4787E1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44" w:type="dxa"/>
          </w:tcPr>
          <w:p w14:paraId="671C25F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92" w:type="dxa"/>
          </w:tcPr>
          <w:p w14:paraId="6983A010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3" w:type="dxa"/>
          </w:tcPr>
          <w:p w14:paraId="746787DD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</w:tr>
      <w:tr w14:paraId="001CF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7BEE98D5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020" w:type="dxa"/>
            <w:vMerge w:val="continue"/>
            <w:vAlign w:val="center"/>
          </w:tcPr>
          <w:p w14:paraId="4AD1029F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257" w:type="dxa"/>
          </w:tcPr>
          <w:p w14:paraId="2347269E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Review Document</w:t>
            </w:r>
          </w:p>
        </w:tc>
        <w:tc>
          <w:tcPr>
            <w:tcW w:w="1015" w:type="dxa"/>
          </w:tcPr>
          <w:p w14:paraId="035A838A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3</w:t>
            </w:r>
          </w:p>
        </w:tc>
        <w:tc>
          <w:tcPr>
            <w:tcW w:w="422" w:type="dxa"/>
          </w:tcPr>
          <w:p w14:paraId="5B13FFD1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47" w:type="dxa"/>
            <w:shd w:val="clear" w:color="auto" w:fill="FF0000"/>
          </w:tcPr>
          <w:p w14:paraId="3F6AB75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84" w:type="dxa"/>
          </w:tcPr>
          <w:p w14:paraId="537B6E8C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60" w:type="dxa"/>
          </w:tcPr>
          <w:p w14:paraId="687C55CD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1" w:type="dxa"/>
          </w:tcPr>
          <w:p w14:paraId="6E4DBBB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44" w:type="dxa"/>
          </w:tcPr>
          <w:p w14:paraId="7FF91621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92" w:type="dxa"/>
          </w:tcPr>
          <w:p w14:paraId="005A7D73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3" w:type="dxa"/>
          </w:tcPr>
          <w:p w14:paraId="590B7AC2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</w:tr>
      <w:tr w14:paraId="6C784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F4EA6AD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020" w:type="dxa"/>
            <w:vAlign w:val="center"/>
          </w:tcPr>
          <w:p w14:paraId="690E5076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257" w:type="dxa"/>
          </w:tcPr>
          <w:p w14:paraId="2C2173DA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Development Foundation (planning)</w:t>
            </w:r>
          </w:p>
        </w:tc>
        <w:tc>
          <w:tcPr>
            <w:tcW w:w="1015" w:type="dxa"/>
          </w:tcPr>
          <w:p w14:paraId="1739AAFC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422" w:type="dxa"/>
            <w:shd w:val="clear" w:color="auto" w:fill="auto"/>
          </w:tcPr>
          <w:p w14:paraId="3716318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47" w:type="dxa"/>
            <w:shd w:val="clear" w:color="auto" w:fill="92D050"/>
          </w:tcPr>
          <w:p w14:paraId="3400D89E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84" w:type="dxa"/>
            <w:shd w:val="clear" w:color="auto" w:fill="auto"/>
          </w:tcPr>
          <w:p w14:paraId="53629BB9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60" w:type="dxa"/>
          </w:tcPr>
          <w:p w14:paraId="2C6B429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1" w:type="dxa"/>
          </w:tcPr>
          <w:p w14:paraId="48F066EC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44" w:type="dxa"/>
          </w:tcPr>
          <w:p w14:paraId="616D4F1A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92" w:type="dxa"/>
          </w:tcPr>
          <w:p w14:paraId="361EFF91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3" w:type="dxa"/>
          </w:tcPr>
          <w:p w14:paraId="01080EA5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</w:tr>
      <w:tr w14:paraId="5B453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19A29655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2</w:t>
            </w:r>
          </w:p>
        </w:tc>
        <w:tc>
          <w:tcPr>
            <w:tcW w:w="2020" w:type="dxa"/>
            <w:vMerge w:val="restart"/>
            <w:vAlign w:val="center"/>
          </w:tcPr>
          <w:p w14:paraId="4D8B2938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Development base on Final Confirmation, quotation, and testing</w:t>
            </w:r>
          </w:p>
        </w:tc>
        <w:tc>
          <w:tcPr>
            <w:tcW w:w="2257" w:type="dxa"/>
          </w:tcPr>
          <w:p w14:paraId="766918E4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Development - 1 manpower dev</w:t>
            </w:r>
          </w:p>
        </w:tc>
        <w:tc>
          <w:tcPr>
            <w:tcW w:w="1015" w:type="dxa"/>
          </w:tcPr>
          <w:p w14:paraId="2734A269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7</w:t>
            </w:r>
          </w:p>
        </w:tc>
        <w:tc>
          <w:tcPr>
            <w:tcW w:w="422" w:type="dxa"/>
            <w:shd w:val="clear" w:color="auto" w:fill="auto"/>
          </w:tcPr>
          <w:p w14:paraId="7C04AC4F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47" w:type="dxa"/>
            <w:shd w:val="clear" w:color="auto" w:fill="auto"/>
          </w:tcPr>
          <w:p w14:paraId="248F0496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84" w:type="dxa"/>
            <w:shd w:val="clear" w:color="auto" w:fill="FFFF00"/>
          </w:tcPr>
          <w:p w14:paraId="129A6024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60" w:type="dxa"/>
            <w:shd w:val="clear" w:color="auto" w:fill="FFFF00"/>
          </w:tcPr>
          <w:p w14:paraId="5B2F1583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1" w:type="dxa"/>
          </w:tcPr>
          <w:p w14:paraId="485A04B4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44" w:type="dxa"/>
          </w:tcPr>
          <w:p w14:paraId="5217E57E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92" w:type="dxa"/>
          </w:tcPr>
          <w:p w14:paraId="58249B25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3" w:type="dxa"/>
          </w:tcPr>
          <w:p w14:paraId="5F653A64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</w:tr>
      <w:tr w14:paraId="175A8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85CFD3C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020" w:type="dxa"/>
            <w:vMerge w:val="continue"/>
            <w:vAlign w:val="center"/>
          </w:tcPr>
          <w:p w14:paraId="1AB46CBF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257" w:type="dxa"/>
          </w:tcPr>
          <w:p w14:paraId="03DB4414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Internal Scenario - 1 manpower qa</w:t>
            </w:r>
          </w:p>
        </w:tc>
        <w:tc>
          <w:tcPr>
            <w:tcW w:w="1015" w:type="dxa"/>
          </w:tcPr>
          <w:p w14:paraId="1630C30A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1</w:t>
            </w:r>
          </w:p>
        </w:tc>
        <w:tc>
          <w:tcPr>
            <w:tcW w:w="422" w:type="dxa"/>
            <w:shd w:val="clear" w:color="auto" w:fill="auto"/>
          </w:tcPr>
          <w:p w14:paraId="2C8E6DE8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47" w:type="dxa"/>
            <w:shd w:val="clear" w:color="auto" w:fill="auto"/>
          </w:tcPr>
          <w:p w14:paraId="7C3EC9C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84" w:type="dxa"/>
            <w:shd w:val="clear" w:color="auto" w:fill="FFFF00"/>
          </w:tcPr>
          <w:p w14:paraId="0A24F9DE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60" w:type="dxa"/>
            <w:shd w:val="clear" w:color="auto" w:fill="auto"/>
          </w:tcPr>
          <w:p w14:paraId="5830AC1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1" w:type="dxa"/>
          </w:tcPr>
          <w:p w14:paraId="4242BF4A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44" w:type="dxa"/>
          </w:tcPr>
          <w:p w14:paraId="73284905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92" w:type="dxa"/>
          </w:tcPr>
          <w:p w14:paraId="075E3AC7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3" w:type="dxa"/>
          </w:tcPr>
          <w:p w14:paraId="4D427A4A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</w:tr>
      <w:tr w14:paraId="15B20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45A28F40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020" w:type="dxa"/>
            <w:vMerge w:val="continue"/>
            <w:vAlign w:val="center"/>
          </w:tcPr>
          <w:p w14:paraId="1CB9660F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257" w:type="dxa"/>
          </w:tcPr>
          <w:p w14:paraId="794DF3DC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qa internal - 1 manpower qa</w:t>
            </w:r>
          </w:p>
        </w:tc>
        <w:tc>
          <w:tcPr>
            <w:tcW w:w="1015" w:type="dxa"/>
          </w:tcPr>
          <w:p w14:paraId="1D14DF4C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3</w:t>
            </w:r>
          </w:p>
        </w:tc>
        <w:tc>
          <w:tcPr>
            <w:tcW w:w="422" w:type="dxa"/>
            <w:shd w:val="clear" w:color="auto" w:fill="auto"/>
          </w:tcPr>
          <w:p w14:paraId="31834994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47" w:type="dxa"/>
          </w:tcPr>
          <w:p w14:paraId="50DC0290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84" w:type="dxa"/>
            <w:shd w:val="clear" w:color="auto" w:fill="FFFF00"/>
          </w:tcPr>
          <w:p w14:paraId="1FC8139C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60" w:type="dxa"/>
            <w:shd w:val="clear" w:color="auto" w:fill="FFFF00"/>
          </w:tcPr>
          <w:p w14:paraId="05AE54BE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1" w:type="dxa"/>
          </w:tcPr>
          <w:p w14:paraId="5B3C7BB6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44" w:type="dxa"/>
          </w:tcPr>
          <w:p w14:paraId="667D4F4E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92" w:type="dxa"/>
          </w:tcPr>
          <w:p w14:paraId="7958B98C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3" w:type="dxa"/>
          </w:tcPr>
          <w:p w14:paraId="396ACEE3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</w:tr>
      <w:tr w14:paraId="56A77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CC06F6B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020" w:type="dxa"/>
            <w:vMerge w:val="continue"/>
            <w:vAlign w:val="center"/>
          </w:tcPr>
          <w:p w14:paraId="7E1EF3F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257" w:type="dxa"/>
          </w:tcPr>
          <w:p w14:paraId="7890B424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preparation and deployement to env UAT</w:t>
            </w:r>
          </w:p>
        </w:tc>
        <w:tc>
          <w:tcPr>
            <w:tcW w:w="1015" w:type="dxa"/>
          </w:tcPr>
          <w:p w14:paraId="55B123E5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1</w:t>
            </w:r>
          </w:p>
        </w:tc>
        <w:tc>
          <w:tcPr>
            <w:tcW w:w="422" w:type="dxa"/>
          </w:tcPr>
          <w:p w14:paraId="3E00EB1A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47" w:type="dxa"/>
          </w:tcPr>
          <w:p w14:paraId="5619B1C9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84" w:type="dxa"/>
            <w:shd w:val="clear" w:color="auto" w:fill="auto"/>
          </w:tcPr>
          <w:p w14:paraId="4F7C0C6A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60" w:type="dxa"/>
          </w:tcPr>
          <w:p w14:paraId="57B76A56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1" w:type="dxa"/>
            <w:shd w:val="clear" w:color="auto" w:fill="00B0F0"/>
          </w:tcPr>
          <w:p w14:paraId="17980F38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44" w:type="dxa"/>
          </w:tcPr>
          <w:p w14:paraId="5F81FCC6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92" w:type="dxa"/>
          </w:tcPr>
          <w:p w14:paraId="001E14F8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3" w:type="dxa"/>
          </w:tcPr>
          <w:p w14:paraId="6A71C991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</w:tr>
      <w:tr w14:paraId="5087D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7CEA99F6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3</w:t>
            </w:r>
          </w:p>
        </w:tc>
        <w:tc>
          <w:tcPr>
            <w:tcW w:w="2020" w:type="dxa"/>
            <w:vMerge w:val="restart"/>
            <w:vAlign w:val="center"/>
          </w:tcPr>
          <w:p w14:paraId="4C9266F7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SIT &amp; UAT</w:t>
            </w:r>
          </w:p>
        </w:tc>
        <w:tc>
          <w:tcPr>
            <w:tcW w:w="2257" w:type="dxa"/>
          </w:tcPr>
          <w:p w14:paraId="09118181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SIT</w:t>
            </w:r>
          </w:p>
        </w:tc>
        <w:tc>
          <w:tcPr>
            <w:tcW w:w="1015" w:type="dxa"/>
          </w:tcPr>
          <w:p w14:paraId="7E9E645F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2</w:t>
            </w:r>
          </w:p>
        </w:tc>
        <w:tc>
          <w:tcPr>
            <w:tcW w:w="422" w:type="dxa"/>
          </w:tcPr>
          <w:p w14:paraId="34933FB1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47" w:type="dxa"/>
          </w:tcPr>
          <w:p w14:paraId="20D036C0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84" w:type="dxa"/>
            <w:shd w:val="clear" w:color="auto" w:fill="auto"/>
          </w:tcPr>
          <w:p w14:paraId="52EFEA62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60" w:type="dxa"/>
            <w:shd w:val="clear" w:color="auto" w:fill="auto"/>
          </w:tcPr>
          <w:p w14:paraId="6B4686FF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1" w:type="dxa"/>
            <w:shd w:val="clear" w:color="auto" w:fill="002060"/>
          </w:tcPr>
          <w:p w14:paraId="1F5C576F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44" w:type="dxa"/>
          </w:tcPr>
          <w:p w14:paraId="6E5AB6FC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92" w:type="dxa"/>
          </w:tcPr>
          <w:p w14:paraId="0AC23DE4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3" w:type="dxa"/>
          </w:tcPr>
          <w:p w14:paraId="5264C15E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</w:tr>
      <w:tr w14:paraId="2ADC1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CFEC714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020" w:type="dxa"/>
            <w:vMerge w:val="continue"/>
            <w:vAlign w:val="center"/>
          </w:tcPr>
          <w:p w14:paraId="4D09426B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2257" w:type="dxa"/>
          </w:tcPr>
          <w:p w14:paraId="397CCAE3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UAT &amp; Test Result</w:t>
            </w:r>
          </w:p>
        </w:tc>
        <w:tc>
          <w:tcPr>
            <w:tcW w:w="1015" w:type="dxa"/>
          </w:tcPr>
          <w:p w14:paraId="08E1800A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4</w:t>
            </w:r>
          </w:p>
        </w:tc>
        <w:tc>
          <w:tcPr>
            <w:tcW w:w="422" w:type="dxa"/>
          </w:tcPr>
          <w:p w14:paraId="6CD14DDC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47" w:type="dxa"/>
          </w:tcPr>
          <w:p w14:paraId="1D0D39B4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84" w:type="dxa"/>
            <w:shd w:val="clear" w:color="auto" w:fill="auto"/>
          </w:tcPr>
          <w:p w14:paraId="22127635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60" w:type="dxa"/>
            <w:shd w:val="clear" w:color="auto" w:fill="auto"/>
          </w:tcPr>
          <w:p w14:paraId="474B36FA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1" w:type="dxa"/>
            <w:shd w:val="clear" w:color="auto" w:fill="002060"/>
          </w:tcPr>
          <w:p w14:paraId="693E9D81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44" w:type="dxa"/>
            <w:shd w:val="clear" w:color="auto" w:fill="002060"/>
          </w:tcPr>
          <w:p w14:paraId="47F28B16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92" w:type="dxa"/>
          </w:tcPr>
          <w:p w14:paraId="18D8D258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3" w:type="dxa"/>
          </w:tcPr>
          <w:p w14:paraId="6F6045A2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</w:tr>
      <w:tr w14:paraId="4A2FC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2A80F3E1">
            <w:pPr>
              <w:widowControl w:val="0"/>
              <w:numPr>
                <w:ilvl w:val="-1"/>
                <w:numId w:val="0"/>
              </w:numPr>
              <w:jc w:val="center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4</w:t>
            </w:r>
          </w:p>
        </w:tc>
        <w:tc>
          <w:tcPr>
            <w:tcW w:w="2020" w:type="dxa"/>
            <w:vAlign w:val="center"/>
          </w:tcPr>
          <w:p w14:paraId="52417EBF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Go Live</w:t>
            </w:r>
          </w:p>
        </w:tc>
        <w:tc>
          <w:tcPr>
            <w:tcW w:w="2257" w:type="dxa"/>
          </w:tcPr>
          <w:p w14:paraId="73B94728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Preparation and deployement to ENV Prod</w:t>
            </w:r>
          </w:p>
        </w:tc>
        <w:tc>
          <w:tcPr>
            <w:tcW w:w="1015" w:type="dxa"/>
          </w:tcPr>
          <w:p w14:paraId="2826AA28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</w:rPr>
              <w:t>1</w:t>
            </w:r>
          </w:p>
        </w:tc>
        <w:tc>
          <w:tcPr>
            <w:tcW w:w="422" w:type="dxa"/>
          </w:tcPr>
          <w:p w14:paraId="067F46BC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47" w:type="dxa"/>
          </w:tcPr>
          <w:p w14:paraId="14B1B343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84" w:type="dxa"/>
          </w:tcPr>
          <w:p w14:paraId="77AB2F6D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60" w:type="dxa"/>
            <w:shd w:val="clear" w:color="auto" w:fill="auto"/>
          </w:tcPr>
          <w:p w14:paraId="14F2F6C0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1" w:type="dxa"/>
            <w:shd w:val="clear" w:color="auto" w:fill="auto"/>
          </w:tcPr>
          <w:p w14:paraId="7C86A465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44" w:type="dxa"/>
            <w:shd w:val="clear" w:color="auto" w:fill="00B0F0"/>
          </w:tcPr>
          <w:p w14:paraId="0BD4D5B6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392" w:type="dxa"/>
          </w:tcPr>
          <w:p w14:paraId="73727C59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  <w:tc>
          <w:tcPr>
            <w:tcW w:w="433" w:type="dxa"/>
          </w:tcPr>
          <w:p w14:paraId="76D7679E">
            <w:pPr>
              <w:widowControl w:val="0"/>
              <w:numPr>
                <w:ilvl w:val="-1"/>
                <w:numId w:val="0"/>
              </w:numPr>
              <w:jc w:val="both"/>
              <w:rPr>
                <w:rFonts w:hint="default"/>
                <w:u w:val="none"/>
                <w:vertAlign w:val="baseline"/>
              </w:rPr>
            </w:pPr>
          </w:p>
        </w:tc>
      </w:tr>
    </w:tbl>
    <w:p w14:paraId="6B0A7697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hint="defaul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597"/>
      </w:tblGrid>
      <w:tr w14:paraId="2B4D2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 w14:paraId="58C18CE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Colour Note - Activity PIC</w:t>
            </w:r>
          </w:p>
        </w:tc>
      </w:tr>
      <w:tr w14:paraId="5DFCE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FFFF00"/>
          </w:tcPr>
          <w:p w14:paraId="76A07BD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8597" w:type="dxa"/>
          </w:tcPr>
          <w:p w14:paraId="18937D3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IMS</w:t>
            </w:r>
          </w:p>
        </w:tc>
      </w:tr>
      <w:tr w14:paraId="759A7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FF0000"/>
          </w:tcPr>
          <w:p w14:paraId="3398B7E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8597" w:type="dxa"/>
          </w:tcPr>
          <w:p w14:paraId="7C39A5D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IMS &amp; DSF Approver</w:t>
            </w:r>
          </w:p>
        </w:tc>
      </w:tr>
      <w:tr w14:paraId="1E295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</w:tcPr>
          <w:p w14:paraId="78F4D11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8597" w:type="dxa"/>
          </w:tcPr>
          <w:p w14:paraId="7D9B6DE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IMS &amp; DSF IT SRE</w:t>
            </w:r>
          </w:p>
        </w:tc>
      </w:tr>
      <w:tr w14:paraId="263DD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2060"/>
          </w:tcPr>
          <w:p w14:paraId="040800D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8597" w:type="dxa"/>
          </w:tcPr>
          <w:p w14:paraId="3DC25AD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IMS &amp; DSF ITD</w:t>
            </w:r>
          </w:p>
        </w:tc>
      </w:tr>
      <w:tr w14:paraId="4448D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92D050"/>
          </w:tcPr>
          <w:p w14:paraId="5D212CA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8597" w:type="dxa"/>
          </w:tcPr>
          <w:p w14:paraId="2F16CEA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pacing w:before="0" w:after="160" w:line="259" w:lineRule="auto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FOU</w:t>
            </w:r>
          </w:p>
        </w:tc>
      </w:tr>
    </w:tbl>
    <w:p w14:paraId="07E76858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hint="default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DEA2CD79"/>
    <w:multiLevelType w:val="singleLevel"/>
    <w:tmpl w:val="DEA2CD7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8EF3BB"/>
    <w:multiLevelType w:val="singleLevel"/>
    <w:tmpl w:val="E38EF3B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9909B68"/>
    <w:multiLevelType w:val="singleLevel"/>
    <w:tmpl w:val="F9909B6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AD3B3"/>
    <w:multiLevelType w:val="singleLevel"/>
    <w:tmpl w:val="0E9AD3B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681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01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21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41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561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281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01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21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41" w:hanging="360"/>
      </w:pPr>
      <w:rPr>
        <w:rFonts w:ascii="Noto Sans Symbols" w:hAnsi="Noto Sans Symbols" w:eastAsia="Noto Sans Symbols" w:cs="Noto Sans Symbol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A703364"/>
    <w:rsid w:val="10F30F6C"/>
    <w:rsid w:val="1CC7290D"/>
    <w:rsid w:val="22917929"/>
    <w:rsid w:val="2C9C2233"/>
    <w:rsid w:val="2E7867C9"/>
    <w:rsid w:val="32B207B9"/>
    <w:rsid w:val="38622DFB"/>
    <w:rsid w:val="45F75C3D"/>
    <w:rsid w:val="5665206F"/>
    <w:rsid w:val="5C724F9B"/>
    <w:rsid w:val="5CAF1E9F"/>
    <w:rsid w:val="6A6F2930"/>
    <w:rsid w:val="6C512DEA"/>
    <w:rsid w:val="793F29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14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73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2024-11-21T14:50:00Z</dcterms:created>
  <dc:creator>Adi harahap</dc:creator>
  <cp:lastModifiedBy>WPS_1730127584</cp:lastModifiedBy>
  <dcterms:modified xsi:type="dcterms:W3CDTF">2025-02-12T01:44:54Z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F9E55AEF9BC44621B50DC2A6CDBFD66D_13</vt:lpwstr>
  </property>
</Properties>
</file>