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附录 A　支撑材料文件列表</w:t>
      </w:r>
    </w:p>
    <w:p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论文支撑材料以单个压缩包提交，内容为建模所用到的完整可运行源程序、自主生成的数据、较大篇幅的中间结果与图表、赛题要求的结果文件，以及运行环境与复现说明；不包含赛题提供的原始附件。目录结构与文件清单如下，每个文件的字节数与 SHA256 校验值见 说明文档/文件清单与校验值.csv。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 w:val="0"/>
          <w:sz w:val="20"/>
        </w:rPr>
        <w:t>表 A-1　支撑材料目录概览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目录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文件数</w:t>
            </w:r>
          </w:p>
        </w:tc>
        <w:tc>
          <w:tcPr>
            <w:tcW w:type="dxa" w:w="544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主要内容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受正文篇幅限制未完整列出的逐时调度表、指定日明细与正文图件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四问关键指标、费用分解、VOI、离线下界与写表审计的机器可读汇总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源程序自动化测试（torch1 环境 54 passed）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四问正式入口、预测、数据预处理、结果写入、作图与核验程序，以及运行所需的本地模块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由历史数据非前视训练得到的融合预测面板、价格预测、时间映射与储能参数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复现顺序、运行环境、数据来源说明，以及带 SHA256 的文件清单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赛题结果/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赛题要求的 result1.xlsx、result2.xlsx、result3.xlsx、result4-2.xlsx、result4-3.xlsx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工具使用详情.pdf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支撑材料目录说明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README_支撑材料目录.md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支撑材料目录说明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111</w:t>
            </w:r>
          </w:p>
        </w:tc>
        <w:tc>
          <w:tcPr>
            <w:tcW w:type="dxa" w:w="5443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压缩前约 37.6 MB，压缩后约 15 MB（限 20 MB）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A.1　中间结果图表/（25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中间结果图表\图件\不同季节代表日的负荷与光伏功率曲线.png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133.9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中间结果图表\图件\储能充放电图.png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915.6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中间结果图表\图件\光伏模型主要特征的岭迹.png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108.3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中间结果图表\图件\全年电价分布.png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237.9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中间结果图表\图件\动态价格形状分布.png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218.5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中间结果图表\图件\动态保留水位与实际储电量.png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68.1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中间结果图表\图件\各更新时间单日边际信息价值分布.png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中间结果图表\图件\四个指定日期的调整购电、紧急购电与SOC轨迹.png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中间结果图表\图件\日运行特征.png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中间结果图表\图件\灵敏度分析.png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131.3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中间结果图表\图件\结果分析.png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145.0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中间结果图表\图件\负荷模型主要特征的岭迹.png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中间结果图表\图件\问1充放电策略.png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52.9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中间结果图表\图件\问题二紧急购电日历.png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58.7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中间结果图表\完整逐时结果\q1_dispatch_10min.csv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中间结果图表\完整逐时结果\q2_four_days_final.md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中间结果图表\完整逐时结果\q2_method3_dispatch.csv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5.72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中间结果图表\完整逐时结果\q3_dispatch_10min.csv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6.92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中间结果图表\完整逐时结果\q3_representative_emergency.csv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中间结果图表\完整逐时结果\q3_representative_fees.csv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中间结果图表\完整逐时结果\q3_representative_purchase.csv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中间结果图表\完整逐时结果\q3_representative_storage.csv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中间结果图表\完整逐时结果\q4_42_fusion_dates_report.md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中间结果图表\完整逐时结果\q4_42_fusion_dates_segments.csv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135.6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中间结果图表\完整逐时结果\q4_42_fusion_segments.csv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12.37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A.2　关键结果/（14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关键结果\paper_metrics.json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关键结果\q1_layer_comparison.json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关键结果\q1_summary.json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关键结果\q2_accuracy_comparison.json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关键结果\q2_four_days_final.json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关键结果\q2_method3_summary.json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关键结果\q2_summary.json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关键结果\q3_final_summary.json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关键结果\q3_summary.json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关键结果\q3_voi_summary.json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关键结果\q4_42_fusion_summary.json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关键结果\q4_42_fusion_write_audit.json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关键结果\q4_offline_bound.json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关键结果\q4_write_audit.json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A.3　测试/（10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测试\_project.py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测试\test_preprocess.py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测试\test_q1.py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4.4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测试\test_q2.py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测试\test_q2_saa.py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测试\test_q3.py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测试\test_q3_final.py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3.4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测试\test_q4_harness.py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测试\test_q4_price.py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测试\test_q4_write.py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A.4　源程序/（45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源程序\_project.py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源程序\_style\plot_style.py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源程序\ablation_q3_2x3.py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源程序\ablation_q3_forecast.py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源程序\analyze_q2_features.py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源程序\analyze_q2_ridge.py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源程序\audit_q1_value_function.py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源程序\audit_q3_pv_forecast.py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源程序\build_q2_blend_panel.py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源程序\build_q3_fused_load.py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源程序\check_paper_docx.py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源程序\compare_q1_layers.py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源程序\compare_q3_forecasts.py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源程序\forecast_q2.py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源程序\forecast_q2_reg.py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源程序\forecast_q4_price.py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源程序\harness_q4.py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45.4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源程序\paper_metrics.py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源程序\pin_approved_paper_figures.py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源程序\plot_q1.py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源程序\plot_q2.py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源程序\plot_q3.py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源程序\plot_q4.py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源程序\preprocess.py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源程序\probe_q3_rolling_sp.py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源程序\q1_two_layer.py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源程序\q2_reg_collinearity.py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源程序\q2_ridge_regstats.py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源程序\q4_models.py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源程序\q4_offline_bound.py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源程序\report_q3_final.py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源程序\report_q4_dates.py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源程序\run_q3_voi_fusion.py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源程序\sensitivity_q1.py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源程序\solve_q1.py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源程序\solve_q1_lp.py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37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源程序\solve_q2.py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11.0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38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源程序\solve_q2_method3.py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39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源程序\solve_q2_twolayer.py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源程序\solve_q3.py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源程序\solve_q3_final.py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源程序\verify_paper_numbers.py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源程序\verify_result2.py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5.6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源程序\write_result4.py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24.7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源程序\代码清单.md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A.5　自主生成数据/（5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自主生成数据\q1_storage_parameters.json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自主生成数据\q2_forecasts_blend.csv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自主生成数据\q3_forecasts_fused.csv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2.28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自主生成数据\q4_price_forecast_da.csv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1.89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自主生成数据\time_mapping.csv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8.3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A.6　说明文档/（5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说明文档\ai_usage_log.md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说明文档\requirements.txt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说明文档\复现说明.md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说明文档\数据资料说明.md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说明文档\文件清单与校验值.csv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11.7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A.7　赛题结果/（5 个文件）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赛题结果\result1.xlsx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8.5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赛题结果\result2.xlsx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413.3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赛题结果\result3.xlsx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781.9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赛题结果\result4-2.xlsx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495.4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赛题结果\result4-3.xlsx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748.2 KB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sz w:val="27"/>
        </w:rPr>
        <w:t>A.8　根目录文件（2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工具使用详情.pdf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182.8 KB</w:t>
            </w:r>
          </w:p>
        </w:tc>
      </w:tr>
      <w:tr>
        <w:tc>
          <w:tcPr>
            <w:tcW w:type="dxa" w:w="794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README_支撑材料目录.md</w:t>
            </w:r>
          </w:p>
        </w:tc>
        <w:tc>
          <w:tcPr>
            <w:tcW w:type="dxa" w:w="1701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3.1 KB</w:t>
            </w:r>
          </w:p>
        </w:tc>
      </w:tr>
    </w:tbl>
    <w:p/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附录A_支撑材料文件列表</dc:title>
  <dc:subject/>
  <dc:creator>Alwayshere-su</dc:creator>
  <cp:keywords/>
  <cp:lastModifiedBy>Alwayshere-su</cp:lastModifiedBy>
  <cp:revision>1</cp:revision>
  <dcterms:created xsi:type="dcterms:W3CDTF">2013-12-23T23:15:00Z</dcterms:created>
  <dcterms:modified xsi:type="dcterms:W3CDTF">2013-12-23T23:15:00Z</dcterms:modified>
  <cp:category/>
</cp:coreProperties>
</file>