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jc w:val="center"/>
      </w:pPr>
      <w:r>
        <w:rPr>
          <w:color w:val="000000"/>
          <w:sz w:val="32"/>
          <w:szCs w:val="32"/>
          <w:b/>
        </w:rPr>
        <w:t>Response to Reviewer</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0"/>
          <w:szCs w:val="20"/>
        </w:rPr>
        <w:t>Dear Editor and Reviewer,</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0"/>
          <w:szCs w:val="20"/>
        </w:rPr>
        <w:t>We thank the reviewer for the careful evaluation of our manuscript and for the constructive suggestions concerning state compression, machine-load encoding, recurrent memory, and reward design. We revised the manuscript to clarify the existing feature representation, the internal gating mechanism of the GRU, and the dense lower-bound reward. We also added Appendix A, which provides the complete definitions and normalization procedures for the features used by the final model.</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0"/>
          <w:szCs w:val="20"/>
        </w:rPr>
        <w:t>To determine whether the suggested extensions should be incorporated, we implemented four controlled diagnostic variants. All variants were generated from the same B0 code state, trained on SD3 instances with 10 jobs and 5 machines for 1,000 updates, and evaluated on 130 public instances using stochastic beam search with width 10. These experiments were conducted in the same CPU environment for direct comparison. The revision-experiment B0 is a frozen comparison reference for these diagnostic variants and does not replace the results already reported in the main experimental section. None of the variants met the predefined retention criteria, so the final architecture remains unchanged. The diagnostic evidence is reported in this response rather than inserted into the main experimental narrative.</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4"/>
          <w:szCs w:val="24"/>
          <w:b/>
        </w:rPr>
        <w:t>Summary of diagnostic results</w:t>
      </w:r>
    </w:p>
    <w:tbl>
      <w:tblPr>
        <w:tblStyle w:val="TableGrid"/>
        <w:tblW w:w="86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100"/>
        <w:gridCol w:w="1300"/>
        <w:gridCol w:w="1100"/>
        <w:gridCol w:w="1100"/>
        <w:gridCol w:w="1100"/>
        <w:gridCol w:w="1900"/>
      </w:tblGrid>
      <w:tr>
        <w:trPr>
          <w:tblHeader/>
        </w:trPr>
        <w:tc>
          <w:tcPr>
            <w:tcW w:w="2100" w:type="dxa"/>
            <w:shd w:fill="EDEDED"/>
            <w:tcMar>
              <w:top w:w="90" w:type="dxa"/>
              <w:left w:w="90" w:type="dxa"/>
              <w:bottom w:w="90" w:type="dxa"/>
              <w:right w:w="90" w:type="dxa"/>
            </w:tcMar>
          </w:tcPr>
          <w:p>
            <w:r>
              <w:rPr>
                <w:color w:val="000000"/>
                <w:sz w:val="16"/>
                <w:szCs w:val="16"/>
                <w:b/>
              </w:rPr>
              <w:t>Configuration</w:t>
            </w:r>
          </w:p>
        </w:tc>
        <w:tc>
          <w:tcPr>
            <w:tcW w:w="1300" w:type="dxa"/>
            <w:shd w:fill="EDEDED"/>
            <w:tcMar>
              <w:top w:w="90" w:type="dxa"/>
              <w:left w:w="90" w:type="dxa"/>
              <w:bottom w:w="90" w:type="dxa"/>
              <w:right w:w="90" w:type="dxa"/>
            </w:tcMar>
          </w:tcPr>
          <w:p>
            <w:r>
              <w:rPr>
                <w:color w:val="000000"/>
                <w:sz w:val="16"/>
                <w:szCs w:val="16"/>
                <w:b/>
              </w:rPr>
              <w:t>Brandimarte</w:t>
            </w:r>
          </w:p>
        </w:tc>
        <w:tc>
          <w:tcPr>
            <w:tcW w:w="1100" w:type="dxa"/>
            <w:shd w:fill="EDEDED"/>
            <w:tcMar>
              <w:top w:w="90" w:type="dxa"/>
              <w:left w:w="90" w:type="dxa"/>
              <w:bottom w:w="90" w:type="dxa"/>
              <w:right w:w="90" w:type="dxa"/>
            </w:tcMar>
          </w:tcPr>
          <w:p>
            <w:r>
              <w:rPr>
                <w:color w:val="000000"/>
                <w:sz w:val="16"/>
                <w:szCs w:val="16"/>
                <w:b/>
              </w:rPr>
              <w:t>edata</w:t>
            </w:r>
          </w:p>
        </w:tc>
        <w:tc>
          <w:tcPr>
            <w:tcW w:w="1100" w:type="dxa"/>
            <w:shd w:fill="EDEDED"/>
            <w:tcMar>
              <w:top w:w="90" w:type="dxa"/>
              <w:left w:w="90" w:type="dxa"/>
              <w:bottom w:w="90" w:type="dxa"/>
              <w:right w:w="90" w:type="dxa"/>
            </w:tcMar>
          </w:tcPr>
          <w:p>
            <w:r>
              <w:rPr>
                <w:color w:val="000000"/>
                <w:sz w:val="16"/>
                <w:szCs w:val="16"/>
                <w:b/>
              </w:rPr>
              <w:t>rdata</w:t>
            </w:r>
          </w:p>
        </w:tc>
        <w:tc>
          <w:tcPr>
            <w:tcW w:w="1100" w:type="dxa"/>
            <w:shd w:fill="EDEDED"/>
            <w:tcMar>
              <w:top w:w="90" w:type="dxa"/>
              <w:left w:w="90" w:type="dxa"/>
              <w:bottom w:w="90" w:type="dxa"/>
              <w:right w:w="90" w:type="dxa"/>
            </w:tcMar>
          </w:tcPr>
          <w:p>
            <w:r>
              <w:rPr>
                <w:color w:val="000000"/>
                <w:sz w:val="16"/>
                <w:szCs w:val="16"/>
                <w:b/>
              </w:rPr>
              <w:t>vdata</w:t>
            </w:r>
          </w:p>
        </w:tc>
        <w:tc>
          <w:tcPr>
            <w:tcW w:w="1900" w:type="dxa"/>
            <w:shd w:fill="EDEDED"/>
            <w:tcMar>
              <w:top w:w="90" w:type="dxa"/>
              <w:left w:w="90" w:type="dxa"/>
              <w:bottom w:w="90" w:type="dxa"/>
              <w:right w:w="90" w:type="dxa"/>
            </w:tcMar>
          </w:tcPr>
          <w:p>
            <w:r>
              <w:rPr>
                <w:color w:val="000000"/>
                <w:sz w:val="16"/>
                <w:szCs w:val="16"/>
                <w:b/>
              </w:rPr>
              <w:t>Decision</w:t>
            </w:r>
          </w:p>
        </w:tc>
      </w:tr>
      <w:tr>
        <w:tc>
          <w:tcPr>
            <w:tcW w:w="2100" w:type="dxa"/>
            <w:tcMar>
              <w:top w:w="90" w:type="dxa"/>
              <w:left w:w="90" w:type="dxa"/>
              <w:bottom w:w="90" w:type="dxa"/>
              <w:right w:w="90" w:type="dxa"/>
            </w:tcMar>
          </w:tcPr>
          <w:p>
            <w:r>
              <w:rPr>
                <w:color w:val="000000"/>
                <w:sz w:val="16"/>
                <w:szCs w:val="16"/>
              </w:rPr>
              <w:t>B0</w:t>
            </w:r>
          </w:p>
        </w:tc>
        <w:tc>
          <w:tcPr>
            <w:tcW w:w="1300" w:type="dxa"/>
            <w:tcMar>
              <w:top w:w="90" w:type="dxa"/>
              <w:left w:w="90" w:type="dxa"/>
              <w:bottom w:w="90" w:type="dxa"/>
              <w:right w:w="90" w:type="dxa"/>
            </w:tcMar>
          </w:tcPr>
          <w:p>
            <w:r>
              <w:rPr>
                <w:color w:val="000000"/>
                <w:sz w:val="16"/>
                <w:szCs w:val="16"/>
              </w:rPr>
              <w:t>21.70</w:t>
            </w:r>
          </w:p>
        </w:tc>
        <w:tc>
          <w:tcPr>
            <w:tcW w:w="1100" w:type="dxa"/>
            <w:tcMar>
              <w:top w:w="90" w:type="dxa"/>
              <w:left w:w="90" w:type="dxa"/>
              <w:bottom w:w="90" w:type="dxa"/>
              <w:right w:w="90" w:type="dxa"/>
            </w:tcMar>
          </w:tcPr>
          <w:p>
            <w:r>
              <w:rPr>
                <w:color w:val="000000"/>
                <w:sz w:val="16"/>
                <w:szCs w:val="16"/>
              </w:rPr>
              <w:t>13.44</w:t>
            </w:r>
          </w:p>
        </w:tc>
        <w:tc>
          <w:tcPr>
            <w:tcW w:w="1100" w:type="dxa"/>
            <w:tcMar>
              <w:top w:w="90" w:type="dxa"/>
              <w:left w:w="90" w:type="dxa"/>
              <w:bottom w:w="90" w:type="dxa"/>
              <w:right w:w="90" w:type="dxa"/>
            </w:tcMar>
          </w:tcPr>
          <w:p>
            <w:r>
              <w:rPr>
                <w:color w:val="000000"/>
                <w:sz w:val="16"/>
                <w:szCs w:val="16"/>
              </w:rPr>
              <w:t>8.80</w:t>
            </w:r>
          </w:p>
        </w:tc>
        <w:tc>
          <w:tcPr>
            <w:tcW w:w="1100" w:type="dxa"/>
            <w:tcMar>
              <w:top w:w="90" w:type="dxa"/>
              <w:left w:w="90" w:type="dxa"/>
              <w:bottom w:w="90" w:type="dxa"/>
              <w:right w:w="90" w:type="dxa"/>
            </w:tcMar>
          </w:tcPr>
          <w:p>
            <w:r>
              <w:rPr>
                <w:color w:val="000000"/>
                <w:sz w:val="16"/>
                <w:szCs w:val="16"/>
              </w:rPr>
              <w:t>3.51</w:t>
            </w:r>
          </w:p>
        </w:tc>
        <w:tc>
          <w:tcPr>
            <w:tcW w:w="1900" w:type="dxa"/>
            <w:tcMar>
              <w:top w:w="90" w:type="dxa"/>
              <w:left w:w="90" w:type="dxa"/>
              <w:bottom w:w="90" w:type="dxa"/>
              <w:right w:w="90" w:type="dxa"/>
            </w:tcMar>
          </w:tcPr>
          <w:p>
            <w:r>
              <w:rPr>
                <w:color w:val="000000"/>
                <w:sz w:val="16"/>
                <w:szCs w:val="16"/>
              </w:rPr>
              <w:t>Retained</w:t>
            </w:r>
          </w:p>
        </w:tc>
      </w:tr>
      <w:tr>
        <w:tc>
          <w:tcPr>
            <w:tcW w:w="2100" w:type="dxa"/>
            <w:tcMar>
              <w:top w:w="90" w:type="dxa"/>
              <w:left w:w="90" w:type="dxa"/>
              <w:bottom w:w="90" w:type="dxa"/>
              <w:right w:w="90" w:type="dxa"/>
            </w:tcMar>
          </w:tcPr>
          <w:p>
            <w:r>
              <w:rPr>
                <w:color w:val="000000"/>
                <w:sz w:val="16"/>
                <w:szCs w:val="16"/>
              </w:rPr>
              <w:t>B0+Q (seed 300)</w:t>
            </w:r>
          </w:p>
        </w:tc>
        <w:tc>
          <w:tcPr>
            <w:tcW w:w="1300" w:type="dxa"/>
            <w:tcMar>
              <w:top w:w="90" w:type="dxa"/>
              <w:left w:w="90" w:type="dxa"/>
              <w:bottom w:w="90" w:type="dxa"/>
              <w:right w:w="90" w:type="dxa"/>
            </w:tcMar>
          </w:tcPr>
          <w:p>
            <w:r>
              <w:rPr>
                <w:color w:val="000000"/>
                <w:sz w:val="16"/>
                <w:szCs w:val="16"/>
              </w:rPr>
              <w:t>20.88</w:t>
            </w:r>
          </w:p>
        </w:tc>
        <w:tc>
          <w:tcPr>
            <w:tcW w:w="1100" w:type="dxa"/>
            <w:tcMar>
              <w:top w:w="90" w:type="dxa"/>
              <w:left w:w="90" w:type="dxa"/>
              <w:bottom w:w="90" w:type="dxa"/>
              <w:right w:w="90" w:type="dxa"/>
            </w:tcMar>
          </w:tcPr>
          <w:p>
            <w:r>
              <w:rPr>
                <w:color w:val="000000"/>
                <w:sz w:val="16"/>
                <w:szCs w:val="16"/>
              </w:rPr>
              <w:t>15.32</w:t>
            </w:r>
          </w:p>
        </w:tc>
        <w:tc>
          <w:tcPr>
            <w:tcW w:w="1100" w:type="dxa"/>
            <w:tcMar>
              <w:top w:w="90" w:type="dxa"/>
              <w:left w:w="90" w:type="dxa"/>
              <w:bottom w:w="90" w:type="dxa"/>
              <w:right w:w="90" w:type="dxa"/>
            </w:tcMar>
          </w:tcPr>
          <w:p>
            <w:r>
              <w:rPr>
                <w:color w:val="000000"/>
                <w:sz w:val="16"/>
                <w:szCs w:val="16"/>
              </w:rPr>
              <w:t>8.36</w:t>
            </w:r>
          </w:p>
        </w:tc>
        <w:tc>
          <w:tcPr>
            <w:tcW w:w="1100" w:type="dxa"/>
            <w:tcMar>
              <w:top w:w="90" w:type="dxa"/>
              <w:left w:w="90" w:type="dxa"/>
              <w:bottom w:w="90" w:type="dxa"/>
              <w:right w:w="90" w:type="dxa"/>
            </w:tcMar>
          </w:tcPr>
          <w:p>
            <w:r>
              <w:rPr>
                <w:color w:val="000000"/>
                <w:sz w:val="16"/>
                <w:szCs w:val="16"/>
              </w:rPr>
              <w:t>4.64</w:t>
            </w:r>
          </w:p>
        </w:tc>
        <w:tc>
          <w:tcPr>
            <w:tcW w:w="1900" w:type="dxa"/>
            <w:tcMar>
              <w:top w:w="90" w:type="dxa"/>
              <w:left w:w="90" w:type="dxa"/>
              <w:bottom w:w="90" w:type="dxa"/>
              <w:right w:w="90" w:type="dxa"/>
            </w:tcMar>
          </w:tcPr>
          <w:p>
            <w:r>
              <w:rPr>
                <w:color w:val="000000"/>
                <w:sz w:val="16"/>
                <w:szCs w:val="16"/>
              </w:rPr>
              <w:t>Not retained</w:t>
            </w:r>
          </w:p>
        </w:tc>
      </w:tr>
      <w:tr>
        <w:tc>
          <w:tcPr>
            <w:tcW w:w="2100" w:type="dxa"/>
            <w:tcMar>
              <w:top w:w="90" w:type="dxa"/>
              <w:left w:w="90" w:type="dxa"/>
              <w:bottom w:w="90" w:type="dxa"/>
              <w:right w:w="90" w:type="dxa"/>
            </w:tcMar>
          </w:tcPr>
          <w:p>
            <w:r>
              <w:rPr>
                <w:color w:val="000000"/>
                <w:sz w:val="16"/>
                <w:szCs w:val="16"/>
              </w:rPr>
              <w:t>B0+L (seed 300)</w:t>
            </w:r>
          </w:p>
        </w:tc>
        <w:tc>
          <w:tcPr>
            <w:tcW w:w="1300" w:type="dxa"/>
            <w:tcMar>
              <w:top w:w="90" w:type="dxa"/>
              <w:left w:w="90" w:type="dxa"/>
              <w:bottom w:w="90" w:type="dxa"/>
              <w:right w:w="90" w:type="dxa"/>
            </w:tcMar>
          </w:tcPr>
          <w:p>
            <w:r>
              <w:rPr>
                <w:color w:val="000000"/>
                <w:sz w:val="16"/>
                <w:szCs w:val="16"/>
              </w:rPr>
              <w:t>28.42</w:t>
            </w:r>
          </w:p>
        </w:tc>
        <w:tc>
          <w:tcPr>
            <w:tcW w:w="1100" w:type="dxa"/>
            <w:tcMar>
              <w:top w:w="90" w:type="dxa"/>
              <w:left w:w="90" w:type="dxa"/>
              <w:bottom w:w="90" w:type="dxa"/>
              <w:right w:w="90" w:type="dxa"/>
            </w:tcMar>
          </w:tcPr>
          <w:p>
            <w:r>
              <w:rPr>
                <w:color w:val="000000"/>
                <w:sz w:val="16"/>
                <w:szCs w:val="16"/>
              </w:rPr>
              <w:t>17.87</w:t>
            </w:r>
          </w:p>
        </w:tc>
        <w:tc>
          <w:tcPr>
            <w:tcW w:w="1100" w:type="dxa"/>
            <w:tcMar>
              <w:top w:w="90" w:type="dxa"/>
              <w:left w:w="90" w:type="dxa"/>
              <w:bottom w:w="90" w:type="dxa"/>
              <w:right w:w="90" w:type="dxa"/>
            </w:tcMar>
          </w:tcPr>
          <w:p>
            <w:r>
              <w:rPr>
                <w:color w:val="000000"/>
                <w:sz w:val="16"/>
                <w:szCs w:val="16"/>
              </w:rPr>
              <w:t>11.84</w:t>
            </w:r>
          </w:p>
        </w:tc>
        <w:tc>
          <w:tcPr>
            <w:tcW w:w="1100" w:type="dxa"/>
            <w:tcMar>
              <w:top w:w="90" w:type="dxa"/>
              <w:left w:w="90" w:type="dxa"/>
              <w:bottom w:w="90" w:type="dxa"/>
              <w:right w:w="90" w:type="dxa"/>
            </w:tcMar>
          </w:tcPr>
          <w:p>
            <w:r>
              <w:rPr>
                <w:color w:val="000000"/>
                <w:sz w:val="16"/>
                <w:szCs w:val="16"/>
              </w:rPr>
              <w:t>10.23</w:t>
            </w:r>
          </w:p>
        </w:tc>
        <w:tc>
          <w:tcPr>
            <w:tcW w:w="1900" w:type="dxa"/>
            <w:tcMar>
              <w:top w:w="90" w:type="dxa"/>
              <w:left w:w="90" w:type="dxa"/>
              <w:bottom w:w="90" w:type="dxa"/>
              <w:right w:w="90" w:type="dxa"/>
            </w:tcMar>
          </w:tcPr>
          <w:p>
            <w:r>
              <w:rPr>
                <w:color w:val="000000"/>
                <w:sz w:val="16"/>
                <w:szCs w:val="16"/>
              </w:rPr>
              <w:t>Not retained</w:t>
            </w:r>
          </w:p>
        </w:tc>
      </w:tr>
      <w:tr>
        <w:tc>
          <w:tcPr>
            <w:tcW w:w="2100" w:type="dxa"/>
            <w:tcMar>
              <w:top w:w="90" w:type="dxa"/>
              <w:left w:w="90" w:type="dxa"/>
              <w:bottom w:w="90" w:type="dxa"/>
              <w:right w:w="90" w:type="dxa"/>
            </w:tcMar>
          </w:tcPr>
          <w:p>
            <w:r>
              <w:rPr>
                <w:color w:val="000000"/>
                <w:sz w:val="16"/>
                <w:szCs w:val="16"/>
              </w:rPr>
              <w:t>B0+G (seed 300)</w:t>
            </w:r>
          </w:p>
        </w:tc>
        <w:tc>
          <w:tcPr>
            <w:tcW w:w="1300" w:type="dxa"/>
            <w:tcMar>
              <w:top w:w="90" w:type="dxa"/>
              <w:left w:w="90" w:type="dxa"/>
              <w:bottom w:w="90" w:type="dxa"/>
              <w:right w:w="90" w:type="dxa"/>
            </w:tcMar>
          </w:tcPr>
          <w:p>
            <w:r>
              <w:rPr>
                <w:color w:val="000000"/>
                <w:sz w:val="16"/>
                <w:szCs w:val="16"/>
              </w:rPr>
              <w:t>20.89</w:t>
            </w:r>
          </w:p>
        </w:tc>
        <w:tc>
          <w:tcPr>
            <w:tcW w:w="1100" w:type="dxa"/>
            <w:tcMar>
              <w:top w:w="90" w:type="dxa"/>
              <w:left w:w="90" w:type="dxa"/>
              <w:bottom w:w="90" w:type="dxa"/>
              <w:right w:w="90" w:type="dxa"/>
            </w:tcMar>
          </w:tcPr>
          <w:p>
            <w:r>
              <w:rPr>
                <w:color w:val="000000"/>
                <w:sz w:val="16"/>
                <w:szCs w:val="16"/>
              </w:rPr>
              <w:t>15.40</w:t>
            </w:r>
          </w:p>
        </w:tc>
        <w:tc>
          <w:tcPr>
            <w:tcW w:w="1100" w:type="dxa"/>
            <w:tcMar>
              <w:top w:w="90" w:type="dxa"/>
              <w:left w:w="90" w:type="dxa"/>
              <w:bottom w:w="90" w:type="dxa"/>
              <w:right w:w="90" w:type="dxa"/>
            </w:tcMar>
          </w:tcPr>
          <w:p>
            <w:r>
              <w:rPr>
                <w:color w:val="000000"/>
                <w:sz w:val="16"/>
                <w:szCs w:val="16"/>
              </w:rPr>
              <w:t>9.75</w:t>
            </w:r>
          </w:p>
        </w:tc>
        <w:tc>
          <w:tcPr>
            <w:tcW w:w="1100" w:type="dxa"/>
            <w:tcMar>
              <w:top w:w="90" w:type="dxa"/>
              <w:left w:w="90" w:type="dxa"/>
              <w:bottom w:w="90" w:type="dxa"/>
              <w:right w:w="90" w:type="dxa"/>
            </w:tcMar>
          </w:tcPr>
          <w:p>
            <w:r>
              <w:rPr>
                <w:color w:val="000000"/>
                <w:sz w:val="16"/>
                <w:szCs w:val="16"/>
              </w:rPr>
              <w:t>3.80</w:t>
            </w:r>
          </w:p>
        </w:tc>
        <w:tc>
          <w:tcPr>
            <w:tcW w:w="1900" w:type="dxa"/>
            <w:tcMar>
              <w:top w:w="90" w:type="dxa"/>
              <w:left w:w="90" w:type="dxa"/>
              <w:bottom w:w="90" w:type="dxa"/>
              <w:right w:w="90" w:type="dxa"/>
            </w:tcMar>
          </w:tcPr>
          <w:p>
            <w:r>
              <w:rPr>
                <w:color w:val="000000"/>
                <w:sz w:val="16"/>
                <w:szCs w:val="16"/>
              </w:rPr>
              <w:t>Not retained</w:t>
            </w:r>
          </w:p>
        </w:tc>
      </w:tr>
      <w:tr>
        <w:tc>
          <w:tcPr>
            <w:tcW w:w="2100" w:type="dxa"/>
            <w:tcMar>
              <w:top w:w="90" w:type="dxa"/>
              <w:left w:w="90" w:type="dxa"/>
              <w:bottom w:w="90" w:type="dxa"/>
              <w:right w:w="90" w:type="dxa"/>
            </w:tcMar>
          </w:tcPr>
          <w:p>
            <w:r>
              <w:rPr>
                <w:color w:val="000000"/>
                <w:sz w:val="16"/>
                <w:szCs w:val="16"/>
              </w:rPr>
              <w:t>B0+R (seed 300)</w:t>
            </w:r>
          </w:p>
        </w:tc>
        <w:tc>
          <w:tcPr>
            <w:tcW w:w="1300" w:type="dxa"/>
            <w:tcMar>
              <w:top w:w="90" w:type="dxa"/>
              <w:left w:w="90" w:type="dxa"/>
              <w:bottom w:w="90" w:type="dxa"/>
              <w:right w:w="90" w:type="dxa"/>
            </w:tcMar>
          </w:tcPr>
          <w:p>
            <w:r>
              <w:rPr>
                <w:color w:val="000000"/>
                <w:sz w:val="16"/>
                <w:szCs w:val="16"/>
              </w:rPr>
              <w:t>23.19</w:t>
            </w:r>
          </w:p>
        </w:tc>
        <w:tc>
          <w:tcPr>
            <w:tcW w:w="1100" w:type="dxa"/>
            <w:tcMar>
              <w:top w:w="90" w:type="dxa"/>
              <w:left w:w="90" w:type="dxa"/>
              <w:bottom w:w="90" w:type="dxa"/>
              <w:right w:w="90" w:type="dxa"/>
            </w:tcMar>
          </w:tcPr>
          <w:p>
            <w:r>
              <w:rPr>
                <w:color w:val="000000"/>
                <w:sz w:val="16"/>
                <w:szCs w:val="16"/>
              </w:rPr>
              <w:t>19.95</w:t>
            </w:r>
          </w:p>
        </w:tc>
        <w:tc>
          <w:tcPr>
            <w:tcW w:w="1100" w:type="dxa"/>
            <w:tcMar>
              <w:top w:w="90" w:type="dxa"/>
              <w:left w:w="90" w:type="dxa"/>
              <w:bottom w:w="90" w:type="dxa"/>
              <w:right w:w="90" w:type="dxa"/>
            </w:tcMar>
          </w:tcPr>
          <w:p>
            <w:r>
              <w:rPr>
                <w:color w:val="000000"/>
                <w:sz w:val="16"/>
                <w:szCs w:val="16"/>
              </w:rPr>
              <w:t>12.50</w:t>
            </w:r>
          </w:p>
        </w:tc>
        <w:tc>
          <w:tcPr>
            <w:tcW w:w="1100" w:type="dxa"/>
            <w:tcMar>
              <w:top w:w="90" w:type="dxa"/>
              <w:left w:w="90" w:type="dxa"/>
              <w:bottom w:w="90" w:type="dxa"/>
              <w:right w:w="90" w:type="dxa"/>
            </w:tcMar>
          </w:tcPr>
          <w:p>
            <w:r>
              <w:rPr>
                <w:color w:val="000000"/>
                <w:sz w:val="16"/>
                <w:szCs w:val="16"/>
              </w:rPr>
              <w:t>4.93</w:t>
            </w:r>
          </w:p>
        </w:tc>
        <w:tc>
          <w:tcPr>
            <w:tcW w:w="1900" w:type="dxa"/>
            <w:tcMar>
              <w:top w:w="90" w:type="dxa"/>
              <w:left w:w="90" w:type="dxa"/>
              <w:bottom w:w="90" w:type="dxa"/>
              <w:right w:w="90" w:type="dxa"/>
            </w:tcMar>
          </w:tcPr>
          <w:p>
            <w:r>
              <w:rPr>
                <w:color w:val="000000"/>
                <w:sz w:val="16"/>
                <w:szCs w:val="16"/>
              </w:rPr>
              <w:t>Not retained</w:t>
            </w:r>
          </w:p>
        </w:tc>
      </w:tr>
    </w:tbl>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7"/>
          <w:szCs w:val="17"/>
          <w:i/>
        </w:rPr>
        <w:t>Values are mean Gaps (%); lower values indicate better performance. The seed-300 paired Brandimarte comparisons do not show a statistically significant improvement after Holm correction.</w:t>
      </w:r>
    </w:p>
    <w:tbl>
      <w:tblPr>
        <w:tblStyle w:val="TableGrid"/>
        <w:tblW w:w="9000" w:type="dxa"/>
        <w:tblBorders>
          <w:top w:val="single" w:sz="4" w:color="B7B7B7"/>
          <w:left w:val="single" w:sz="4" w:color="B7B7B7"/>
          <w:bottom w:val="single" w:sz="4" w:color="B7B7B7"/>
          <w:right w:val="single" w:sz="4" w:color="B7B7B7"/>
          <w:insideH w:val="single" w:sz="4" w:color="B7B7B7"/>
          <w:insideV w:val="single" w:sz="4" w:color="B7B7B7"/>
        </w:tblBorders>
      </w:tblPr>
      <w:tblGrid>
        <w:gridCol w:w="2200"/>
        <w:gridCol w:w="1500"/>
        <w:gridCol w:w="1500"/>
        <w:gridCol w:w="1500"/>
        <w:gridCol w:w="2300"/>
      </w:tblGrid>
      <w:tr>
        <w:trPr>
          <w:tblHeader/>
        </w:trPr>
        <w:tc>
          <w:tcPr>
            <w:tcW w:w="2200" w:type="dxa"/>
            <w:shd w:fill="EDEDED"/>
            <w:tcMar>
              <w:top w:w="90" w:type="dxa"/>
              <w:left w:w="90" w:type="dxa"/>
              <w:bottom w:w="90" w:type="dxa"/>
              <w:right w:w="90" w:type="dxa"/>
            </w:tcMar>
          </w:tcPr>
          <w:p>
            <w:r>
              <w:rPr>
                <w:color w:val="000000"/>
                <w:sz w:val="16"/>
                <w:szCs w:val="16"/>
                <w:b/>
              </w:rPr>
              <w:t>Configuration</w:t>
            </w:r>
          </w:p>
        </w:tc>
        <w:tc>
          <w:tcPr>
            <w:tcW w:w="1500" w:type="dxa"/>
            <w:shd w:fill="EDEDED"/>
            <w:tcMar>
              <w:top w:w="90" w:type="dxa"/>
              <w:left w:w="90" w:type="dxa"/>
              <w:bottom w:w="90" w:type="dxa"/>
              <w:right w:w="90" w:type="dxa"/>
            </w:tcMar>
          </w:tcPr>
          <w:p>
            <w:r>
              <w:rPr>
                <w:color w:val="000000"/>
                <w:sz w:val="16"/>
                <w:szCs w:val="16"/>
                <w:b/>
              </w:rPr>
              <w:t>Seed 300</w:t>
            </w:r>
          </w:p>
        </w:tc>
        <w:tc>
          <w:tcPr>
            <w:tcW w:w="1500" w:type="dxa"/>
            <w:shd w:fill="EDEDED"/>
            <w:tcMar>
              <w:top w:w="90" w:type="dxa"/>
              <w:left w:w="90" w:type="dxa"/>
              <w:bottom w:w="90" w:type="dxa"/>
              <w:right w:w="90" w:type="dxa"/>
            </w:tcMar>
          </w:tcPr>
          <w:p>
            <w:r>
              <w:rPr>
                <w:color w:val="000000"/>
                <w:sz w:val="16"/>
                <w:szCs w:val="16"/>
                <w:b/>
              </w:rPr>
              <w:t>Seed 301</w:t>
            </w:r>
          </w:p>
        </w:tc>
        <w:tc>
          <w:tcPr>
            <w:tcW w:w="1500" w:type="dxa"/>
            <w:shd w:fill="EDEDED"/>
            <w:tcMar>
              <w:top w:w="90" w:type="dxa"/>
              <w:left w:w="90" w:type="dxa"/>
              <w:bottom w:w="90" w:type="dxa"/>
              <w:right w:w="90" w:type="dxa"/>
            </w:tcMar>
          </w:tcPr>
          <w:p>
            <w:r>
              <w:rPr>
                <w:color w:val="000000"/>
                <w:sz w:val="16"/>
                <w:szCs w:val="16"/>
                <w:b/>
              </w:rPr>
              <w:t>Seed 302</w:t>
            </w:r>
          </w:p>
        </w:tc>
        <w:tc>
          <w:tcPr>
            <w:tcW w:w="2300" w:type="dxa"/>
            <w:shd w:fill="EDEDED"/>
            <w:tcMar>
              <w:top w:w="90" w:type="dxa"/>
              <w:left w:w="90" w:type="dxa"/>
              <w:bottom w:w="90" w:type="dxa"/>
              <w:right w:w="90" w:type="dxa"/>
            </w:tcMar>
          </w:tcPr>
          <w:p>
            <w:r>
              <w:rPr>
                <w:color w:val="000000"/>
                <w:sz w:val="16"/>
                <w:szCs w:val="16"/>
                <w:b/>
              </w:rPr>
              <w:t>Three-seed mean</w:t>
            </w:r>
          </w:p>
        </w:tc>
      </w:tr>
      <w:tr>
        <w:tc>
          <w:tcPr>
            <w:tcW w:w="2200" w:type="dxa"/>
            <w:tcMar>
              <w:top w:w="90" w:type="dxa"/>
              <w:left w:w="90" w:type="dxa"/>
              <w:bottom w:w="90" w:type="dxa"/>
              <w:right w:w="90" w:type="dxa"/>
            </w:tcMar>
          </w:tcPr>
          <w:p>
            <w:r>
              <w:rPr>
                <w:color w:val="000000"/>
                <w:sz w:val="16"/>
                <w:szCs w:val="16"/>
              </w:rPr>
              <w:t>B0+Q</w:t>
            </w:r>
          </w:p>
        </w:tc>
        <w:tc>
          <w:tcPr>
            <w:tcW w:w="1500" w:type="dxa"/>
            <w:tcMar>
              <w:top w:w="90" w:type="dxa"/>
              <w:left w:w="90" w:type="dxa"/>
              <w:bottom w:w="90" w:type="dxa"/>
              <w:right w:w="90" w:type="dxa"/>
            </w:tcMar>
          </w:tcPr>
          <w:p>
            <w:r>
              <w:rPr>
                <w:color w:val="000000"/>
                <w:sz w:val="16"/>
                <w:szCs w:val="16"/>
              </w:rPr>
              <w:t>20.88</w:t>
            </w:r>
          </w:p>
        </w:tc>
        <w:tc>
          <w:tcPr>
            <w:tcW w:w="1500" w:type="dxa"/>
            <w:tcMar>
              <w:top w:w="90" w:type="dxa"/>
              <w:left w:w="90" w:type="dxa"/>
              <w:bottom w:w="90" w:type="dxa"/>
              <w:right w:w="90" w:type="dxa"/>
            </w:tcMar>
          </w:tcPr>
          <w:p>
            <w:r>
              <w:rPr>
                <w:color w:val="000000"/>
                <w:sz w:val="16"/>
                <w:szCs w:val="16"/>
              </w:rPr>
              <w:t>23.05</w:t>
            </w:r>
          </w:p>
        </w:tc>
        <w:tc>
          <w:tcPr>
            <w:tcW w:w="1500" w:type="dxa"/>
            <w:tcMar>
              <w:top w:w="90" w:type="dxa"/>
              <w:left w:w="90" w:type="dxa"/>
              <w:bottom w:w="90" w:type="dxa"/>
              <w:right w:w="90" w:type="dxa"/>
            </w:tcMar>
          </w:tcPr>
          <w:p>
            <w:r>
              <w:rPr>
                <w:color w:val="000000"/>
                <w:sz w:val="16"/>
                <w:szCs w:val="16"/>
              </w:rPr>
              <w:t>27.64</w:t>
            </w:r>
          </w:p>
        </w:tc>
        <w:tc>
          <w:tcPr>
            <w:tcW w:w="2300" w:type="dxa"/>
            <w:tcMar>
              <w:top w:w="90" w:type="dxa"/>
              <w:left w:w="90" w:type="dxa"/>
              <w:bottom w:w="90" w:type="dxa"/>
              <w:right w:w="90" w:type="dxa"/>
            </w:tcMar>
          </w:tcPr>
          <w:p>
            <w:r>
              <w:rPr>
                <w:color w:val="000000"/>
                <w:sz w:val="16"/>
                <w:szCs w:val="16"/>
              </w:rPr>
              <w:t>23.86</w:t>
            </w:r>
          </w:p>
        </w:tc>
      </w:tr>
      <w:tr>
        <w:tc>
          <w:tcPr>
            <w:tcW w:w="2200" w:type="dxa"/>
            <w:tcMar>
              <w:top w:w="90" w:type="dxa"/>
              <w:left w:w="90" w:type="dxa"/>
              <w:bottom w:w="90" w:type="dxa"/>
              <w:right w:w="90" w:type="dxa"/>
            </w:tcMar>
          </w:tcPr>
          <w:p>
            <w:r>
              <w:rPr>
                <w:color w:val="000000"/>
                <w:sz w:val="16"/>
                <w:szCs w:val="16"/>
              </w:rPr>
              <w:t>B0+G</w:t>
            </w:r>
          </w:p>
        </w:tc>
        <w:tc>
          <w:tcPr>
            <w:tcW w:w="1500" w:type="dxa"/>
            <w:tcMar>
              <w:top w:w="90" w:type="dxa"/>
              <w:left w:w="90" w:type="dxa"/>
              <w:bottom w:w="90" w:type="dxa"/>
              <w:right w:w="90" w:type="dxa"/>
            </w:tcMar>
          </w:tcPr>
          <w:p>
            <w:r>
              <w:rPr>
                <w:color w:val="000000"/>
                <w:sz w:val="16"/>
                <w:szCs w:val="16"/>
              </w:rPr>
              <w:t>20.89</w:t>
            </w:r>
          </w:p>
        </w:tc>
        <w:tc>
          <w:tcPr>
            <w:tcW w:w="1500" w:type="dxa"/>
            <w:tcMar>
              <w:top w:w="90" w:type="dxa"/>
              <w:left w:w="90" w:type="dxa"/>
              <w:bottom w:w="90" w:type="dxa"/>
              <w:right w:w="90" w:type="dxa"/>
            </w:tcMar>
          </w:tcPr>
          <w:p>
            <w:r>
              <w:rPr>
                <w:color w:val="000000"/>
                <w:sz w:val="16"/>
                <w:szCs w:val="16"/>
              </w:rPr>
              <w:t>23.10</w:t>
            </w:r>
          </w:p>
        </w:tc>
        <w:tc>
          <w:tcPr>
            <w:tcW w:w="1500" w:type="dxa"/>
            <w:tcMar>
              <w:top w:w="90" w:type="dxa"/>
              <w:left w:w="90" w:type="dxa"/>
              <w:bottom w:w="90" w:type="dxa"/>
              <w:right w:w="90" w:type="dxa"/>
            </w:tcMar>
          </w:tcPr>
          <w:p>
            <w:r>
              <w:rPr>
                <w:color w:val="000000"/>
                <w:sz w:val="16"/>
                <w:szCs w:val="16"/>
              </w:rPr>
              <w:t>33.45</w:t>
            </w:r>
          </w:p>
        </w:tc>
        <w:tc>
          <w:tcPr>
            <w:tcW w:w="2300" w:type="dxa"/>
            <w:tcMar>
              <w:top w:w="90" w:type="dxa"/>
              <w:left w:w="90" w:type="dxa"/>
              <w:bottom w:w="90" w:type="dxa"/>
              <w:right w:w="90" w:type="dxa"/>
            </w:tcMar>
          </w:tcPr>
          <w:p>
            <w:r>
              <w:rPr>
                <w:color w:val="000000"/>
                <w:sz w:val="16"/>
                <w:szCs w:val="16"/>
              </w:rPr>
              <w:t>25.81</w:t>
            </w:r>
          </w:p>
        </w:tc>
      </w:tr>
    </w:tbl>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7"/>
          <w:szCs w:val="17"/>
          <w:i/>
        </w:rPr>
        <w:t>Additional seeds were used for B0+Q and B0+G because their seed-300 Brandimarte effects were close to the predefined one-percentage-point retention threshold.</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4"/>
          <w:szCs w:val="24"/>
          <w:b/>
        </w:rPr>
        <w:t>Point-by-point response</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2"/>
          <w:szCs w:val="22"/>
          <w:b/>
        </w:rPr>
        <w:t>Comment 1</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Reviewer comment: </w:t>
      </w:r>
      <w:r>
        <w:rPr>
          <w:color w:val="000000"/>
          <w:sz w:val="19"/>
          <w:szCs w:val="19"/>
        </w:rPr>
        <w:t>The current compact bipartite graph only retains one candidate operation for each job. It is recommended to add implicit encoding for suboptimal operations in the waiting queue (such as through gate aggregation mechanism) to avoid decision information loss due to excessive compression, especially in operation intensive Brandimarte instances.</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Response: </w:t>
      </w:r>
      <w:r>
        <w:rPr>
          <w:color w:val="000000"/>
          <w:sz w:val="19"/>
          <w:szCs w:val="19"/>
        </w:rPr>
        <w:t>We thank the reviewer for highlighting the possible information loss caused by retaining one schedulable operation per job. We agree that the original manuscript did not explain the retained information with sufficient precision. The current operation representation already includes the normalized number and expected workload of all remaining operations, although it does not explicitly preserve the distribution of the waiting operations. We have clarified this distinction in Section 3.1 and added the complete feature definitions in Appendix A.</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rPr>
        <w:t>To evaluate the suggested direction, we implemented B0+Q. This variant summarizes the waiting operations using their count ratio, workload ratio, mean flexibility, and mean normalized processing time. A learned gate fuses this summary with the retained-operation embedding. Under the fixed seed-300 protocol, B0+Q changes the Brandimarte mean Gap from 21.70% to 20.88%. This 0.83-percentage-point improvement is below the predefined 1-point retention threshold, while the edata and vdata Gaps increase from 13.44% to 15.32% and from 3.51% to 4.64%, respectively. Because the Brandimarte result is threshold-adjacent, we repeated B0+Q with seeds 301 and 302. The corresponding Brandimarte Gaps are 23.05% and 27.64%, producing a three-seed mean of 23.86%. The seed-300 improvement is therefore not reproducible. We retain the original representation and state this limitation explicitly rather than incorporating an unsupported architectural change. This result concerns the tested aggregation design and does not rule out other waiting-operation encoders.</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Changes in the manuscript: </w:t>
      </w:r>
      <w:r>
        <w:rPr>
          <w:color w:val="000000"/>
          <w:sz w:val="19"/>
          <w:szCs w:val="19"/>
        </w:rPr>
        <w:t>Section 3.1 and Appendix A. Final page and line numbers will be added after layout stabilization.</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Revised manuscript text:</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i/>
        </w:rPr>
        <w:t>The retained operation representation also summarizes the unscheduled suffix of each job through the normalized number of remaining operations and their expected workload. [...] These quantities provide compact progress and load information, but they do not preserve the full distribution of waiting operations or explicitly include assigned queue length. Appendix A gives the complete definitions and normalization procedures for all features used by the final model.</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2"/>
          <w:szCs w:val="22"/>
          <w:b/>
        </w:rPr>
        <w:t>Comment 2</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Reviewer comment: </w:t>
      </w:r>
      <w:r>
        <w:rPr>
          <w:color w:val="000000"/>
          <w:sz w:val="19"/>
          <w:szCs w:val="19"/>
        </w:rPr>
        <w:t>The current 6-dimensional paired features lack an explicit expression of the machine load balancing state. It is recommended to add normalized features of the current queue length and cumulative processing time of the machine, so that the attention mechanism can more accurately evaluate the global impact of operation machine matching.</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Response: </w:t>
      </w:r>
      <w:r>
        <w:rPr>
          <w:color w:val="000000"/>
          <w:sz w:val="19"/>
          <w:szCs w:val="19"/>
        </w:rPr>
        <w:t>We agree that queue length and cumulative processing load provide direct indicators of machine congestion. We implemented B0+L by broadcasting two normalized machine quantities to each feasible operation-machine pair: the number of assigned operations and the cumulative assigned processing load. These features enter the existing pair-feature MLP and pair-conditioned attention without changing the action space.</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rPr>
        <w:t>B0+L increases the Brandimarte mean Gap from 21.70% to 28.42%. It also increases the edata, rdata, and vdata Gaps from 13.44%, 8.80%, and 3.51% to 17.87%, 11.84%, and 10.23%, respectively. The tested features therefore do not satisfy the retention criteria and are not included in the final model. They may partly overlap with the existing machine-ready-time, expected-workload, accumulated-idle-time, and utilization features, although the experiment does not establish redundancy as a mechanism. We have revised Section 3.1 and Appendix A to make the existing load-related information and the boundary of the pair representation explicit.</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Changes in the manuscript: </w:t>
      </w:r>
      <w:r>
        <w:rPr>
          <w:color w:val="000000"/>
          <w:sz w:val="19"/>
          <w:szCs w:val="19"/>
        </w:rPr>
        <w:t>Section 3.1 and Appendix A. Final page and line numbers will be added after layout stabilization.</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Revised manuscript text:</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i/>
        </w:rPr>
        <w:t>The machine features describe current availability, expected workload, accumulated idle time, and utilization. These quantities provide compact progress and load information, but they do not preserve the full distribution of waiting operations or explicitly include assigned queue length.</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2"/>
          <w:szCs w:val="22"/>
          <w:b/>
        </w:rPr>
        <w:t>Comment 3</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Reviewer comment: </w:t>
      </w:r>
      <w:r>
        <w:rPr>
          <w:color w:val="000000"/>
          <w:sz w:val="19"/>
          <w:szCs w:val="19"/>
        </w:rPr>
        <w:t>The current GRU integrates graph level representations in a fixed manner. It is recommended to introduce attention gating mechanism to enable adaptive adjustment of historical state updates based on the urgency of current decisions (such as the urgency of remaining project duration), reducing the interference of irrelevant historical information.</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Response: </w:t>
      </w:r>
      <w:r>
        <w:rPr>
          <w:color w:val="000000"/>
          <w:sz w:val="19"/>
          <w:szCs w:val="19"/>
        </w:rPr>
        <w:t>We thank the reviewer for raising the possibility that irrelevant history may affect sequential decisions. We agree that the original wording did not distinguish the internal GRU gates from an additional explicit urgency gate. The current model uses a GRUCell whose reset and update gates are conditioned on the current graph representation and previous hidden state. It does not use a separate externally parameterized urgency signal. We now state this distinction explicitly in Section 3.3.</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rPr>
        <w:t>We also implemented B0+G, which applies a graph-conditioned vector gate to the GRU candidate update. At seed 300, B0+G changes the Brandimarte mean Gap from 21.70% to 20.89%, an improvement of 0.82 percentage points, while increasing the edata Gap from 13.44% to 15.40%. We therefore repeated this threshold-adjacent result with seeds 301 and 302. Their Brandimarte Gaps are 23.10% and 33.45%, and the three-seed mean is 25.81%. The apparent improvement at seed 300 is not stable. We consequently retain the original GRU and avoid claiming that it optimally filters historical information. This finding applies only to the tested external gate.</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Changes in the manuscript: </w:t>
      </w:r>
      <w:r>
        <w:rPr>
          <w:color w:val="000000"/>
          <w:sz w:val="19"/>
          <w:szCs w:val="19"/>
        </w:rPr>
        <w:t>Section 3.3 and the Conclusion. Final page and line numbers will be added after layout stabilization.</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Revised manuscript text:</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i/>
        </w:rPr>
        <w:t>The GRUCell contains input-dependent reset and update gates, so the history update is conditioned on the current graph representation rather than being a fixed linear fusion. The model does not, however, introduce an additional externally parameterized urgency gate beyond the internal GRU gates.</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2"/>
          <w:szCs w:val="22"/>
          <w:b/>
        </w:rPr>
        <w:t>Comment 4</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Reviewer comment: </w:t>
      </w:r>
      <w:r>
        <w:rPr>
          <w:color w:val="000000"/>
          <w:sz w:val="19"/>
          <w:szCs w:val="19"/>
        </w:rPr>
        <w:t>The current reward is based on changes in the lower bound completion time. It is recommended to add sparse milestone rewards (such as reaching a certain threshold for the first time) and multi-objective reward components (such as machine utilization) to alleviate the credit allocation problem of PPO in long sequence scheduling.</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Response: </w:t>
      </w:r>
      <w:r>
        <w:rPr>
          <w:color w:val="000000"/>
          <w:sz w:val="19"/>
          <w:szCs w:val="19"/>
        </w:rPr>
        <w:t>We agree that long-horizon credit assignment remains challenging. We have expanded the explanation of the current reward in Section 3.1. The reward is computed after every scheduling decision and is therefore dense rather than terminal-only. With gamma = 1, its undiscounted return telescopes to C_LB(s_0) - C_LB(s_T), aligning the accumulated stepwise feedback with the terminal lower-bound objective. We also acknowledge that this property does not eliminate long-horizon credit-assignment difficulty.</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rPr>
        <w:t>To test the suggested use of utilization-related feedback without changing the complete-trajectory objective, we implemented B0+R using endpoint-zero, load-aware potential shaping. B0+R increases the Brandimarte mean Gap from 21.70% to 23.19% and increases the edata, rdata, and vdata Gaps to 19.95%, 12.50%, and 4.93%, respectively. We therefore retain the original dense reward. We have added the reward clarification and the corresponding limitation to the revised manuscript.</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 xml:space="preserve">Changes in the manuscript: </w:t>
      </w:r>
      <w:r>
        <w:rPr>
          <w:color w:val="000000"/>
          <w:sz w:val="19"/>
          <w:szCs w:val="19"/>
        </w:rPr>
        <w:t>Section 3.1 and the Conclusion. Final page and line numbers will be added after layout stabilization.</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b/>
        </w:rPr>
        <w:t>Revised manuscript text:</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19"/>
          <w:szCs w:val="19"/>
          <w:i/>
        </w:rPr>
        <w:t>The reward is evaluated after every scheduling decision and is therefore dense. When gamma = 1, the undiscounted return telescopes to C_LB(s_0) - C_LB(s_T), which aligns the accumulated stepwise feedback with the terminal lower-bound objective. This construction provides intermediate feedback but does not eliminate the credit-assignment difficulty in long scheduling sequences.</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0"/>
          <w:szCs w:val="20"/>
        </w:rPr>
        <w:t>We hope that these revisions and controlled diagnostic experiments address the reviewer’s concerns while preserving the coherence of the main experimental evaluation.</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0"/>
          <w:szCs w:val="20"/>
        </w:rPr>
        <w:t>Sincerely,</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0"/>
          <w:szCs w:val="20"/>
        </w:rPr>
        <w:t>Xungen Li</w:t>
      </w:r>
    </w:p>
    <w:p>
      <w:pPr>
        <w:pStyle w:val="32"/>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color w:val="000000"/>
          <w:sz w:val="20"/>
          <w:szCs w:val="20"/>
        </w:rPr>
        <w:t>on behalf of all authors</w:t>
      </w:r>
    </w:p>
    <w:sectPr>
      <w:pgSz w:w="11906" w:h="16838"/>
      <w:pgMar w:top="1440" w:right="1440" w:bottom="1440" w:left="1440" w:header="709" w:footer="709"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embedRegular r:id="rId1" w:fontKey="{3C7688C8-43ED-4982-81E8-1A91012BB826}"/>
  </w:font>
  <w:font w:name="MS Mincho">
    <w:altName w:val="Segoe Print"/>
    <w:panose1 w:val="00000000000000000000"/>
    <w:charset w:val="00"/>
    <w:family w:val="auto"/>
    <w:pitch w:val="default"/>
    <w:sig w:usb0="00000000" w:usb1="00000000" w:usb2="00000000" w:usb3="00000000" w:csb0="00000000" w:csb1="00000000"/>
    <w:embedRegular r:id="rId2" w:fontKey="{D982078B-5C75-47E5-8C1D-D2F800ED4FE5}"/>
  </w:font>
  <w:font w:name="Segoe Print">
    <w:panose1 w:val="02000600000000000000"/>
    <w:charset w:val="00"/>
    <w:family w:val="auto"/>
    <w:pitch w:val="default"/>
    <w:sig w:usb0="0000028F" w:usb1="00000000" w:usb2="00000000" w:usb3="00000000" w:csb0="2000009F" w:csb1="47010000"/>
  </w:font>
  <w:font w:name="DejaVu Math TeX Gyre">
    <w:panose1 w:val="02000503000000000000"/>
    <w:charset w:val="00"/>
    <w:family w:val="auto"/>
    <w:pitch w:val="default"/>
    <w:sig w:usb0="A10000EF" w:usb1="4201F9EE" w:usb2="02000000" w:usb3="00000000" w:csb0="60000193" w:csb1="0DD40000"/>
  </w:font>
  <w:font w:name="Times New Roman Bold">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4CE18">
    <w:pPr>
      <w:pStyle w:val="5"/>
      <w:jc w:val="center"/>
    </w:pPr>
    <w:r>
      <w:fldChar w:fldCharType="begin"/>
    </w:r>
    <w:r>
      <w:instrText xml:space="preserve"> PAGE   \* MERGEFORMAT </w:instrText>
    </w:r>
    <w:r>
      <w:fldChar w:fldCharType="separate"/>
    </w:r>
    <w:r>
      <w:t>1</w:t>
    </w:r>
    <w:r>
      <w:fldChar w:fldCharType="end"/>
    </w:r>
  </w:p>
  <w:p w14:paraId="438DA180">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90729"/>
    <w:multiLevelType w:val="multilevel"/>
    <w:tmpl w:val="14390729"/>
    <w:lvl w:ilvl="0" w:tentative="0">
      <w:start w:val="1"/>
      <w:numFmt w:val="decimal"/>
      <w:pStyle w:val="31"/>
      <w:lvlText w:val="%1."/>
      <w:lvlJc w:val="left"/>
      <w:pPr>
        <w:ind w:left="360" w:hanging="360"/>
      </w:pPr>
    </w:lvl>
    <w:lvl w:ilvl="1" w:tentative="0">
      <w:start w:val="1"/>
      <w:numFmt w:val="decimal"/>
      <w:pStyle w:val="33"/>
      <w:lvlText w:val="%1.%2."/>
      <w:lvlJc w:val="left"/>
      <w:pPr>
        <w:ind w:left="432" w:hanging="432"/>
      </w:pPr>
      <w:rPr>
        <w:b w:val="0"/>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9E7"/>
    <w:rsid w:val="000577D1"/>
    <w:rsid w:val="0007122E"/>
    <w:rsid w:val="00085EA3"/>
    <w:rsid w:val="00103A0B"/>
    <w:rsid w:val="00142D17"/>
    <w:rsid w:val="00160E08"/>
    <w:rsid w:val="00170FE0"/>
    <w:rsid w:val="001927A1"/>
    <w:rsid w:val="001B4673"/>
    <w:rsid w:val="001F1692"/>
    <w:rsid w:val="00211624"/>
    <w:rsid w:val="00245E4E"/>
    <w:rsid w:val="002671F7"/>
    <w:rsid w:val="00287C4E"/>
    <w:rsid w:val="002C6A45"/>
    <w:rsid w:val="003301EA"/>
    <w:rsid w:val="00371E0A"/>
    <w:rsid w:val="003C379C"/>
    <w:rsid w:val="00450CEC"/>
    <w:rsid w:val="004A169A"/>
    <w:rsid w:val="004B681D"/>
    <w:rsid w:val="00516824"/>
    <w:rsid w:val="005175D9"/>
    <w:rsid w:val="0052049A"/>
    <w:rsid w:val="00544099"/>
    <w:rsid w:val="00595586"/>
    <w:rsid w:val="00623DCC"/>
    <w:rsid w:val="00660AB3"/>
    <w:rsid w:val="006A1E95"/>
    <w:rsid w:val="006B6CD2"/>
    <w:rsid w:val="006F1D1E"/>
    <w:rsid w:val="006F3B46"/>
    <w:rsid w:val="0076740D"/>
    <w:rsid w:val="007C5DBC"/>
    <w:rsid w:val="00826875"/>
    <w:rsid w:val="00846584"/>
    <w:rsid w:val="00885034"/>
    <w:rsid w:val="00943FC3"/>
    <w:rsid w:val="009443A8"/>
    <w:rsid w:val="00960EF6"/>
    <w:rsid w:val="00A75464"/>
    <w:rsid w:val="00AA10AD"/>
    <w:rsid w:val="00AC24C6"/>
    <w:rsid w:val="00AC3205"/>
    <w:rsid w:val="00B375BE"/>
    <w:rsid w:val="00B75E5B"/>
    <w:rsid w:val="00B81FE8"/>
    <w:rsid w:val="00B91C50"/>
    <w:rsid w:val="00B92170"/>
    <w:rsid w:val="00BB15E3"/>
    <w:rsid w:val="00BE681B"/>
    <w:rsid w:val="00BF08B7"/>
    <w:rsid w:val="00C2312D"/>
    <w:rsid w:val="00C34EC9"/>
    <w:rsid w:val="00C71337"/>
    <w:rsid w:val="00C9084A"/>
    <w:rsid w:val="00CA031A"/>
    <w:rsid w:val="00CF794B"/>
    <w:rsid w:val="00D30A31"/>
    <w:rsid w:val="00D61BD7"/>
    <w:rsid w:val="00DE353F"/>
    <w:rsid w:val="00E723D9"/>
    <w:rsid w:val="00ED75F1"/>
    <w:rsid w:val="00EF4D06"/>
    <w:rsid w:val="00F0025E"/>
    <w:rsid w:val="00F15C30"/>
    <w:rsid w:val="00F3621A"/>
    <w:rsid w:val="00F51716"/>
    <w:rsid w:val="00FA4891"/>
    <w:rsid w:val="00FD2C96"/>
    <w:rsid w:val="00FD41F5"/>
    <w:rsid w:val="00FE66B2"/>
    <w:rsid w:val="00FF39E7"/>
    <w:rsid w:val="05087D42"/>
    <w:rsid w:val="05D86EA4"/>
    <w:rsid w:val="0E7476AF"/>
    <w:rsid w:val="12522654"/>
    <w:rsid w:val="17B1375A"/>
    <w:rsid w:val="1CA22108"/>
    <w:rsid w:val="1D072634"/>
    <w:rsid w:val="1D84721B"/>
    <w:rsid w:val="2E2C44B2"/>
    <w:rsid w:val="36F303B8"/>
    <w:rsid w:val="3ADC2E01"/>
    <w:rsid w:val="3D734A9C"/>
    <w:rsid w:val="41406E31"/>
    <w:rsid w:val="520B1EEC"/>
    <w:rsid w:val="57DB3900"/>
    <w:rsid w:val="59723DF0"/>
    <w:rsid w:val="5F526256"/>
    <w:rsid w:val="5FCF49FC"/>
    <w:rsid w:val="608A1A1F"/>
    <w:rsid w:val="62D47AE0"/>
    <w:rsid w:val="6CCE0EE6"/>
    <w:rsid w:val="6F4F1391"/>
    <w:rsid w:val="739F538A"/>
    <w:rsid w:val="771A167E"/>
    <w:rsid w:val="78770C6D"/>
    <w:rsid w:val="7D474AC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GB" w:eastAsia="en-US" w:bidi="ar-SA"/>
    </w:rPr>
  </w:style>
  <w:style w:type="paragraph" w:styleId="2">
    <w:name w:val="heading 2"/>
    <w:basedOn w:val="1"/>
    <w:next w:val="1"/>
    <w:link w:val="15"/>
    <w:unhideWhenUsed/>
    <w:qFormat/>
    <w:uiPriority w:val="9"/>
    <w:pPr>
      <w:keepNext/>
      <w:keepLines/>
      <w:spacing w:before="200" w:after="0"/>
      <w:outlineLvl w:val="1"/>
    </w:pPr>
    <w:rPr>
      <w:rFonts w:ascii="Cambria" w:hAnsi="Cambria" w:eastAsia="Times New Roman" w:cs="Times New Roman"/>
      <w:b/>
      <w:bCs/>
      <w:color w:val="4F81BD"/>
      <w:sz w:val="26"/>
      <w:szCs w:val="26"/>
    </w:rPr>
  </w:style>
  <w:style w:type="paragraph" w:styleId="3">
    <w:name w:val="heading 3"/>
    <w:basedOn w:val="1"/>
    <w:next w:val="1"/>
    <w:link w:val="16"/>
    <w:unhideWhenUsed/>
    <w:qFormat/>
    <w:uiPriority w:val="9"/>
    <w:pPr>
      <w:keepNext/>
      <w:spacing w:before="240" w:after="60"/>
      <w:outlineLvl w:val="2"/>
    </w:pPr>
    <w:rPr>
      <w:rFonts w:ascii="Cambria" w:hAnsi="Cambria" w:eastAsia="Times New Roman" w:cs="Times New Roman"/>
      <w:b/>
      <w:bCs/>
      <w:sz w:val="26"/>
      <w:szCs w:val="26"/>
    </w:rPr>
  </w:style>
  <w:style w:type="character" w:default="1" w:styleId="11">
    <w:name w:val="Default Paragraph Font"/>
    <w:unhideWhenUsed/>
    <w:uiPriority w:val="1"/>
  </w:style>
  <w:style w:type="table" w:default="1" w:styleId="9">
    <w:name w:val="Normal Table"/>
    <w:unhideWhenUsed/>
    <w:uiPriority w:val="99"/>
    <w:tblPr>
      <w:tblCellMar>
        <w:top w:w="0" w:type="dxa"/>
        <w:left w:w="108" w:type="dxa"/>
        <w:bottom w:w="0" w:type="dxa"/>
        <w:right w:w="108" w:type="dxa"/>
      </w:tblCellMar>
    </w:tblPr>
  </w:style>
  <w:style w:type="paragraph" w:styleId="4">
    <w:name w:val="Balloon Text"/>
    <w:basedOn w:val="1"/>
    <w:link w:val="17"/>
    <w:unhideWhenUsed/>
    <w:uiPriority w:val="99"/>
    <w:pPr>
      <w:spacing w:after="0" w:line="240" w:lineRule="auto"/>
    </w:pPr>
    <w:rPr>
      <w:rFonts w:ascii="Tahoma" w:hAnsi="Tahoma" w:cs="Tahoma"/>
      <w:sz w:val="16"/>
      <w:szCs w:val="16"/>
    </w:rPr>
  </w:style>
  <w:style w:type="paragraph" w:styleId="5">
    <w:name w:val="footer"/>
    <w:basedOn w:val="1"/>
    <w:link w:val="18"/>
    <w:unhideWhenUsed/>
    <w:uiPriority w:val="99"/>
    <w:pPr>
      <w:tabs>
        <w:tab w:val="center" w:pos="4513"/>
        <w:tab w:val="right" w:pos="9026"/>
      </w:tabs>
      <w:spacing w:after="0" w:line="240" w:lineRule="auto"/>
    </w:pPr>
  </w:style>
  <w:style w:type="paragraph" w:styleId="6">
    <w:name w:val="header"/>
    <w:basedOn w:val="1"/>
    <w:link w:val="19"/>
    <w:unhideWhenUsed/>
    <w:uiPriority w:val="99"/>
    <w:pPr>
      <w:tabs>
        <w:tab w:val="center" w:pos="4513"/>
        <w:tab w:val="right" w:pos="9026"/>
      </w:tabs>
      <w:spacing w:after="0" w:line="240" w:lineRule="auto"/>
    </w:pPr>
  </w:style>
  <w:style w:type="paragraph" w:styleId="7">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22"/>
    <w:rPr>
      <w:b/>
      <w:bCs/>
    </w:rPr>
  </w:style>
  <w:style w:type="character" w:styleId="13">
    <w:name w:val="Hyperlink"/>
    <w:qFormat/>
    <w:uiPriority w:val="0"/>
    <w:rPr>
      <w:color w:val="0000FF"/>
      <w:u w:val="single"/>
    </w:rPr>
  </w:style>
  <w:style w:type="character" w:styleId="14">
    <w:name w:val="HTML Code"/>
    <w:basedOn w:val="11"/>
    <w:semiHidden/>
    <w:unhideWhenUsed/>
    <w:qFormat/>
    <w:uiPriority w:val="99"/>
    <w:rPr>
      <w:rFonts w:ascii="Courier New" w:hAnsi="Courier New"/>
      <w:sz w:val="20"/>
    </w:rPr>
  </w:style>
  <w:style w:type="character" w:customStyle="1" w:styleId="15">
    <w:name w:val="标题 2 字符"/>
    <w:link w:val="2"/>
    <w:semiHidden/>
    <w:qFormat/>
    <w:uiPriority w:val="9"/>
    <w:rPr>
      <w:rFonts w:ascii="Cambria" w:hAnsi="Cambria" w:eastAsia="Times New Roman" w:cs="Times New Roman"/>
      <w:b/>
      <w:bCs/>
      <w:color w:val="4F81BD"/>
      <w:sz w:val="26"/>
      <w:szCs w:val="26"/>
    </w:rPr>
  </w:style>
  <w:style w:type="character" w:customStyle="1" w:styleId="16">
    <w:name w:val="标题 3 字符"/>
    <w:link w:val="3"/>
    <w:semiHidden/>
    <w:qFormat/>
    <w:uiPriority w:val="9"/>
    <w:rPr>
      <w:rFonts w:ascii="Cambria" w:hAnsi="Cambria" w:eastAsia="Times New Roman" w:cs="Times New Roman"/>
      <w:b/>
      <w:bCs/>
      <w:sz w:val="26"/>
      <w:szCs w:val="26"/>
      <w:lang w:eastAsia="en-US"/>
    </w:rPr>
  </w:style>
  <w:style w:type="character" w:customStyle="1" w:styleId="17">
    <w:name w:val="批注框文本 字符"/>
    <w:link w:val="4"/>
    <w:semiHidden/>
    <w:qFormat/>
    <w:uiPriority w:val="99"/>
    <w:rPr>
      <w:rFonts w:ascii="Tahoma" w:hAnsi="Tahoma" w:cs="Tahoma"/>
      <w:sz w:val="16"/>
      <w:szCs w:val="16"/>
    </w:rPr>
  </w:style>
  <w:style w:type="character" w:customStyle="1" w:styleId="18">
    <w:name w:val="页脚 字符"/>
    <w:basedOn w:val="11"/>
    <w:link w:val="5"/>
    <w:qFormat/>
    <w:uiPriority w:val="99"/>
  </w:style>
  <w:style w:type="character" w:customStyle="1" w:styleId="19">
    <w:name w:val="页眉 字符"/>
    <w:basedOn w:val="11"/>
    <w:link w:val="6"/>
    <w:qFormat/>
    <w:uiPriority w:val="99"/>
  </w:style>
  <w:style w:type="paragraph" w:customStyle="1" w:styleId="20">
    <w:name w:val="PaperTitle"/>
    <w:basedOn w:val="1"/>
    <w:link w:val="21"/>
    <w:qFormat/>
    <w:uiPriority w:val="0"/>
    <w:pPr>
      <w:spacing w:after="360" w:line="240" w:lineRule="auto"/>
      <w:jc w:val="center"/>
    </w:pPr>
    <w:rPr>
      <w:rFonts w:ascii="Times New Roman" w:hAnsi="Times New Roman" w:eastAsia="Calibri" w:cs="Times New Roman"/>
      <w:b/>
      <w:caps/>
      <w:sz w:val="36"/>
      <w:szCs w:val="36"/>
    </w:rPr>
  </w:style>
  <w:style w:type="character" w:customStyle="1" w:styleId="21">
    <w:name w:val="PaperTitle Char"/>
    <w:link w:val="20"/>
    <w:qFormat/>
    <w:uiPriority w:val="0"/>
    <w:rPr>
      <w:rFonts w:ascii="Times New Roman" w:hAnsi="Times New Roman" w:eastAsia="Calibri" w:cs="Times New Roman"/>
      <w:b/>
      <w:caps/>
      <w:sz w:val="36"/>
      <w:szCs w:val="36"/>
    </w:rPr>
  </w:style>
  <w:style w:type="paragraph" w:customStyle="1" w:styleId="22">
    <w:name w:val="PaperAuthor"/>
    <w:basedOn w:val="20"/>
    <w:link w:val="23"/>
    <w:qFormat/>
    <w:uiPriority w:val="0"/>
    <w:pPr>
      <w:spacing w:after="240"/>
    </w:pPr>
    <w:rPr>
      <w:i/>
      <w:caps w:val="0"/>
      <w:sz w:val="24"/>
    </w:rPr>
  </w:style>
  <w:style w:type="character" w:customStyle="1" w:styleId="23">
    <w:name w:val="PaperAuthor Char"/>
    <w:link w:val="22"/>
    <w:qFormat/>
    <w:uiPriority w:val="0"/>
    <w:rPr>
      <w:rFonts w:ascii="Times New Roman" w:hAnsi="Times New Roman" w:eastAsia="Calibri" w:cs="Times New Roman"/>
      <w:b/>
      <w:i/>
      <w:sz w:val="24"/>
      <w:szCs w:val="36"/>
    </w:rPr>
  </w:style>
  <w:style w:type="paragraph" w:customStyle="1" w:styleId="24">
    <w:name w:val="PaperAffiliations"/>
    <w:basedOn w:val="22"/>
    <w:link w:val="25"/>
    <w:qFormat/>
    <w:uiPriority w:val="0"/>
    <w:rPr>
      <w:rFonts w:eastAsia="Courier New"/>
      <w:b w:val="0"/>
      <w:sz w:val="20"/>
      <w:szCs w:val="20"/>
    </w:rPr>
  </w:style>
  <w:style w:type="character" w:customStyle="1" w:styleId="25">
    <w:name w:val="PaperAffiliations Char"/>
    <w:link w:val="24"/>
    <w:qFormat/>
    <w:uiPriority w:val="0"/>
    <w:rPr>
      <w:rFonts w:ascii="Times New Roman" w:hAnsi="Times New Roman" w:eastAsia="Courier New" w:cs="Times New Roman"/>
      <w:i/>
      <w:sz w:val="20"/>
      <w:szCs w:val="20"/>
    </w:rPr>
  </w:style>
  <w:style w:type="paragraph" w:customStyle="1" w:styleId="26">
    <w:name w:val="PaperParagraphs"/>
    <w:basedOn w:val="1"/>
    <w:link w:val="27"/>
    <w:qFormat/>
    <w:uiPriority w:val="0"/>
    <w:pPr>
      <w:spacing w:line="240" w:lineRule="auto"/>
      <w:jc w:val="both"/>
    </w:pPr>
    <w:rPr>
      <w:rFonts w:ascii="Times New Roman" w:hAnsi="Times New Roman" w:eastAsia="Calibri" w:cs="Times New Roman"/>
      <w:sz w:val="20"/>
      <w:szCs w:val="20"/>
    </w:rPr>
  </w:style>
  <w:style w:type="character" w:customStyle="1" w:styleId="27">
    <w:name w:val="PaperParagraphs Char"/>
    <w:link w:val="26"/>
    <w:qFormat/>
    <w:uiPriority w:val="0"/>
    <w:rPr>
      <w:rFonts w:ascii="Times New Roman" w:hAnsi="Times New Roman" w:eastAsia="Calibri" w:cs="Times New Roman"/>
      <w:sz w:val="20"/>
      <w:szCs w:val="20"/>
    </w:rPr>
  </w:style>
  <w:style w:type="paragraph" w:customStyle="1" w:styleId="28">
    <w:name w:val="PaperHeading"/>
    <w:basedOn w:val="26"/>
    <w:link w:val="29"/>
    <w:qFormat/>
    <w:uiPriority w:val="0"/>
    <w:pPr>
      <w:keepNext/>
      <w:tabs>
        <w:tab w:val="left" w:pos="426"/>
      </w:tabs>
    </w:pPr>
    <w:rPr>
      <w:b/>
      <w:sz w:val="24"/>
      <w:szCs w:val="22"/>
    </w:rPr>
  </w:style>
  <w:style w:type="character" w:customStyle="1" w:styleId="29">
    <w:name w:val="PaperHeading Char"/>
    <w:link w:val="28"/>
    <w:qFormat/>
    <w:uiPriority w:val="0"/>
    <w:rPr>
      <w:rFonts w:ascii="Times New Roman" w:hAnsi="Times New Roman" w:eastAsia="Calibri" w:cs="Times New Roman"/>
      <w:b/>
      <w:sz w:val="24"/>
    </w:rPr>
  </w:style>
  <w:style w:type="paragraph" w:styleId="30">
    <w:name w:val="No Spacing"/>
    <w:qFormat/>
    <w:uiPriority w:val="1"/>
    <w:rPr>
      <w:rFonts w:ascii="Times New Roman" w:hAnsi="Times New Roman" w:eastAsia="宋体" w:cs="Times New Roman"/>
      <w:sz w:val="22"/>
      <w:szCs w:val="22"/>
      <w:lang w:val="en-GB" w:eastAsia="en-US" w:bidi="ar-SA"/>
    </w:rPr>
  </w:style>
  <w:style w:type="paragraph" w:customStyle="1" w:styleId="31">
    <w:name w:val="IET Heading 1"/>
    <w:basedOn w:val="2"/>
    <w:qFormat/>
    <w:uiPriority w:val="0"/>
    <w:pPr>
      <w:keepLines w:val="0"/>
      <w:numPr>
        <w:ilvl w:val="0"/>
        <w:numId w:val="1"/>
      </w:numPr>
      <w:tabs>
        <w:tab w:val="left" w:pos="360"/>
      </w:tabs>
      <w:spacing w:before="240" w:after="60" w:line="240" w:lineRule="auto"/>
      <w:ind w:left="0" w:firstLine="0"/>
    </w:pPr>
    <w:rPr>
      <w:rFonts w:ascii="Times New Roman" w:hAnsi="Times New Roman" w:eastAsia="宋体" w:cs="Times New Roman"/>
      <w:iCs/>
      <w:color w:val="auto"/>
      <w:sz w:val="24"/>
      <w:szCs w:val="28"/>
      <w:lang w:val="en-AU" w:eastAsia="zh-CN"/>
    </w:rPr>
  </w:style>
  <w:style w:type="paragraph" w:customStyle="1" w:styleId="32">
    <w:name w:val="IET Paragraph"/>
    <w:basedOn w:val="1"/>
    <w:qFormat/>
    <w:uiPriority w:val="0"/>
    <w:pPr>
      <w:spacing w:after="0" w:line="240" w:lineRule="auto"/>
      <w:jc w:val="both"/>
    </w:pPr>
    <w:rPr>
      <w:rFonts w:ascii="Times New Roman" w:hAnsi="Times New Roman" w:eastAsia="宋体" w:cs="Times New Roman"/>
      <w:sz w:val="24"/>
      <w:szCs w:val="24"/>
      <w:lang w:val="en-AU" w:eastAsia="zh-CN"/>
    </w:rPr>
  </w:style>
  <w:style w:type="paragraph" w:customStyle="1" w:styleId="33">
    <w:name w:val="IET Heading 2"/>
    <w:basedOn w:val="1"/>
    <w:qFormat/>
    <w:uiPriority w:val="0"/>
    <w:pPr>
      <w:numPr>
        <w:ilvl w:val="1"/>
        <w:numId w:val="1"/>
      </w:numPr>
      <w:spacing w:before="240" w:after="60" w:line="240" w:lineRule="auto"/>
      <w:ind w:left="0" w:firstLine="0"/>
    </w:pPr>
    <w:rPr>
      <w:rFonts w:ascii="Times New Roman" w:hAnsi="Times New Roman" w:eastAsia="宋体" w:cs="Times New Roman"/>
      <w:i/>
      <w:szCs w:val="24"/>
      <w:lang w:val="en-AU" w:eastAsia="zh-CN"/>
    </w:rPr>
  </w:style>
  <w:style w:type="character" w:customStyle="1" w:styleId="34">
    <w:name w:val="apple-converted-space"/>
    <w:qFormat/>
    <w:uiPriority w:val="0"/>
  </w:style>
  <w:style w:type="paragraph" w:customStyle="1" w:styleId="35">
    <w:name w:val="IOP-CS-Affiliation"/>
    <w:link w:val="37"/>
    <w:qFormat/>
    <w:uiPriority w:val="0"/>
    <w:pPr>
      <w:spacing w:after="0"/>
      <w:ind w:left="1418"/>
    </w:pPr>
    <w:rPr>
      <w:rFonts w:ascii="Cambria" w:hAnsi="Cambria" w:eastAsia="宋体" w:cs="Times New Roman"/>
      <w:sz w:val="20"/>
      <w:szCs w:val="20"/>
    </w:rPr>
  </w:style>
  <w:style w:type="character" w:customStyle="1" w:styleId="36">
    <w:name w:val="IOP-CS-Abstract Char"/>
    <w:basedOn w:val="37"/>
    <w:link w:val="38"/>
    <w:qFormat/>
    <w:uiPriority w:val="0"/>
    <w:rPr>
      <w:sz w:val="22"/>
      <w:szCs w:val="22"/>
    </w:rPr>
  </w:style>
  <w:style w:type="character" w:customStyle="1" w:styleId="37">
    <w:name w:val="IOP-CS-Affiliation Char"/>
    <w:basedOn w:val="11"/>
    <w:link w:val="35"/>
    <w:qFormat/>
    <w:uiPriority w:val="0"/>
    <w:rPr>
      <w:rFonts w:ascii="Cambria" w:hAnsi="Cambria"/>
      <w:sz w:val="20"/>
      <w:szCs w:val="20"/>
    </w:rPr>
  </w:style>
  <w:style w:type="paragraph" w:customStyle="1" w:styleId="38">
    <w:name w:val="IOP-CS-Abstract"/>
    <w:basedOn w:val="35"/>
    <w:link w:val="36"/>
    <w:qFormat/>
    <w:uiPriority w:val="0"/>
    <w:pPr>
      <w:spacing w:after="360"/>
      <w:jc w:val="both"/>
    </w:pPr>
    <w:rPr>
      <w:sz w:val="22"/>
      <w:szCs w:val="22"/>
    </w:rPr>
  </w:style>
  <w:style w:type="paragraph" w:customStyle="1" w:styleId="39">
    <w:name w:val="IOP-CS-BodyText"/>
    <w:qFormat/>
    <w:uiPriority w:val="0"/>
    <w:pPr>
      <w:spacing w:after="0" w:line="259" w:lineRule="auto"/>
      <w:ind w:firstLine="425"/>
      <w:jc w:val="both"/>
    </w:pPr>
    <w:rPr>
      <w:rFonts w:ascii="Cambria" w:hAnsi="Cambria" w:eastAsiaTheme="minorHAnsi" w:cstheme="minorBidi"/>
      <w:kern w:val="2"/>
      <w:sz w:val="22"/>
      <w:szCs w:val="22"/>
      <w:lang w:val="en-GB"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Institution of Engineering and Technology</Company>
  <Pages>5</Pages>
  <Words>3231</Words>
  <Characters>16639</Characters>
  <Lines>112</Lines>
  <Paragraphs>31</Paragraphs>
  <TotalTime>3</TotalTime>
  <ScaleCrop>false</ScaleCrop>
  <LinksUpToDate>false</LinksUpToDate>
  <CharactersWithSpaces>19780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2024-04-15T02:47:00Z</dcterms:created>
  <dc:creator>Bristow,Jessica</dc:creator>
  <cp:lastModifiedBy>Better</cp:lastModifiedBy>
  <cp:lastPrinted>2017-11-16T08:05:00Z</cp:lastPrinted>
  <dcterms:modified xsi:type="dcterms:W3CDTF">2026-08-14T08:55:18Z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A760C1EB620644549F4200774DEE674B_13</vt:lpwstr>
  </property>
  <property fmtid="{D5CDD505-2E9C-101B-9397-08002B2CF9AE}" pid="4" name="KSOTemplateDocerSaveRecord">
    <vt:lpwstr>eyJoZGlkIjoiOTY5MGQwMzcwY2VmODk0MGMyMThiNWI2YjIyMmRiOTgiLCJ1c2VySWQiOiIzNjAwNzUzNjIifQ==</vt:lpwstr>
  </property>
</Properties>
</file>