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The most dangerous cost in a cloud environment is not a large invoice.</w:t>
        <w:br w:type="textWrapping"/>
        <w:t xml:space="preserve"> It is an unexplainable one.</w:t>
      </w:r>
    </w:p>
    <w:p w:rsidR="00000000" w:rsidDel="00000000" w:rsidP="00000000" w:rsidRDefault="00000000" w:rsidRPr="00000000" w14:paraId="00000002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In many organizations, cloud spend is still managed through retrospective reconciliation — reviewing last month’s bill and attempting to interpret variance after capital has already been deployed.</w:t>
      </w:r>
    </w:p>
    <w:p w:rsidR="00000000" w:rsidDel="00000000" w:rsidP="00000000" w:rsidRDefault="00000000" w:rsidRPr="00000000" w14:paraId="00000003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At that point, the discussion is accounting.</w:t>
        <w:br w:type="textWrapping"/>
        <w:t xml:space="preserve"> Not governance.</w:t>
      </w:r>
    </w:p>
    <w:p w:rsidR="00000000" w:rsidDel="00000000" w:rsidP="00000000" w:rsidRDefault="00000000" w:rsidRPr="00000000" w14:paraId="00000004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This week, I closed out a serverless FinOps architecture designed to shift a legacy environment from reactive cost analysis to structured cost visibility.</w:t>
      </w:r>
    </w:p>
    <w:p w:rsidR="00000000" w:rsidDel="00000000" w:rsidP="00000000" w:rsidRDefault="00000000" w:rsidRPr="00000000" w14:paraId="00000005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The objective was not reporting.</w:t>
      </w:r>
    </w:p>
    <w:p w:rsidR="00000000" w:rsidDel="00000000" w:rsidP="00000000" w:rsidRDefault="00000000" w:rsidRPr="00000000" w14:paraId="00000006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It was control.</w:t>
      </w:r>
    </w:p>
    <w:p w:rsidR="00000000" w:rsidDel="00000000" w:rsidP="00000000" w:rsidRDefault="00000000" w:rsidRPr="00000000" w14:paraId="00000007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The build exposed a common maturity gap: cost data exists, but it is fragmented, inconsistently normalized, and disconnected from decision authority.</w:t>
      </w:r>
    </w:p>
    <w:p w:rsidR="00000000" w:rsidDel="00000000" w:rsidP="00000000" w:rsidRDefault="00000000" w:rsidRPr="00000000" w14:paraId="00000008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A stalled analytical layer revealed the real issue — not tooling failure, but configuration misalignment between Amazon Athena workgroups and Amazon QuickSight security tokens. A subtle metadata conflict, but one that prevented executive visibility.</w:t>
      </w:r>
    </w:p>
    <w:p w:rsidR="00000000" w:rsidDel="00000000" w:rsidP="00000000" w:rsidRDefault="00000000" w:rsidRPr="00000000" w14:paraId="00000009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That is the difference between cost data and cost intelligence.</w:t>
      </w:r>
    </w:p>
    <w:p w:rsidR="00000000" w:rsidDel="00000000" w:rsidP="00000000" w:rsidRDefault="00000000" w:rsidRPr="00000000" w14:paraId="0000000A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Architectural controls implemented:</w:t>
      </w:r>
    </w:p>
    <w:p w:rsidR="00000000" w:rsidDel="00000000" w:rsidP="00000000" w:rsidRDefault="00000000" w:rsidRPr="00000000" w14:paraId="0000000B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👉 Decoupled Data Lakehouse – Amazon S3 used as durable persistence for CUR 2.0 data, ensuring cost state remains independent of reporting tools.</w:t>
      </w:r>
    </w:p>
    <w:p w:rsidR="00000000" w:rsidDel="00000000" w:rsidP="00000000" w:rsidRDefault="00000000" w:rsidRPr="00000000" w14:paraId="0000000C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👉 Structured Metadata Governance – AWS Glue Crawlers cataloged and normalized 110+ billing dimensions into a governed schema, eliminating ambiguity in spend attribution.</w:t>
      </w:r>
    </w:p>
    <w:p w:rsidR="00000000" w:rsidDel="00000000" w:rsidP="00000000" w:rsidRDefault="00000000" w:rsidRPr="00000000" w14:paraId="0000000D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👉 Direct-Query Analytical Layer – Amazon Athena executing SQL logic against Parquet-compressed data, reducing latency and avoiding unnecessary data movement.</w:t>
      </w:r>
    </w:p>
    <w:p w:rsidR="00000000" w:rsidDel="00000000" w:rsidP="00000000" w:rsidRDefault="00000000" w:rsidRPr="00000000" w14:paraId="0000000E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👉 Deterministic Cost Filtering – Codified logic isolating unblended service consumption, stripping non-operational noise (tax, $0 metadata) to expose true architectural cost drivers.</w:t>
      </w:r>
    </w:p>
    <w:p w:rsidR="00000000" w:rsidDel="00000000" w:rsidP="00000000" w:rsidRDefault="00000000" w:rsidRPr="00000000" w14:paraId="0000000F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The result is not a dashboard.</w:t>
      </w:r>
    </w:p>
    <w:p w:rsidR="00000000" w:rsidDel="00000000" w:rsidP="00000000" w:rsidRDefault="00000000" w:rsidRPr="00000000" w14:paraId="00000010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It is an accountability framework.</w:t>
      </w:r>
    </w:p>
    <w:p w:rsidR="00000000" w:rsidDel="00000000" w:rsidP="00000000" w:rsidRDefault="00000000" w:rsidRPr="00000000" w14:paraId="00000011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When visibility is automated:</w:t>
        <w:br w:type="textWrapping"/>
        <w:t xml:space="preserve"> • Engineering decisions surface financial impact immediately</w:t>
        <w:br w:type="textWrapping"/>
        <w:t xml:space="preserve"> • Budget conversations shift from surprise to threshold management</w:t>
        <w:br w:type="textWrapping"/>
        <w:t xml:space="preserve"> • Architectural trade-offs become quantifiable</w:t>
      </w:r>
    </w:p>
    <w:p w:rsidR="00000000" w:rsidDel="00000000" w:rsidP="00000000" w:rsidRDefault="00000000" w:rsidRPr="00000000" w14:paraId="00000012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FinOps is not a finance overlay.</w:t>
        <w:br w:type="textWrapping"/>
        <w:t xml:space="preserve"> It is an architectural discipline.</w:t>
      </w:r>
    </w:p>
    <w:p w:rsidR="00000000" w:rsidDel="00000000" w:rsidP="00000000" w:rsidRDefault="00000000" w:rsidRPr="00000000" w14:paraId="00000013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Cloud maturity is not defined by elasticity or scale.</w:t>
        <w:br w:type="textWrapping"/>
        <w:t xml:space="preserve"> It is defined by the ability to explain — in precise terms — where every dollar is created, consumed, and justified.</w:t>
      </w:r>
    </w:p>
    <w:p w:rsidR="00000000" w:rsidDel="00000000" w:rsidP="00000000" w:rsidRDefault="00000000" w:rsidRPr="00000000" w14:paraId="00000014">
      <w:pPr>
        <w:pStyle w:val="Heading3"/>
        <w:spacing w:line="275.9999942779541" w:lineRule="auto"/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Architecture does not merely enable innovation.</w:t>
        <w:br w:type="textWrapping"/>
        <w:t xml:space="preserve"> It governs consequence.</w:t>
      </w:r>
    </w:p>
    <w:p w:rsidR="00000000" w:rsidDel="00000000" w:rsidP="00000000" w:rsidRDefault="00000000" w:rsidRPr="00000000" w14:paraId="00000015">
      <w:pPr>
        <w:pStyle w:val="Heading3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bookmarkStart w:colFirst="0" w:colLast="0" w:name="_g6wk3x1lmt1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  <w:rtl w:val="0"/>
        </w:rPr>
        <w:t xml:space="preserve">That is what sustainable cloud leadership requires.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