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snapToGrid w:val="false"/>
        <w:spacing w:before="120" w:after="120"/>
        <w:jc w:val="center"/>
        <w:rPr>
          <w:rFonts w:ascii="仿宋;方正仿宋_GBK" w:hAnsi="仿宋;方正仿宋_GBK" w:eastAsia="仿宋;方正仿宋_GBK" w:cs="仿宋;方正仿宋_GBK"/>
          <w:b/>
          <w:bCs/>
          <w:sz w:val="32"/>
          <w:szCs w:val="32"/>
          <w:lang w:val="en-US" w:eastAsia="zh-CN"/>
        </w:rPr>
      </w:pPr>
      <w:r>
        <w:rPr>
          <w:rFonts w:ascii="仿宋;方正仿宋_GBK" w:hAnsi="仿宋;方正仿宋_GBK" w:cs="仿宋;方正仿宋_GBK" w:eastAsia="仿宋;方正仿宋_GBK"/>
          <w:b/>
          <w:bCs/>
          <w:sz w:val="32"/>
          <w:szCs w:val="32"/>
          <w:lang w:val="en-US" w:eastAsia="zh-CN"/>
        </w:rPr>
        <w:t>湖南地区育儿假、</w:t>
      </w:r>
      <w:r>
        <w:rPr>
          <w:rStyle w:val="Strong"/>
          <w:rFonts w:ascii="仿宋;方正仿宋_GBK" w:hAnsi="仿宋;方正仿宋_GBK" w:cs="仿宋;方正仿宋_GBK" w:eastAsia="仿宋;方正仿宋_GBK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shd w:fill="FFFFFF" w:val="clear"/>
        </w:rPr>
        <w:t>独生子女父母</w:t>
      </w:r>
      <w:r>
        <w:rPr>
          <w:rFonts w:ascii="仿宋;方正仿宋_GBK" w:hAnsi="仿宋;方正仿宋_GBK" w:cs="仿宋;方正仿宋_GBK" w:eastAsia="仿宋;方正仿宋_GBK"/>
          <w:b/>
          <w:bCs/>
          <w:sz w:val="32"/>
          <w:szCs w:val="32"/>
          <w:lang w:val="en-US" w:eastAsia="zh-CN"/>
        </w:rPr>
        <w:t>护理假执行方案</w:t>
      </w:r>
    </w:p>
    <w:p>
      <w:pPr>
        <w:pStyle w:val="Style17"/>
        <w:snapToGrid w:val="false"/>
        <w:spacing w:before="120" w:after="120"/>
        <w:jc w:val="center"/>
        <w:rPr>
          <w:rFonts w:ascii="仿宋;方正仿宋_GBK" w:hAnsi="仿宋;方正仿宋_GBK" w:eastAsia="仿宋;方正仿宋_GBK" w:cs="仿宋;方正仿宋_GBK"/>
          <w:b/>
          <w:bCs/>
          <w:sz w:val="24"/>
          <w:szCs w:val="24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/>
          <w:bCs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60"/>
        <w:ind w:firstLine="480" w:end="0"/>
        <w:textAlignment w:val="auto"/>
        <w:rPr>
          <w:rFonts w:ascii="仿宋;方正仿宋_GBK" w:hAnsi="仿宋;方正仿宋_GBK" w:eastAsia="仿宋;方正仿宋_GBK" w:cs="仿宋;方正仿宋_GBK"/>
          <w:b w:val="false"/>
          <w:bCs w:val="false"/>
          <w:color w:val="000000"/>
          <w:sz w:val="24"/>
          <w:szCs w:val="24"/>
          <w:lang w:eastAsia="zh-CN"/>
        </w:rPr>
      </w:pP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</w:rPr>
        <w:t>根据</w:t>
      </w:r>
      <w:r>
        <w:rPr>
          <w:rFonts w:eastAsia="仿宋;方正仿宋_GBK" w:cs="仿宋;方正仿宋_GBK" w:ascii="仿宋;方正仿宋_GBK" w:hAnsi="仿宋;方正仿宋_GBK"/>
          <w:b w:val="false"/>
          <w:bCs w:val="false"/>
          <w:color w:val="000000"/>
          <w:sz w:val="24"/>
          <w:szCs w:val="24"/>
          <w:shd w:fill="FFFFFF" w:val="clear"/>
        </w:rPr>
        <w:t>2021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shd w:fill="FFFFFF" w:val="clear"/>
        </w:rPr>
        <w:t>年</w:t>
      </w:r>
      <w:r>
        <w:rPr>
          <w:rFonts w:eastAsia="仿宋;方正仿宋_GBK" w:cs="仿宋;方正仿宋_GBK" w:ascii="仿宋;方正仿宋_GBK" w:hAnsi="仿宋;方正仿宋_GBK"/>
          <w:b w:val="false"/>
          <w:bCs w:val="false"/>
          <w:color w:val="000000"/>
          <w:sz w:val="24"/>
          <w:szCs w:val="24"/>
          <w:shd w:fill="FFFFFF" w:val="clear"/>
        </w:rPr>
        <w:t>12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shd w:fill="FFFFFF" w:val="clear"/>
        </w:rPr>
        <w:t>月</w:t>
      </w:r>
      <w:r>
        <w:rPr>
          <w:rFonts w:eastAsia="仿宋;方正仿宋_GBK" w:cs="仿宋;方正仿宋_GBK" w:ascii="仿宋;方正仿宋_GBK" w:hAnsi="仿宋;方正仿宋_GBK"/>
          <w:b w:val="false"/>
          <w:bCs w:val="false"/>
          <w:color w:val="000000"/>
          <w:sz w:val="24"/>
          <w:szCs w:val="24"/>
          <w:shd w:fill="FFFFFF" w:val="clear"/>
        </w:rPr>
        <w:t>3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shd w:fill="FFFFFF" w:val="clear"/>
        </w:rPr>
        <w:t>日湖南省第十三届人民代表大会常务委员会第二十七次会议通过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</w:rPr>
        <w:t>的《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shd w:fill="FFFFFF" w:val="clear"/>
        </w:rPr>
        <w:t>湖南省人口与计划生育条例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</w:rPr>
        <w:t>》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lang w:eastAsia="zh-CN"/>
        </w:rPr>
        <w:t>中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  <w:lang w:eastAsia="zh-CN"/>
        </w:rPr>
        <w:t>关于新增育儿假、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</w:rPr>
        <w:t>独生子女父母护理假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  <w:lang w:eastAsia="zh-CN"/>
        </w:rPr>
        <w:t>的内容，基于新增假别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lang w:eastAsia="zh-CN"/>
        </w:rPr>
        <w:t>，湖南地区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</w:rPr>
        <w:t>新增育儿假、独生子女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lang w:eastAsia="zh-CN"/>
        </w:rPr>
        <w:t>父母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</w:rPr>
        <w:t>护理假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lang w:eastAsia="zh-CN"/>
        </w:rPr>
        <w:t>执行方案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  <w:lang w:val="en-US" w:eastAsia="zh-CN"/>
        </w:rPr>
        <w:t>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60"/>
        <w:textAlignment w:val="auto"/>
        <w:rPr>
          <w:rFonts w:ascii="仿宋;方正仿宋_GBK" w:hAnsi="仿宋;方正仿宋_GBK" w:eastAsia="仿宋;方正仿宋_GBK" w:cs="仿宋;方正仿宋_GBK"/>
          <w:b/>
          <w:bCs/>
          <w:sz w:val="24"/>
          <w:szCs w:val="24"/>
          <w:lang w:eastAsia="zh-CN"/>
        </w:rPr>
      </w:pPr>
      <w:r>
        <w:rPr>
          <w:rFonts w:ascii="仿宋;方正仿宋_GBK" w:hAnsi="仿宋;方正仿宋_GBK" w:cs="仿宋;方正仿宋_GBK" w:eastAsia="仿宋;方正仿宋_GBK"/>
          <w:b/>
          <w:bCs/>
          <w:sz w:val="24"/>
          <w:szCs w:val="24"/>
          <w:lang w:eastAsia="zh-CN"/>
        </w:rPr>
        <w:t>一、育儿假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60"/>
        <w:ind w:firstLine="482" w:start="0" w:end="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 w:val="false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sz w:val="24"/>
          <w:szCs w:val="24"/>
          <w:lang w:val="en-US" w:eastAsia="zh-CN"/>
        </w:rPr>
        <w:t>1.</w:t>
      </w:r>
      <w:r>
        <w:rPr>
          <w:rFonts w:ascii="仿宋;方正仿宋_GBK" w:hAnsi="仿宋;方正仿宋_GBK" w:cs="仿宋;方正仿宋_GBK" w:eastAsia="仿宋;方正仿宋_GBK"/>
          <w:b/>
          <w:bCs/>
          <w:sz w:val="24"/>
          <w:szCs w:val="24"/>
        </w:rPr>
        <w:t>育儿假</w:t>
      </w:r>
      <w:r>
        <w:rPr>
          <w:rFonts w:ascii="仿宋;方正仿宋_GBK" w:hAnsi="仿宋;方正仿宋_GBK" w:cs="仿宋;方正仿宋_GBK" w:eastAsia="仿宋;方正仿宋_GBK"/>
          <w:b/>
          <w:bCs/>
          <w:sz w:val="24"/>
          <w:szCs w:val="24"/>
          <w:lang w:eastAsia="zh-CN"/>
        </w:rPr>
        <w:t>的定义：</w:t>
      </w:r>
      <w:r>
        <w:rPr>
          <w:rFonts w:ascii="仿宋;方正仿宋_GBK" w:hAnsi="仿宋;方正仿宋_GBK" w:cs="仿宋;方正仿宋_GBK" w:eastAsia="仿宋;方正仿宋_GBK"/>
          <w:color w:val="333333"/>
          <w:sz w:val="24"/>
          <w:szCs w:val="24"/>
          <w:shd w:fill="FFFFFF" w:val="clear"/>
        </w:rPr>
        <w:t>符合法定生育条件的夫妻，在子女</w:t>
      </w:r>
      <w:r>
        <w:rPr>
          <w:rFonts w:eastAsia="仿宋;方正仿宋_GBK" w:cs="仿宋;方正仿宋_GBK" w:ascii="仿宋;方正仿宋_GBK" w:hAnsi="仿宋;方正仿宋_GBK"/>
          <w:color w:val="333333"/>
          <w:sz w:val="24"/>
          <w:szCs w:val="24"/>
          <w:shd w:fill="FFFFFF" w:val="clear"/>
        </w:rPr>
        <w:t>3</w:t>
      </w:r>
      <w:r>
        <w:rPr>
          <w:rFonts w:ascii="仿宋;方正仿宋_GBK" w:hAnsi="仿宋;方正仿宋_GBK" w:cs="仿宋;方正仿宋_GBK" w:eastAsia="仿宋;方正仿宋_GBK"/>
          <w:color w:val="333333"/>
          <w:sz w:val="24"/>
          <w:szCs w:val="24"/>
          <w:shd w:fill="FFFFFF" w:val="clear"/>
        </w:rPr>
        <w:t>周岁以内，夫妻双方每年均可享受</w:t>
      </w:r>
      <w:r>
        <w:rPr>
          <w:rFonts w:eastAsia="仿宋;方正仿宋_GBK" w:cs="仿宋;方正仿宋_GBK" w:ascii="仿宋;方正仿宋_GBK" w:hAnsi="仿宋;方正仿宋_GBK"/>
          <w:color w:val="333333"/>
          <w:sz w:val="24"/>
          <w:szCs w:val="24"/>
          <w:shd w:fill="FFFFFF" w:val="clear"/>
        </w:rPr>
        <w:t>10</w:t>
      </w:r>
      <w:r>
        <w:rPr>
          <w:rFonts w:ascii="仿宋;方正仿宋_GBK" w:hAnsi="仿宋;方正仿宋_GBK" w:cs="仿宋;方正仿宋_GBK" w:eastAsia="仿宋;方正仿宋_GBK"/>
          <w:color w:val="333333"/>
          <w:sz w:val="24"/>
          <w:szCs w:val="24"/>
          <w:shd w:fill="FFFFFF" w:val="clear"/>
        </w:rPr>
        <w:t>天育儿假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</w:rPr>
        <w:t>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ind w:firstLine="482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  <w:lang w:val="en-US" w:eastAsia="zh-CN"/>
        </w:rPr>
        <w:t>2.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假期安排：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《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条例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》发布之日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2021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年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12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3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日）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起，符合政策规定生育子女的夫妻，子女在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3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周岁之前，公司给予夫妻双方每年分别享受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10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天的育儿假。国家法定休假日不计入育儿假假期。每年的育儿假不按照子女数量叠加享受。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ind w:firstLine="480" w:end="0"/>
        <w:textAlignment w:val="auto"/>
        <w:rPr>
          <w:rFonts w:ascii="仿宋;方正仿宋_GBK" w:hAnsi="仿宋;方正仿宋_GBK" w:eastAsia="仿宋;方正仿宋_GBK" w:cs="仿宋;方正仿宋_GBK"/>
          <w:b w:val="false"/>
          <w:bCs w:val="false"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b w:val="false"/>
          <w:bCs w:val="false"/>
          <w:color w:val="000000"/>
          <w:sz w:val="24"/>
          <w:szCs w:val="24"/>
        </w:rPr>
        <w:t>注：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60"/>
        <w:ind w:firstLine="480" w:start="0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1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）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当年度新入职、离职员工可享受的假期天数，应当按照员工当年已工作时间折算应休未休育儿假天数。折算方法为：（当年度在本单位已过日历天数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÷365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天）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×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员工当年度应享受的育儿假天数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-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当年度已安排育儿假天数。折算后不满一天时，舍零取整。如出现员工多休育儿假情况，按事假扣回。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60"/>
        <w:ind w:firstLine="480" w:start="0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2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）如员工的育儿假在《条例》发布之日至公司政策还未公布期间的，可以按照《条例》规定享受应得育儿假。员工的育儿假可以一次性享受，也可以分次享受。当年度未休完的育儿假作清零处理，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不另行计发加班工资，也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不可延长下一年度补休。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60"/>
        <w:ind w:firstLine="482" w:end="0"/>
        <w:jc w:val="start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</w:rPr>
        <w:t>3.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需提供资料：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持生育证明、子女的户口本、子女的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</w:rPr>
        <w:t>出生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  <w:lang w:eastAsia="zh-CN"/>
        </w:rPr>
        <w:t>医学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</w:rPr>
        <w:t>证明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等资料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到所在部门申请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，流程通过后方可享受育儿假。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ind w:firstLine="482" w:end="0"/>
        <w:jc w:val="start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</w:rPr>
        <w:t>4.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其他：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若员工所在地关于育儿假另有政策规定的，以当地政策为准。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jc w:val="start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  <w:lang w:eastAsia="zh-CN"/>
        </w:rPr>
      </w:pP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textAlignment w:val="auto"/>
        <w:rPr>
          <w:rStyle w:val="Strong"/>
          <w:rFonts w:ascii="仿宋;方正仿宋_GBK" w:hAnsi="仿宋;方正仿宋_GBK" w:eastAsia="仿宋;方正仿宋_GBK" w:cs="仿宋;方正仿宋_GBK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</w:pPr>
      <w:r>
        <w:rPr>
          <w:rStyle w:val="Strong"/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val="en-US" w:eastAsia="zh-CN"/>
        </w:rPr>
        <w:t>二、</w:t>
      </w:r>
      <w:r>
        <w:rPr>
          <w:rStyle w:val="Strong"/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独生子女父母护理假</w:t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firstLine="482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  <w:lang w:val="en-US" w:eastAsia="zh-CN"/>
        </w:rPr>
        <w:t>1.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独生子女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  <w:lang w:eastAsia="zh-CN"/>
        </w:rPr>
        <w:t>父母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护理假的定义：</w:t>
      </w:r>
      <w:r>
        <w:rPr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父母年满</w:t>
      </w:r>
      <w:r>
        <w:rPr>
          <w:rFonts w:eastAsia="仿宋;方正仿宋_GBK" w:cs="仿宋;方正仿宋_GBK" w:ascii="仿宋;方正仿宋_GBK" w:hAnsi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60</w:t>
      </w:r>
      <w:r>
        <w:rPr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周岁，因病住院治疗期间</w:t>
      </w:r>
      <w:r>
        <w:rPr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eastAsia="zh-CN"/>
        </w:rPr>
        <w:t>，其独生</w:t>
      </w:r>
      <w:r>
        <w:rPr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子女每年可累计享受</w:t>
      </w:r>
      <w:r>
        <w:rPr>
          <w:rFonts w:eastAsia="仿宋;方正仿宋_GBK" w:cs="仿宋;方正仿宋_GBK" w:ascii="仿宋;方正仿宋_GBK" w:hAnsi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15</w:t>
      </w:r>
      <w:r>
        <w:rPr>
          <w:rFonts w:ascii="仿宋;方正仿宋_GBK" w:hAnsi="仿宋;方正仿宋_GBK" w:cs="仿宋;方正仿宋_GBK" w:eastAsia="仿宋;方正仿宋_GBK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天的护理假。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ind w:firstLine="482" w:end="0"/>
        <w:textAlignment w:val="auto"/>
        <w:rPr>
          <w:rFonts w:ascii="仿宋;方正仿宋_GBK" w:hAnsi="仿宋;方正仿宋_GBK" w:eastAsia="仿宋;方正仿宋_GBK" w:cs="仿宋;方正仿宋_GBK"/>
          <w:b/>
          <w:bCs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</w:rPr>
        <w:t>2.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假期安排：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《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条例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》发布之日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2021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年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12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3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日）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起，符合政策法规的独生子女员工，其父母年满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60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周岁后患病住院期间，独生子女员工每年享受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1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5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天的护理假，其每年享受的父母护理假可以一次性享受，也可以分次享受。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ind w:firstLine="482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</w:rPr>
        <w:t>3.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需提供的资料：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持独生子女父母光荣证或独生子女证、父母身份证件、医疗机构诊断证明、住院证明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  <w:lang w:eastAsia="zh-CN"/>
        </w:rPr>
        <w:t>住院病案首页、入院记录、出院记录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）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等资料到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所在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部门申请，流程通过后方可享受独生子女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父母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护理假。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ind w:firstLine="480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注：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60"/>
        <w:ind w:firstLine="480" w:start="0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1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）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当年度新入职、离职员工可享受的假期天数，应当按照员工当年已工作时间折算应休未休护理假天数。折算方法为：（当年度在本单位已过日历天数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÷365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天）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×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员工当年度应享受的护理假天数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</w:rPr>
        <w:t>-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当年度已安排护理假天数。折算后不满一天时，舍零取整。如出现员工多休护理假情况，按事假扣回。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60"/>
        <w:ind w:firstLine="480" w:start="0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  <w:lang w:eastAsia="zh-CN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2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）当年度未休完的护理假作清零处理，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val="en-US" w:eastAsia="zh-CN"/>
        </w:rPr>
        <w:t>不另行计发加班工资，也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不可延长至下一年度补休。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false"/>
        <w:spacing w:lineRule="exact" w:line="460"/>
        <w:ind w:firstLine="480" w:start="0" w:end="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  <w:lang w:eastAsia="zh-CN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000000"/>
          <w:sz w:val="24"/>
          <w:szCs w:val="24"/>
          <w:lang w:val="en-US" w:eastAsia="zh-CN"/>
        </w:rPr>
        <w:t>3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）申请时无法提供住院证明相关材料的，需在假期结束之日起七个工作日内及时提交，由内勤核验原件，留存复印件归档。逾期不交者，将按照弄虚作假处理。</w:t>
      </w:r>
    </w:p>
    <w:p>
      <w:pPr>
        <w:pStyle w:val="Style18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60"/>
        <w:textAlignment w:val="auto"/>
        <w:rPr>
          <w:rFonts w:ascii="仿宋;方正仿宋_GBK" w:hAnsi="仿宋;方正仿宋_GBK" w:eastAsia="仿宋;方正仿宋_GBK" w:cs="仿宋;方正仿宋_GBK"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bCs/>
          <w:color w:val="000000"/>
          <w:sz w:val="24"/>
          <w:szCs w:val="24"/>
        </w:rPr>
        <w:t>4.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</w:rPr>
        <w:t>其他：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若员工所在地关于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lang w:eastAsia="zh-CN"/>
        </w:rPr>
        <w:t>独生子女父母护理假</w:t>
      </w: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</w:rPr>
        <w:t>另有政策规定的，以当地政策为准。</w:t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</w:rPr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hanging="0" w:start="0"/>
        <w:jc w:val="start"/>
        <w:textAlignment w:val="auto"/>
        <w:rPr>
          <w:rFonts w:ascii="仿宋;方正仿宋_GBK" w:hAnsi="仿宋;方正仿宋_GBK" w:eastAsia="仿宋;方正仿宋_GBK" w:cs="仿宋;方正仿宋_GBK"/>
          <w:b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b/>
          <w:color w:val="000000"/>
          <w:sz w:val="24"/>
          <w:szCs w:val="24"/>
        </w:rPr>
        <w:t>审批流程：</w:t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666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textAlignment w:val="auto"/>
        <w:rPr>
          <w:rFonts w:ascii="仿宋;方正仿宋_GBK" w:hAnsi="仿宋;方正仿宋_GBK" w:eastAsia="仿宋;方正仿宋_GBK" w:cs="仿宋;方正仿宋_GBK"/>
          <w:b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color w:val="000000"/>
          <w:sz w:val="24"/>
          <w:szCs w:val="24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666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textAlignment w:val="auto"/>
        <w:rPr>
          <w:rFonts w:ascii="仿宋;方正仿宋_GBK" w:hAnsi="仿宋;方正仿宋_GBK" w:eastAsia="仿宋;方正仿宋_GBK" w:cs="仿宋;方正仿宋_GBK"/>
          <w:b/>
          <w:color w:val="000000"/>
          <w:sz w:val="24"/>
          <w:szCs w:val="24"/>
        </w:rPr>
      </w:pPr>
      <w:r>
        <w:rPr>
          <w:rFonts w:eastAsia="仿宋;方正仿宋_GBK" w:cs="仿宋;方正仿宋_GBK" w:ascii="仿宋;方正仿宋_GBK" w:hAnsi="仿宋;方正仿宋_GBK"/>
          <w:b/>
          <w:color w:val="000000"/>
          <w:sz w:val="24"/>
          <w:szCs w:val="24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261620</wp:posOffset>
                </wp:positionH>
                <wp:positionV relativeFrom="paragraph">
                  <wp:posOffset>49530</wp:posOffset>
                </wp:positionV>
                <wp:extent cx="5481955" cy="1656080"/>
                <wp:effectExtent l="5080" t="5080" r="5080" b="5080"/>
                <wp:wrapNone/>
                <wp:docPr id="1" name="组合 1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080" cy="1656000"/>
                          <a:chOff x="0" y="0"/>
                          <a:chExt cx="5482080" cy="1656000"/>
                        </a:xfrm>
                      </wpg:grpSpPr>
                      <wps:wsp>
                        <wps:cNvSpPr/>
                        <wps:spPr>
                          <a:xfrm>
                            <a:off x="4262760" y="124920"/>
                            <a:ext cx="245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3960" y="123120"/>
                            <a:ext cx="0" cy="1389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531960" y="0"/>
                            <a:ext cx="75708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仿宋;方正仿宋_GBK" w:hAnsi="仿宋;方正仿宋_GBK" w:eastAsia="仿宋;方正仿宋_GBK" w:cs="仿宋;方正仿宋_GBK"/>
                                  <w:color w:val="auto"/>
                                  <w:lang w:val="en-US" w:eastAsia="zh-CN" w:bidi="ar-SA"/>
                                </w:rPr>
                                <w:t>隔级上级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281040" y="154440"/>
                            <a:ext cx="250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16040" y="0"/>
                            <a:ext cx="75708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仿宋;方正仿宋_GBK" w:hAnsi="仿宋;方正仿宋_GBK" w:eastAsia="仿宋;方正仿宋_GBK" w:cs="仿宋;方正仿宋_GBK"/>
                                  <w:color w:val="auto"/>
                                  <w:lang w:val="en-US" w:eastAsia="zh-CN" w:bidi="ar-SA"/>
                                </w:rPr>
                                <w:t>直接上级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9640" y="150480"/>
                            <a:ext cx="250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1840" y="227880"/>
                            <a:ext cx="0" cy="73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78880" y="8280"/>
                            <a:ext cx="76572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kern w:val="2"/>
                                  <w:szCs w:val="21"/>
                                  <w:bCs/>
                                  <w:rFonts w:ascii="仿宋;方正仿宋_GBK" w:hAnsi="仿宋;方正仿宋_GBK" w:eastAsia="仿宋;方正仿宋_GBK" w:cs="仿宋;方正仿宋_GBK"/>
                                  <w:color w:val="000000"/>
                                  <w:lang w:val="en-US" w:eastAsia="zh-CN" w:bidi="ar-SA"/>
                                </w:rPr>
                                <w:t>5天以上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68000"/>
                            <a:ext cx="129168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仿宋;方正仿宋_GBK" w:hAnsi="仿宋;方正仿宋_GBK" w:eastAsia="仿宋;方正仿宋_GBK" w:cs="仿宋;方正仿宋_GBK"/>
                                  <w:color w:val="auto"/>
                                  <w:lang w:val="en-US" w:eastAsia="zh-CN" w:bidi="ar-SA"/>
                                </w:rPr>
                                <w:t>员工提交申请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97440" y="601200"/>
                            <a:ext cx="5544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747320" y="609120"/>
                            <a:ext cx="73476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仿宋;方正仿宋_GBK" w:hAnsi="仿宋;方正仿宋_GBK" w:eastAsia="仿宋;方正仿宋_GBK" w:cs="仿宋;方正仿宋_GBK"/>
                                  <w:color w:val="auto"/>
                                  <w:lang w:val="en-US" w:eastAsia="zh-CN" w:bidi="ar-SA"/>
                                </w:rPr>
                                <w:t>部门内勤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11160" y="770760"/>
                            <a:ext cx="2253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96440" y="931680"/>
                            <a:ext cx="95184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kern w:val="2"/>
                                  <w:szCs w:val="21"/>
                                  <w:bCs/>
                                  <w:rFonts w:ascii="仿宋;方正仿宋_GBK" w:hAnsi="仿宋;方正仿宋_GBK" w:eastAsia="仿宋;方正仿宋_GBK" w:cs="仿宋;方正仿宋_GBK"/>
                                  <w:color w:val="000000"/>
                                  <w:lang w:val="en-US" w:eastAsia="zh-CN" w:bidi="ar-SA"/>
                                </w:rPr>
                                <w:t>5天（含以下）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86640" y="1367640"/>
                            <a:ext cx="827280" cy="28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仿宋;方正仿宋_GBK" w:hAnsi="仿宋;方正仿宋_GBK" w:eastAsia="仿宋;方正仿宋_GBK" w:cs="仿宋;方正仿宋_GBK"/>
                                  <w:color w:val="auto"/>
                                  <w:lang w:val="en-US" w:eastAsia="zh-CN" w:bidi="ar-SA"/>
                                </w:rPr>
                                <w:t>直接上级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47160" y="1218600"/>
                            <a:ext cx="0" cy="295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1840" y="1510560"/>
                            <a:ext cx="12362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7960" y="1508040"/>
                            <a:ext cx="575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48" style="position:absolute;margin-left:20.6pt;margin-top:3.9pt;width:431.65pt;height:130.4pt" coordorigin="412,78" coordsize="8633,2608">
                <v:line id="shape_0" from="7125,275" to="7511,275" ID="直线 13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505,272" to="7505,2459" ID="直线 8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5974;top:78;width:1191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仿宋;方正仿宋_GBK" w:hAnsi="仿宋;方正仿宋_GBK" w:eastAsia="仿宋;方正仿宋_GBK" w:cs="仿宋;方正仿宋_GBK"/>
                            <w:color w:val="auto"/>
                            <w:lang w:val="en-US" w:eastAsia="zh-CN" w:bidi="ar-SA"/>
                          </w:rPr>
                          <w:t>隔级上级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579,321" to="5972,321" ID="直线 71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374;top:78;width:1191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仿宋;方正仿宋_GBK" w:hAnsi="仿宋;方正仿宋_GBK" w:eastAsia="仿宋;方正仿宋_GBK" w:cs="仿宋;方正仿宋_GBK"/>
                            <w:color w:val="auto"/>
                            <w:lang w:val="en-US" w:eastAsia="zh-CN" w:bidi="ar-SA"/>
                          </w:rPr>
                          <w:t>直接上级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955,315" to="4349,315" ID="直线 6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28,437" to="3328,1589" ID="直线 6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741;top:91;width:1205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kern w:val="2"/>
                            <w:szCs w:val="21"/>
                            <w:bCs/>
                            <w:rFonts w:ascii="仿宋;方正仿宋_GBK" w:hAnsi="仿宋;方正仿宋_GBK" w:eastAsia="仿宋;方正仿宋_GBK" w:cs="仿宋;方正仿宋_GBK"/>
                            <w:color w:val="000000"/>
                            <w:lang w:val="en-US" w:eastAsia="zh-CN" w:bidi="ar-SA"/>
                          </w:rPr>
                          <w:t>5天以上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12;top:815;width:2033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仿宋;方正仿宋_GBK" w:hAnsi="仿宋;方正仿宋_GBK" w:eastAsia="仿宋;方正仿宋_GBK" w:cs="仿宋;方正仿宋_GBK"/>
                            <w:color w:val="auto"/>
                            <w:lang w:val="en-US" w:eastAsia="zh-CN" w:bidi="ar-SA"/>
                          </w:rPr>
                          <w:t>员工提交申请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455,1025" to="3327,1025" ID="直线 14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888;top:1037;width:1156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仿宋;方正仿宋_GBK" w:hAnsi="仿宋;方正仿宋_GBK" w:eastAsia="仿宋;方正仿宋_GBK" w:cs="仿宋;方正仿宋_GBK"/>
                            <w:color w:val="auto"/>
                            <w:lang w:val="en-US" w:eastAsia="zh-CN" w:bidi="ar-SA"/>
                          </w:rPr>
                          <w:t>部门内勤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7516,1292" to="7870,1292" ID="直线 8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611;top:1545;width:1498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 w:val="false"/>
                            <w:kern w:val="2"/>
                            <w:szCs w:val="21"/>
                            <w:bCs/>
                            <w:rFonts w:ascii="仿宋;方正仿宋_GBK" w:hAnsi="仿宋;方正仿宋_GBK" w:eastAsia="仿宋;方正仿宋_GBK" w:cs="仿宋;方正仿宋_GBK"/>
                            <w:color w:val="000000"/>
                            <w:lang w:val="en-US" w:eastAsia="zh-CN" w:bidi="ar-SA"/>
                          </w:rPr>
                          <w:t>5天（含以下）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73;top:2232;width:1302;height:4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仿宋;方正仿宋_GBK" w:hAnsi="仿宋;方正仿宋_GBK" w:eastAsia="仿宋;方正仿宋_GBK" w:cs="仿宋;方正仿宋_GBK"/>
                            <w:color w:val="auto"/>
                            <w:lang w:val="en-US" w:eastAsia="zh-CN" w:bidi="ar-SA"/>
                          </w:rPr>
                          <w:t>直接上级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21,1997" to="3321,2461" ID="直线 7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28,2457" to="5274,2457" ID="直线 7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598,2453" to="7503,2453" ID="直线 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楷体;汉仪楷体KW" w:hAnsi="楷体;汉仪楷体KW" w:cs="楷体;汉仪楷体KW" w:eastAsia="楷体;汉仪楷体KW"/>
          <w:b/>
          <w:color w:val="000000"/>
          <w:sz w:val="24"/>
          <w:szCs w:val="24"/>
          <w:lang w:val="en-US" w:eastAsia="zh-CN"/>
        </w:rPr>
        <w:t xml:space="preserve">                                    </w:t>
      </w: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  <w:lang w:val="en-US" w:eastAsia="zh-CN"/>
        </w:rPr>
        <w:t xml:space="preserve">  </w:t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ind w:firstLine="4080" w:end="0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ind w:firstLine="4084" w:end="0"/>
        <w:rPr>
          <w:rFonts w:ascii="楷体;汉仪楷体KW" w:hAnsi="楷体;汉仪楷体KW" w:eastAsia="楷体;汉仪楷体KW" w:cs="楷体;汉仪楷体KW"/>
          <w:b/>
          <w:bCs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bCs/>
          <w:color w:val="000000"/>
          <w:sz w:val="24"/>
          <w:szCs w:val="24"/>
          <w:lang w:val="en-US" w:eastAsia="zh-CN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 w:eastAsia="zh-CN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 w:eastAsia="zh-CN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 w:eastAsia="zh-CN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 w:eastAsia="zh-CN"/>
        </w:rPr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ascii="楷体;汉仪楷体KW" w:hAnsi="楷体;汉仪楷体KW" w:cs="楷体;汉仪楷体KW" w:eastAsia="楷体;汉仪楷体KW"/>
          <w:b/>
          <w:color w:val="000000"/>
          <w:sz w:val="24"/>
          <w:szCs w:val="24"/>
          <w:lang w:val="en-US" w:eastAsia="zh-CN"/>
        </w:rPr>
        <w:t>审批材料：</w:t>
      </w:r>
    </w:p>
    <w:p>
      <w:pPr>
        <w:pStyle w:val="Style18"/>
        <w:tabs>
          <w:tab w:val="clear" w:pos="425"/>
          <w:tab w:val="left" w:pos="6660" w:leader="none"/>
        </w:tabs>
        <w:snapToGrid w:val="false"/>
        <w:spacing w:lineRule="auto" w:line="360" w:before="120" w:after="120"/>
        <w:jc w:val="start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 w:eastAsia="zh-CN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1550670</wp:posOffset>
                </wp:positionH>
                <wp:positionV relativeFrom="paragraph">
                  <wp:posOffset>231775</wp:posOffset>
                </wp:positionV>
                <wp:extent cx="790575" cy="635"/>
                <wp:effectExtent l="635" t="5080" r="635" b="5080"/>
                <wp:wrapNone/>
                <wp:docPr id="2" name="直线 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1pt,18.25pt" to="184.3pt,18.25pt" ID="直线 25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3221990</wp:posOffset>
                </wp:positionH>
                <wp:positionV relativeFrom="paragraph">
                  <wp:posOffset>206375</wp:posOffset>
                </wp:positionV>
                <wp:extent cx="885825" cy="635"/>
                <wp:effectExtent l="635" t="5080" r="635" b="5080"/>
                <wp:wrapNone/>
                <wp:docPr id="3" name="直线 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7pt,16.25pt" to="323.4pt,16.25pt" ID="直线 25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641985</wp:posOffset>
                </wp:positionH>
                <wp:positionV relativeFrom="paragraph">
                  <wp:posOffset>88900</wp:posOffset>
                </wp:positionV>
                <wp:extent cx="913765" cy="29718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仿宋;方正仿宋_GBK" w:hAnsi="仿宋;方正仿宋_GBK" w:eastAsia="仿宋;方正仿宋_GBK" w:cs="仿宋;方正仿宋_GBK"/>
                                <w:lang w:eastAsia="zh-CN"/>
                              </w:rPr>
                            </w:pPr>
                            <w:r>
                              <w:rPr>
                                <w:rFonts w:ascii="仿宋;方正仿宋_GBK" w:hAnsi="仿宋;方正仿宋_GBK" w:cs="仿宋;方正仿宋_GBK" w:eastAsia="仿宋;方正仿宋_GBK"/>
                                <w:lang w:eastAsia="zh-CN"/>
                              </w:rPr>
                              <w:t>请假流程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71.95pt;height:23.4pt;mso-wrap-distance-left:9.05pt;mso-wrap-distance-right:9.05pt;mso-wrap-distance-top:0pt;mso-wrap-distance-bottom:0pt;margin-top:7pt;mso-position-vertical-relative:text;margin-left:50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仿宋;方正仿宋_GBK" w:hAnsi="仿宋;方正仿宋_GBK" w:eastAsia="仿宋;方正仿宋_GBK" w:cs="仿宋;方正仿宋_GBK"/>
                          <w:lang w:eastAsia="zh-CN"/>
                        </w:rPr>
                      </w:pPr>
                      <w:r>
                        <w:rPr>
                          <w:rFonts w:ascii="仿宋;方正仿宋_GBK" w:hAnsi="仿宋;方正仿宋_GBK" w:cs="仿宋;方正仿宋_GBK" w:eastAsia="仿宋;方正仿宋_GBK"/>
                          <w:lang w:eastAsia="zh-CN"/>
                        </w:rPr>
                        <w:t>请假流程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2379345</wp:posOffset>
                </wp:positionH>
                <wp:positionV relativeFrom="paragraph">
                  <wp:posOffset>84455</wp:posOffset>
                </wp:positionV>
                <wp:extent cx="1438275" cy="285750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仿宋;方正仿宋_GBK" w:hAnsi="仿宋;方正仿宋_GBK" w:eastAsia="仿宋;方正仿宋_GBK" w:cs="仿宋;方正仿宋_GBK"/>
                                <w:lang w:eastAsia="zh-CN"/>
                              </w:rPr>
                            </w:pPr>
                            <w:r>
                              <w:rPr>
                                <w:rFonts w:ascii="仿宋;方正仿宋_GBK" w:hAnsi="仿宋;方正仿宋_GBK" w:cs="仿宋;方正仿宋_GBK" w:eastAsia="仿宋;方正仿宋_GBK"/>
                                <w:lang w:eastAsia="zh-CN"/>
                              </w:rPr>
                              <w:t>无请假流程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3.25pt;height:22.5pt;mso-wrap-distance-left:9.05pt;mso-wrap-distance-right:9.05pt;mso-wrap-distance-top:0pt;mso-wrap-distance-bottom:0pt;margin-top:6.65pt;mso-position-vertical-relative:text;margin-left:187.3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仿宋;方正仿宋_GBK" w:hAnsi="仿宋;方正仿宋_GBK" w:eastAsia="仿宋;方正仿宋_GBK" w:cs="仿宋;方正仿宋_GBK"/>
                          <w:lang w:eastAsia="zh-CN"/>
                        </w:rPr>
                      </w:pPr>
                      <w:r>
                        <w:rPr>
                          <w:rFonts w:ascii="仿宋;方正仿宋_GBK" w:hAnsi="仿宋;方正仿宋_GBK" w:cs="仿宋;方正仿宋_GBK" w:eastAsia="仿宋;方正仿宋_GBK"/>
                          <w:lang w:eastAsia="zh-CN"/>
                        </w:rPr>
                        <w:t>无请假流程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4098925</wp:posOffset>
                </wp:positionH>
                <wp:positionV relativeFrom="paragraph">
                  <wp:posOffset>67945</wp:posOffset>
                </wp:positionV>
                <wp:extent cx="895350" cy="297180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仿宋;方正仿宋_GBK" w:hAnsi="仿宋;方正仿宋_GBK" w:eastAsia="仿宋;方正仿宋_GBK" w:cs="仿宋;方正仿宋_GBK"/>
                                <w:lang w:eastAsia="zh-CN"/>
                              </w:rPr>
                            </w:pPr>
                            <w:r>
                              <w:rPr>
                                <w:rFonts w:ascii="仿宋;方正仿宋_GBK" w:hAnsi="仿宋;方正仿宋_GBK" w:cs="仿宋;方正仿宋_GBK" w:eastAsia="仿宋;方正仿宋_GBK"/>
                                <w:lang w:eastAsia="zh-CN"/>
                              </w:rPr>
                              <w:t>视为旷工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70.5pt;height:23.4pt;mso-wrap-distance-left:9.05pt;mso-wrap-distance-right:9.05pt;mso-wrap-distance-top:0pt;mso-wrap-distance-bottom:0pt;margin-top:5.35pt;mso-position-vertical-relative:text;margin-left:322.75pt;mso-position-horizontal-relative:text">
                <v:fill opacity="0f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仿宋;方正仿宋_GBK" w:hAnsi="仿宋;方正仿宋_GBK" w:eastAsia="仿宋;方正仿宋_GBK" w:cs="仿宋;方正仿宋_GBK"/>
                          <w:lang w:eastAsia="zh-CN"/>
                        </w:rPr>
                      </w:pPr>
                      <w:r>
                        <w:rPr>
                          <w:rFonts w:ascii="仿宋;方正仿宋_GBK" w:hAnsi="仿宋;方正仿宋_GBK" w:cs="仿宋;方正仿宋_GBK" w:eastAsia="仿宋;方正仿宋_GBK"/>
                          <w:lang w:eastAsia="zh-CN"/>
                        </w:rPr>
                        <w:t>视为旷工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666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jc w:val="both"/>
        <w:textAlignment w:val="auto"/>
        <w:rPr>
          <w:rFonts w:ascii="楷体;汉仪楷体KW" w:hAnsi="楷体;汉仪楷体KW" w:eastAsia="楷体;汉仪楷体KW" w:cs="楷体;汉仪楷体KW"/>
          <w:b/>
          <w:color w:val="000000"/>
          <w:sz w:val="24"/>
          <w:szCs w:val="24"/>
          <w:lang w:val="en-US" w:eastAsia="zh-CN"/>
        </w:rPr>
      </w:pPr>
      <w:r>
        <w:rPr>
          <w:rFonts w:eastAsia="楷体;汉仪楷体KW" w:cs="楷体;汉仪楷体KW" w:ascii="楷体;汉仪楷体KW" w:hAnsi="楷体;汉仪楷体KW"/>
          <w:b/>
          <w:color w:val="000000"/>
          <w:sz w:val="24"/>
          <w:szCs w:val="24"/>
          <w:lang w:val="en-US"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666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jc w:val="both"/>
        <w:textAlignment w:val="auto"/>
        <w:rPr>
          <w:rFonts w:ascii="仿宋;方正仿宋_GBK" w:hAnsi="仿宋;方正仿宋_GBK" w:eastAsia="仿宋;方正仿宋_GBK" w:cs="仿宋;方正仿宋_GBK"/>
          <w:b/>
          <w:bCs w:val="false"/>
          <w:color w:val="000000"/>
          <w:sz w:val="24"/>
          <w:szCs w:val="24"/>
          <w:lang w:val="en-US" w:eastAsia="zh-CN"/>
        </w:rPr>
      </w:pPr>
      <w:r>
        <w:rPr>
          <w:rFonts w:ascii="楷体;汉仪楷体KW" w:hAnsi="楷体;汉仪楷体KW" w:cs="楷体;汉仪楷体KW" w:eastAsia="楷体;汉仪楷体KW"/>
          <w:b/>
          <w:color w:val="000000"/>
          <w:sz w:val="24"/>
          <w:szCs w:val="24"/>
          <w:lang w:val="en-US" w:eastAsia="zh-CN"/>
        </w:rPr>
        <w:t>三、</w:t>
      </w:r>
      <w:r>
        <w:rPr>
          <w:rFonts w:ascii="仿宋;方正仿宋_GBK" w:hAnsi="仿宋;方正仿宋_GBK" w:cs="仿宋;方正仿宋_GBK" w:eastAsia="仿宋;方正仿宋_GBK"/>
          <w:b/>
          <w:bCs w:val="false"/>
          <w:color w:val="000000"/>
          <w:sz w:val="24"/>
          <w:szCs w:val="24"/>
          <w:lang w:val="en-US" w:eastAsia="zh-CN"/>
        </w:rPr>
        <w:t>关于休假的其他说明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hanging="0" w:start="0"/>
        <w:jc w:val="start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val="en-US" w:eastAsia="zh-CN"/>
        </w:rPr>
      </w:pP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  <w:lang w:val="en-US" w:eastAsia="zh-CN"/>
        </w:rPr>
        <w:t>（</w:t>
      </w: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  <w:t>1</w:t>
      </w: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  <w:lang w:val="en-US" w:eastAsia="zh-CN"/>
        </w:rPr>
        <w:t>）</w:t>
      </w:r>
      <w:r>
        <w:rPr>
          <w:rStyle w:val="Strong"/>
          <w:rFonts w:ascii="仿宋;方正仿宋_GBK" w:hAnsi="仿宋;方正仿宋_GBK" w:cs="仿宋;方正仿宋_GBK" w:eastAsia="仿宋;方正仿宋_GBK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eastAsia="zh-CN"/>
        </w:rPr>
        <w:t>适用对象：湖南地区购物中心、百货、超市事业部、物流中心全体全职自营员工；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hanging="0" w:start="0"/>
        <w:jc w:val="start"/>
        <w:textAlignment w:val="auto"/>
        <w:rPr>
          <w:rFonts w:ascii="仿宋;方正仿宋_GBK" w:hAnsi="仿宋;方正仿宋_GBK" w:eastAsia="仿宋;方正仿宋_GBK" w:cs="仿宋;方正仿宋_GBK"/>
          <w:b w:val="false"/>
          <w:bCs w:val="false"/>
          <w:color w:val="333333"/>
          <w:sz w:val="24"/>
          <w:szCs w:val="24"/>
          <w:shd w:fill="FFFFFF" w:val="clear"/>
          <w:lang w:eastAsia="zh-CN"/>
        </w:rPr>
      </w:pPr>
      <w:r>
        <w:rPr>
          <w:rFonts w:ascii="仿宋;方正仿宋_GBK" w:hAnsi="仿宋;方正仿宋_GBK" w:cs="仿宋;方正仿宋_GBK" w:eastAsia="仿宋;方正仿宋_GBK"/>
          <w:b w:val="false"/>
          <w:bCs w:val="false"/>
          <w:color w:val="333333"/>
          <w:sz w:val="24"/>
          <w:szCs w:val="24"/>
          <w:shd w:fill="FFFFFF" w:val="clear"/>
          <w:lang w:eastAsia="zh-CN"/>
        </w:rPr>
        <w:t>（</w:t>
      </w:r>
      <w:r>
        <w:rPr>
          <w:rFonts w:eastAsia="仿宋;方正仿宋_GBK" w:cs="仿宋;方正仿宋_GBK" w:ascii="仿宋;方正仿宋_GBK" w:hAnsi="仿宋;方正仿宋_GBK"/>
          <w:b w:val="false"/>
          <w:bCs w:val="false"/>
          <w:color w:val="333333"/>
          <w:sz w:val="24"/>
          <w:szCs w:val="24"/>
          <w:shd w:fill="FFFFFF" w:val="clear"/>
          <w:lang w:val="en-US" w:eastAsia="zh-CN"/>
        </w:rPr>
        <w:t>2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color w:val="333333"/>
          <w:sz w:val="24"/>
          <w:szCs w:val="24"/>
          <w:shd w:fill="FFFFFF" w:val="clear"/>
          <w:lang w:eastAsia="zh-CN"/>
        </w:rPr>
        <w:t>）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</w:rPr>
        <w:t>若员工所在地关于育儿假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  <w:lang w:eastAsia="zh-CN"/>
        </w:rPr>
        <w:t>、</w:t>
      </w:r>
      <w:r>
        <w:rPr>
          <w:rStyle w:val="Strong"/>
          <w:rFonts w:ascii="仿宋;方正仿宋_GBK" w:hAnsi="仿宋;方正仿宋_GBK" w:cs="仿宋;方正仿宋_GBK" w:eastAsia="仿宋;方正仿宋_GBK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独生子女父母护理假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</w:rPr>
        <w:t>另有政策规定的，以当地政策为准</w:t>
      </w:r>
      <w:r>
        <w:rPr>
          <w:rFonts w:ascii="仿宋;方正仿宋_GBK" w:hAnsi="仿宋;方正仿宋_GBK" w:cs="仿宋;方正仿宋_GBK" w:eastAsia="仿宋;方正仿宋_GBK"/>
          <w:b w:val="false"/>
          <w:bCs w:val="false"/>
          <w:sz w:val="24"/>
          <w:szCs w:val="24"/>
          <w:lang w:eastAsia="zh-CN"/>
        </w:rPr>
        <w:t>；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hanging="0" w:start="0"/>
        <w:jc w:val="start"/>
        <w:textAlignment w:val="auto"/>
        <w:rPr>
          <w:rFonts w:ascii="仿宋;方正仿宋_GBK" w:hAnsi="仿宋;方正仿宋_GBK" w:eastAsia="仿宋;方正仿宋_GBK" w:cs="仿宋;方正仿宋_GBK"/>
          <w:b/>
          <w:bCs/>
          <w:color w:val="000000"/>
          <w:sz w:val="24"/>
          <w:szCs w:val="24"/>
          <w:shd w:fill="FFFFFF" w:val="clear"/>
          <w:lang w:val="en-US" w:eastAsia="zh-CN"/>
        </w:rPr>
      </w:pPr>
      <w:r>
        <w:rPr>
          <w:rFonts w:ascii="仿宋;方正仿宋_GBK" w:hAnsi="仿宋;方正仿宋_GBK" w:cs="仿宋;方正仿宋_GBK" w:eastAsia="仿宋;方正仿宋_GBK"/>
          <w:sz w:val="24"/>
          <w:szCs w:val="24"/>
          <w:lang w:val="en-US" w:eastAsia="zh-CN"/>
        </w:rPr>
        <w:t>（</w:t>
      </w:r>
      <w:r>
        <w:rPr>
          <w:rFonts w:eastAsia="仿宋;方正仿宋_GBK" w:cs="仿宋;方正仿宋_GBK" w:ascii="仿宋;方正仿宋_GBK" w:hAnsi="仿宋;方正仿宋_GBK"/>
          <w:sz w:val="24"/>
          <w:szCs w:val="24"/>
          <w:lang w:val="en-US" w:eastAsia="zh-CN"/>
        </w:rPr>
        <w:t>3</w:t>
      </w:r>
      <w:r>
        <w:rPr>
          <w:rFonts w:ascii="仿宋;方正仿宋_GBK" w:hAnsi="仿宋;方正仿宋_GBK" w:cs="仿宋;方正仿宋_GBK" w:eastAsia="仿宋;方正仿宋_GBK"/>
          <w:sz w:val="24"/>
          <w:szCs w:val="24"/>
          <w:lang w:val="en-US" w:eastAsia="zh-CN"/>
        </w:rPr>
        <w:t>）本方案未尽事项，由湖南区行政管理部结合湖南省相关政策文件规定另行处理。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hanging="0" w:start="0"/>
        <w:jc w:val="start"/>
        <w:textAlignment w:val="auto"/>
        <w:rPr>
          <w:rFonts w:ascii="仿宋;方正仿宋_GBK" w:hAnsi="仿宋;方正仿宋_GBK" w:eastAsia="仿宋;方正仿宋_GBK" w:cs="仿宋;方正仿宋_GBK"/>
          <w:b/>
          <w:bCs/>
          <w:color w:val="333333"/>
          <w:sz w:val="24"/>
          <w:szCs w:val="24"/>
          <w:shd w:fill="FFFFFF" w:val="clear"/>
          <w:lang w:val="en-US" w:eastAsia="zh-CN"/>
        </w:rPr>
      </w:pP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  <w:shd w:fill="FFFFFF" w:val="clear"/>
          <w:lang w:val="en-US" w:eastAsia="zh-CN"/>
        </w:rPr>
        <w:t>四、</w:t>
      </w:r>
      <w:r>
        <w:rPr>
          <w:rFonts w:ascii="仿宋;方正仿宋_GBK" w:hAnsi="仿宋;方正仿宋_GBK" w:cs="仿宋;方正仿宋_GBK" w:eastAsia="仿宋;方正仿宋_GBK"/>
          <w:b/>
          <w:bCs/>
          <w:sz w:val="24"/>
          <w:szCs w:val="24"/>
          <w:lang w:val="en-US" w:eastAsia="zh-CN"/>
        </w:rPr>
        <w:t>湖南省关于育儿假、独生子女父母护理假相关政策文件</w:t>
      </w:r>
      <w:r>
        <w:rPr>
          <w:rFonts w:ascii="仿宋;方正仿宋_GBK" w:hAnsi="仿宋;方正仿宋_GBK" w:cs="仿宋;方正仿宋_GBK" w:eastAsia="仿宋;方正仿宋_GBK"/>
          <w:b/>
          <w:bCs/>
          <w:color w:val="000000"/>
          <w:sz w:val="24"/>
          <w:szCs w:val="24"/>
          <w:shd w:fill="FFFFFF" w:val="clear"/>
          <w:lang w:eastAsia="zh-CN"/>
        </w:rPr>
        <w:t>如下：</w:t>
      </w:r>
    </w:p>
    <w:p>
      <w:pPr>
        <w:pStyle w:val="Heading3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60"/>
        <w:textAlignment w:val="auto"/>
        <w:rPr>
          <w:rFonts w:ascii="仿宋;方正仿宋_GBK" w:hAnsi="仿宋;方正仿宋_GBK" w:eastAsia="仿宋;方正仿宋_GBK" w:cs="仿宋;方正仿宋_GBK"/>
          <w:color w:val="333333"/>
          <w:sz w:val="24"/>
          <w:szCs w:val="24"/>
          <w:u w:val="none"/>
          <w:shd w:fill="FFFFFF" w:val="clear"/>
          <w:lang w:val="en-US" w:eastAsia="zh-CN"/>
        </w:rPr>
      </w:pPr>
      <w:r>
        <w:rPr>
          <w:rFonts w:ascii="仿宋;方正仿宋_GBK" w:hAnsi="仿宋;方正仿宋_GBK" w:cs="仿宋;方正仿宋_GBK" w:eastAsia="仿宋;方正仿宋_GBK"/>
          <w:color w:val="333333"/>
          <w:sz w:val="24"/>
          <w:szCs w:val="24"/>
          <w:shd w:fill="FFFFFF" w:val="clear"/>
          <w:lang w:val="en-US" w:eastAsia="zh-CN"/>
        </w:rPr>
        <w:t>（</w:t>
      </w:r>
      <w:r>
        <w:rPr>
          <w:rFonts w:eastAsia="仿宋;方正仿宋_GBK" w:cs="仿宋;方正仿宋_GBK" w:ascii="仿宋;方正仿宋_GBK" w:hAnsi="仿宋;方正仿宋_GBK"/>
          <w:color w:val="333333"/>
          <w:sz w:val="24"/>
          <w:szCs w:val="24"/>
          <w:shd w:fill="FFFFFF" w:val="clear"/>
          <w:lang w:val="en-US" w:eastAsia="zh-CN"/>
        </w:rPr>
        <w:t>1</w:t>
      </w:r>
      <w:r>
        <w:rPr>
          <w:rFonts w:ascii="仿宋;方正仿宋_GBK" w:hAnsi="仿宋;方正仿宋_GBK" w:cs="仿宋;方正仿宋_GBK" w:eastAsia="仿宋;方正仿宋_GBK"/>
          <w:color w:val="333333"/>
          <w:sz w:val="24"/>
          <w:szCs w:val="24"/>
          <w:shd w:fill="FFFFFF" w:val="clear"/>
          <w:lang w:val="en-US" w:eastAsia="zh-CN"/>
        </w:rPr>
        <w:t>）</w:t>
      </w:r>
      <w:r>
        <w:rPr>
          <w:rFonts w:ascii="仿宋;方正仿宋_GBK" w:hAnsi="仿宋;方正仿宋_GBK" w:cs="仿宋;方正仿宋_GBK" w:eastAsia="仿宋;方正仿宋_GBK"/>
          <w:color w:val="333333"/>
          <w:sz w:val="24"/>
          <w:szCs w:val="24"/>
          <w:u w:val="none"/>
          <w:shd w:fill="FFFFFF" w:val="clear"/>
          <w:lang w:val="en-US" w:eastAsia="zh-CN"/>
        </w:rPr>
        <w:t>湖南省人口与计划生育条例；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60"/>
        <w:ind w:firstLine="720" w:end="0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u w:val="none"/>
          <w:shd w:fill="FFFFFF" w:val="clear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u w:val="none"/>
          <w:shd w:fill="FFFFFF" w:val="clear"/>
          <w:lang w:val="en-US" w:eastAsia="zh-CN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34.5pt;margin-top:6.75pt;width:78.05pt;height:70.85pt;mso-wrap-distance-left:9.05pt;mso-wrap-distance-right:9.05pt;mso-position-horizontal-relative:text;mso-position-vertical-relative:text" filled="f" o:ole="">
            <v:imagedata r:id="rId3" o:title=""/>
          </v:shape>
          <o:OLEObject Type="Embed" ProgID="" ShapeID="ole_rId2" DrawAspect="Icon" ObjectID="_1096263654" r:id="rId2"/>
        </w:object>
      </w:r>
    </w:p>
    <w:p>
      <w:pPr>
        <w:pStyle w:val="Style21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60"/>
        <w:ind w:hanging="0" w:start="0" w:end="0"/>
        <w:textAlignment w:val="auto"/>
        <w:rPr>
          <w:rFonts w:ascii="仿宋;方正仿宋_GBK" w:hAnsi="仿宋;方正仿宋_GBK" w:eastAsia="仿宋;方正仿宋_GBK" w:cs="仿宋;方正仿宋_GBK"/>
          <w:color w:val="333333"/>
          <w:sz w:val="24"/>
          <w:szCs w:val="24"/>
          <w:shd w:fill="FFFFFF" w:val="clear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color w:val="333333"/>
          <w:sz w:val="24"/>
          <w:szCs w:val="24"/>
          <w:shd w:fill="FFFFFF" w:val="clear"/>
          <w:lang w:val="en-US" w:eastAsia="zh-CN"/>
        </w:rPr>
      </w:r>
    </w:p>
    <w:p>
      <w:pPr>
        <w:pStyle w:val="Style21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60"/>
        <w:ind w:hanging="0" w:start="0" w:end="0"/>
        <w:textAlignment w:val="auto"/>
        <w:rPr>
          <w:rFonts w:ascii="仿宋;方正仿宋_GBK" w:hAnsi="仿宋;方正仿宋_GBK" w:eastAsia="仿宋;方正仿宋_GBK" w:cs="仿宋;方正仿宋_GBK"/>
          <w:color w:val="333333"/>
          <w:sz w:val="24"/>
          <w:szCs w:val="24"/>
          <w:shd w:fill="FFFFFF" w:val="clear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color w:val="333333"/>
          <w:sz w:val="24"/>
          <w:szCs w:val="24"/>
          <w:shd w:fill="FFFFFF" w:val="clear"/>
          <w:lang w:val="en-US" w:eastAsia="zh-CN"/>
        </w:rPr>
      </w:r>
    </w:p>
    <w:p>
      <w:pPr>
        <w:pStyle w:val="Style21"/>
        <w:keepNext w:val="false"/>
        <w:keepLines w:val="false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60"/>
        <w:textAlignment w:val="auto"/>
        <w:rPr>
          <w:rFonts w:ascii="仿宋;方正仿宋_GBK" w:hAnsi="仿宋;方正仿宋_GBK" w:eastAsia="仿宋;方正仿宋_GBK" w:cs="仿宋;方正仿宋_GBK"/>
          <w:color w:val="333333"/>
          <w:sz w:val="24"/>
          <w:szCs w:val="24"/>
          <w:shd w:fill="FFFFFF" w:val="clear"/>
          <w:lang w:val="en-US" w:eastAsia="zh-CN"/>
        </w:rPr>
      </w:pPr>
      <w:r>
        <w:rPr>
          <w:rFonts w:ascii="仿宋;方正仿宋_GBK" w:hAnsi="仿宋;方正仿宋_GBK" w:cs="仿宋;方正仿宋_GBK" w:eastAsia="仿宋;方正仿宋_GBK"/>
          <w:color w:val="000000"/>
          <w:sz w:val="24"/>
          <w:szCs w:val="24"/>
          <w:u w:val="none"/>
          <w:shd w:fill="FFFFFF" w:val="clear"/>
          <w:lang w:val="en-US" w:eastAsia="zh-CN"/>
        </w:rPr>
        <w:t>为何新增两个假期——新修订的湖南人口计生条例解读。</w:t>
      </w:r>
    </w:p>
    <w:p>
      <w:pPr>
        <w:pStyle w:val="Style18"/>
        <w:keepNext w:val="false"/>
        <w:keepLines w:val="false"/>
        <w:pageBreakBefore w:val="false"/>
        <w:widowControl w:val="false"/>
        <w:numPr>
          <w:ilvl w:val="0"/>
          <w:numId w:val="0"/>
        </w:numPr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hanging="0" w:start="0"/>
        <w:jc w:val="start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333333"/>
          <w:sz w:val="24"/>
          <w:szCs w:val="24"/>
          <w:shd w:fill="FFFFFF" w:val="clear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333333"/>
          <w:sz w:val="24"/>
          <w:szCs w:val="24"/>
          <w:shd w:fill="FFFFFF" w:val="clear"/>
          <w:lang w:val="en-US" w:eastAsia="zh-CN"/>
        </w:rPr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33.75pt;margin-top:5.3pt;width:77.95pt;height:70.7pt;mso-wrap-distance-left:9.05pt;mso-wrap-distance-right:9.05pt;mso-position-horizontal-relative:text;mso-position-vertical-relative:text" filled="f" o:ole="">
            <v:imagedata r:id="rId5" o:title=""/>
            <w10:wrap type="square"/>
          </v:shape>
          <o:OLEObject Type="Embed" ProgID="" ShapeID="ole_rId4" DrawAspect="Icon" ObjectID="_1398127136" r:id="rId4"/>
        </w:object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shd w:fill="FFFFFF" w:val="clear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shd w:fill="FFFFFF" w:val="clear"/>
          <w:lang w:val="en-US"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firstLine="7680" w:end="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val="en-US"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firstLine="7680" w:end="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firstLine="7680" w:end="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firstLine="7680" w:end="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  <w:lang w:eastAsia="zh-CN"/>
        </w:rPr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eastAsia="zh-CN"/>
        </w:rPr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ind w:firstLine="7680" w:end="0"/>
        <w:jc w:val="both"/>
        <w:textAlignment w:val="auto"/>
        <w:rPr>
          <w:rFonts w:ascii="仿宋;方正仿宋_GBK" w:hAnsi="仿宋;方正仿宋_GBK" w:eastAsia="仿宋;方正仿宋_GBK" w:cs="仿宋;方正仿宋_GBK"/>
          <w:b w:val="false"/>
          <w:bCs/>
          <w:color w:val="000000"/>
          <w:sz w:val="24"/>
          <w:szCs w:val="24"/>
        </w:rPr>
      </w:pP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  <w:lang w:eastAsia="zh-CN"/>
        </w:rPr>
        <w:t>湖南</w:t>
      </w: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</w:rPr>
        <w:t>区行政管理部</w:t>
      </w:r>
    </w:p>
    <w:p>
      <w:pPr>
        <w:pStyle w:val="Style18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exact" w:line="460" w:before="120" w:after="120"/>
        <w:jc w:val="end"/>
        <w:textAlignment w:val="auto"/>
        <w:rPr/>
      </w:pP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</w:rPr>
        <w:t>202</w:t>
      </w: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  <w:t>2</w:t>
      </w: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</w:rPr>
        <w:t>年</w:t>
      </w: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  <w:t>3</w:t>
      </w: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</w:rPr>
        <w:t>月</w:t>
      </w:r>
      <w:r>
        <w:rPr>
          <w:rFonts w:eastAsia="仿宋;方正仿宋_GBK" w:cs="仿宋;方正仿宋_GBK" w:ascii="仿宋;方正仿宋_GBK" w:hAnsi="仿宋;方正仿宋_GBK"/>
          <w:b w:val="false"/>
          <w:bCs/>
          <w:color w:val="000000"/>
          <w:sz w:val="24"/>
          <w:szCs w:val="24"/>
          <w:lang w:val="en-US" w:eastAsia="zh-CN"/>
        </w:rPr>
        <w:t>29</w:t>
      </w:r>
      <w:r>
        <w:rPr>
          <w:rFonts w:ascii="仿宋;方正仿宋_GBK" w:hAnsi="仿宋;方正仿宋_GBK" w:cs="仿宋;方正仿宋_GBK" w:eastAsia="仿宋;方正仿宋_GBK"/>
          <w:b w:val="false"/>
          <w:bCs/>
          <w:color w:val="000000"/>
          <w:sz w:val="24"/>
          <w:szCs w:val="24"/>
        </w:rPr>
        <w:t>日</w:t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794" w:top="1134" w:footer="964" w:bottom="1134"/>
      <w:pgNumType w:fmt="decimal"/>
      <w:formProt w:val="false"/>
      <w:textDirection w:val="lrTb"/>
      <w:docGrid w:type="default" w:linePitch="31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Helvetica Neue"/>
    <w:charset w:val="00" w:characterSet="windows-1252"/>
    <w:family w:val="swiss"/>
    <w:pitch w:val="default"/>
  </w:font>
  <w:font w:name="宋体">
    <w:altName w:val="汉仪书宋二KW"/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">
    <w:altName w:val="方正仿宋_GBK"/>
    <w:charset w:val="00" w:characterSet="windows-1252"/>
    <w:family w:val="auto"/>
    <w:pitch w:val="default"/>
  </w:font>
  <w:font w:name="楷体">
    <w:altName w:val="汉仪楷体KW"/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distribute"/>
      <w:rPr>
        <w:rFonts w:eastAsia="Calibri;Helvetica Neue" w:cs="Calibri;Helvetica Neue"/>
      </w:rPr>
    </w:pPr>
    <w:r>
      <w:rPr>
        <w:rFonts w:cs="Calibri;Helvetica Neue" w:eastAsia="Calibri;Helvetica Neue"/>
      </w:rPr>
      <w:t xml:space="preserve">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napToGrid w:val="false"/>
      <w:spacing w:lineRule="exact" w:line="120" w:before="314" w:after="45"/>
      <w:jc w:val="distribute"/>
      <w:rPr>
        <w:sz w:val="18"/>
        <w:u w:val="single"/>
      </w:rPr>
    </w:pPr>
    <w:r>
      <w:rPr>
        <w:sz w:val="18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Helvetica Neue" w:hAnsi="Calibri;Helvetica Neue" w:eastAsia="宋体;汉仪书宋二KW" w:cs="Times New Roman"/>
      <w:color w:val="auto"/>
      <w:kern w:val="2"/>
      <w:sz w:val="21"/>
      <w:szCs w:val="20"/>
      <w:lang w:val="en-US" w:eastAsia="zh-CN" w:bidi="ar-SA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/>
      <w:spacing w:before="0" w:after="0"/>
      <w:ind w:hanging="0" w:start="0" w:end="0"/>
      <w:jc w:val="start"/>
      <w:outlineLvl w:val="2"/>
    </w:pPr>
    <w:rPr>
      <w:rFonts w:ascii="宋体;汉仪书宋二KW" w:hAnsi="宋体;汉仪书宋二KW" w:eastAsia="宋体;汉仪书宋二KW" w:cs="宋体;汉仪书宋二KW"/>
      <w:b w:val="false"/>
      <w:kern w:val="0"/>
      <w:sz w:val="24"/>
      <w:szCs w:val="24"/>
      <w:lang w:val="en-US" w:eastAsia="zh-CN" w:bidi="ar"/>
    </w:rPr>
  </w:style>
  <w:style w:type="character" w:styleId="Style13">
    <w:name w:val="默认段落字体"/>
    <w:qFormat/>
    <w:rPr/>
  </w:style>
  <w:style w:type="character" w:styleId="Style14">
    <w:name w:val="纯文本 字符"/>
    <w:qFormat/>
    <w:rPr>
      <w:rFonts w:ascii="宋体;汉仪书宋二KW" w:hAnsi="宋体;汉仪书宋二KW" w:cs="Courier New"/>
      <w:kern w:val="2"/>
      <w:sz w:val="21"/>
    </w:rPr>
  </w:style>
  <w:style w:type="character" w:styleId="Strong">
    <w:name w:val="Strong"/>
    <w:basedOn w:val="Style13"/>
    <w:qFormat/>
    <w:rPr>
      <w:b/>
    </w:rPr>
  </w:style>
  <w:style w:type="character" w:styleId="FollowedHyperlink">
    <w:name w:val="FollowedHyperlink"/>
    <w:basedOn w:val="Style13"/>
    <w:rPr>
      <w:color w:val="333333"/>
      <w:u w:val="none"/>
    </w:rPr>
  </w:style>
  <w:style w:type="character" w:styleId="Emphasis">
    <w:name w:val="Emphasis"/>
    <w:basedOn w:val="Style13"/>
    <w:qFormat/>
    <w:rPr>
      <w:i/>
    </w:rPr>
  </w:style>
  <w:style w:type="character" w:styleId="Hyperlink">
    <w:name w:val="Hyperlink"/>
    <w:basedOn w:val="Style13"/>
    <w:rPr>
      <w:color w:val="333333"/>
      <w:u w:val="none"/>
    </w:rPr>
  </w:style>
  <w:style w:type="character" w:styleId="Style15">
    <w:name w:val="批注引用"/>
    <w:qFormat/>
    <w:rPr>
      <w:sz w:val="21"/>
    </w:rPr>
  </w:style>
  <w:style w:type="character" w:styleId="dropselectbox">
    <w:name w:val="dropselect_box"/>
    <w:basedOn w:val="Style13"/>
    <w:qFormat/>
    <w:rPr/>
  </w:style>
  <w:style w:type="character" w:styleId="first-child">
    <w:name w:val="first-child"/>
    <w:basedOn w:val="Style13"/>
    <w:qFormat/>
    <w:rPr/>
  </w:style>
  <w:style w:type="character" w:styleId="Style16">
    <w:name w:val="填写内容说明"/>
    <w:qFormat/>
    <w:rPr>
      <w:i/>
      <w:iCs/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批注文字"/>
    <w:basedOn w:val="Normal"/>
    <w:qFormat/>
    <w:pPr>
      <w:jc w:val="start"/>
    </w:pPr>
    <w:rPr/>
  </w:style>
  <w:style w:type="paragraph" w:styleId="Style18">
    <w:name w:val="纯文本"/>
    <w:basedOn w:val="Normal"/>
    <w:qFormat/>
    <w:pPr/>
    <w:rPr>
      <w:rFonts w:ascii="宋体;汉仪书宋二KW" w:hAnsi="宋体;汉仪书宋二KW" w:cs="Courier New"/>
    </w:rPr>
  </w:style>
  <w:style w:type="paragraph" w:styleId="Style19">
    <w:name w:val="日期"/>
    <w:basedOn w:val="Normal"/>
    <w:next w:val="Normal"/>
    <w:qFormat/>
    <w:pPr>
      <w:ind w:hanging="0" w:start="100" w:end="0"/>
    </w:pPr>
    <w:rPr/>
  </w:style>
  <w:style w:type="paragraph" w:styleId="Style20">
    <w:name w:val="批注框文本"/>
    <w:basedOn w:val="Normal"/>
    <w:qFormat/>
    <w:pPr/>
    <w:rPr>
      <w:sz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Style21">
    <w:name w:val="普通(网站)"/>
    <w:basedOn w:val="Normal"/>
    <w:qFormat/>
    <w:pPr>
      <w:pBdr/>
      <w:spacing w:before="0" w:after="0"/>
      <w:ind w:hanging="0" w:start="0" w:end="0"/>
      <w:jc w:val="start"/>
    </w:pPr>
    <w:rPr>
      <w:kern w:val="0"/>
      <w:sz w:val="24"/>
      <w:lang w:val="en-US" w:eastAsia="zh-CN" w:bidi="ar"/>
    </w:rPr>
  </w:style>
  <w:style w:type="paragraph" w:styleId="Style22">
    <w:name w:val="批注主题"/>
    <w:basedOn w:val="Style17"/>
    <w:next w:val="Style17"/>
    <w:qFormat/>
    <w:pPr/>
    <w:rPr>
      <w:b/>
    </w:rPr>
  </w:style>
  <w:style w:type="paragraph" w:styleId="ListParagraph">
    <w:name w:val="List Paragraph"/>
    <w:basedOn w:val="Normal"/>
    <w:qFormat/>
    <w:pPr>
      <w:ind w:firstLine="420" w:start="0" w:end="0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LibreOffice/24.2.4.2$MacOSX_X86_64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2018-06-12T05:02:00Z</dcterms:created>
  <dc:creator>莫荣华</dc:creator>
  <dc:description/>
  <dc:language>zh-CN</dc:language>
  <cp:lastModifiedBy>阿布兵长_Alwin</cp:lastModifiedBy>
  <cp:lastPrinted>2008-09-11T10:53:00Z</cp:lastPrinted>
  <dcterms:modified xsi:type="dcterms:W3CDTF">2024-07-06T02:19:31Z</dcterms:modified>
  <cp:revision>1</cp:revision>
  <dc:subject/>
  <dc:title>文件和资料的控制程序                                           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D12190F4FE08E741B3C8876673D3B007_42</vt:lpwstr>
  </property>
  <property fmtid="{D5CDD505-2E9C-101B-9397-08002B2CF9AE}" pid="3" name="KSOProductBuildVer">
    <vt:lpwstr>2052-6.8.2.8850</vt:lpwstr>
  </property>
</Properties>
</file>