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黑体" w:hAnsi="黑体" w:eastAsia="黑体" w:cs="黑体"/>
          <w:b/>
          <w:bCs/>
          <w:color w:val="auto"/>
          <w:sz w:val="36"/>
          <w:szCs w:val="36"/>
        </w:rPr>
      </w:pPr>
      <w:bookmarkStart w:id="0" w:name="_GoBack"/>
      <w:bookmarkEnd w:id="0"/>
      <w:r>
        <w:rPr>
          <w:rFonts w:ascii="黑体" w:hAnsi="黑体" w:cs="黑体" w:eastAsia="黑体"/>
          <w:b/>
          <w:bCs/>
          <w:color w:val="auto"/>
          <w:sz w:val="36"/>
          <w:szCs w:val="36"/>
        </w:rPr>
        <w:t>育儿假（</w:t>
      </w:r>
      <w:r>
        <w:rPr>
          <w:rFonts w:ascii="黑体" w:hAnsi="黑体" w:cs="黑体" w:eastAsia="黑体"/>
          <w:b/>
          <w:bCs/>
          <w:color w:val="auto"/>
          <w:sz w:val="36"/>
          <w:szCs w:val="36"/>
          <w:lang w:eastAsia="zh-CN"/>
        </w:rPr>
        <w:t>东南</w:t>
      </w:r>
      <w:r>
        <w:rPr>
          <w:rFonts w:ascii="黑体" w:hAnsi="黑体" w:cs="黑体" w:eastAsia="黑体"/>
          <w:b/>
          <w:bCs/>
          <w:color w:val="auto"/>
          <w:sz w:val="36"/>
          <w:szCs w:val="36"/>
        </w:rPr>
        <w:t>区）执行方案</w:t>
      </w:r>
    </w:p>
    <w:p>
      <w:pPr>
        <w:pStyle w:val="Normal"/>
        <w:bidi w:val="0"/>
        <w:ind w:firstLine="480"/>
        <w:rPr>
          <w:rFonts w:ascii="楷体" w:hAnsi="楷体" w:eastAsia="楷体" w:cs="楷体"/>
          <w:color w:val="auto"/>
          <w:sz w:val="24"/>
          <w:lang w:eastAsia="zh-CN"/>
        </w:rPr>
      </w:pPr>
      <w:r>
        <w:rPr>
          <w:rFonts w:ascii="楷体" w:hAnsi="楷体" w:cs="楷体" w:eastAsia="楷体"/>
          <w:color w:val="auto"/>
          <w:sz w:val="24"/>
        </w:rPr>
        <w:t>为贯彻落实《福建省人民代表大会常务委员会关于修改〈福建省人口与计划生育条例〉的决定》</w:t>
      </w:r>
      <w:r>
        <w:rPr>
          <w:rFonts w:ascii="楷体" w:hAnsi="楷体" w:cs="楷体" w:eastAsia="楷体"/>
          <w:color w:val="auto"/>
          <w:sz w:val="24"/>
          <w:lang w:eastAsia="zh-CN"/>
        </w:rPr>
        <w:t>及《福建省老年人权益保障条例》</w:t>
      </w:r>
      <w:r>
        <w:rPr>
          <w:rFonts w:ascii="楷体" w:hAnsi="楷体" w:cs="楷体" w:eastAsia="楷体"/>
          <w:color w:val="auto"/>
          <w:sz w:val="24"/>
        </w:rPr>
        <w:t>，深入实施积极应对人口老龄化国家战略，组织实施好三孩生育政策及配套支持措施，结合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东南区</w:t>
      </w:r>
      <w:r>
        <w:rPr>
          <w:rFonts w:ascii="楷体" w:hAnsi="楷体" w:cs="楷体" w:eastAsia="楷体"/>
          <w:color w:val="auto"/>
          <w:sz w:val="24"/>
        </w:rPr>
        <w:t>实际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情况</w:t>
      </w:r>
      <w:r>
        <w:rPr>
          <w:rFonts w:ascii="楷体" w:hAnsi="楷体" w:cs="楷体" w:eastAsia="楷体"/>
          <w:color w:val="auto"/>
          <w:sz w:val="24"/>
        </w:rPr>
        <w:t>，制定本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执行</w:t>
      </w:r>
      <w:r>
        <w:rPr>
          <w:rFonts w:ascii="楷体" w:hAnsi="楷体" w:cs="楷体" w:eastAsia="楷体"/>
          <w:color w:val="auto"/>
          <w:sz w:val="24"/>
        </w:rPr>
        <w:t>方案</w:t>
      </w:r>
      <w:r>
        <w:rPr>
          <w:rFonts w:ascii="楷体" w:hAnsi="楷体" w:cs="楷体" w:eastAsia="楷体"/>
          <w:color w:val="auto"/>
          <w:sz w:val="24"/>
          <w:lang w:eastAsia="zh-CN"/>
        </w:rPr>
        <w:t>，</w:t>
      </w:r>
      <w:r>
        <w:rPr>
          <w:rFonts w:ascii="楷体" w:hAnsi="楷体" w:cs="楷体" w:eastAsia="楷体"/>
          <w:color w:val="auto"/>
          <w:sz w:val="24"/>
        </w:rPr>
        <w:t>新增育儿假、</w:t>
      </w:r>
      <w:r>
        <w:rPr>
          <w:rFonts w:ascii="楷体" w:hAnsi="楷体" w:cs="楷体" w:eastAsia="楷体"/>
          <w:color w:val="auto"/>
          <w:sz w:val="24"/>
          <w:lang w:eastAsia="zh-CN"/>
        </w:rPr>
        <w:t>独生子女父母护理假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相关</w:t>
      </w:r>
      <w:r>
        <w:rPr>
          <w:rFonts w:ascii="楷体" w:hAnsi="楷体" w:cs="楷体" w:eastAsia="楷体"/>
          <w:color w:val="auto"/>
          <w:sz w:val="24"/>
        </w:rPr>
        <w:t>内容</w:t>
      </w:r>
      <w:r>
        <w:rPr>
          <w:rFonts w:ascii="楷体" w:hAnsi="楷体" w:cs="楷体" w:eastAsia="楷体"/>
          <w:color w:val="auto"/>
          <w:sz w:val="24"/>
          <w:lang w:eastAsia="zh-CN"/>
        </w:rPr>
        <w:t>。</w:t>
      </w:r>
    </w:p>
    <w:p>
      <w:pPr>
        <w:pStyle w:val="Normal"/>
        <w:bidi w:val="0"/>
        <w:ind w:firstLine="480"/>
        <w:rPr>
          <w:rFonts w:ascii="楷体" w:hAnsi="楷体" w:eastAsia="楷体" w:cs="楷体"/>
          <w:color w:val="auto"/>
          <w:sz w:val="24"/>
          <w:lang w:eastAsia="zh-CN"/>
        </w:rPr>
      </w:pPr>
      <w:r>
        <w:rPr>
          <w:rFonts w:eastAsia="楷体" w:cs="楷体" w:ascii="楷体" w:hAnsi="楷体"/>
          <w:color w:val="auto"/>
          <w:sz w:val="24"/>
          <w:lang w:eastAsia="zh-CN"/>
        </w:rPr>
      </w:r>
    </w:p>
    <w:p>
      <w:pPr>
        <w:pStyle w:val="Normal"/>
        <w:bidi w:val="0"/>
        <w:ind w:firstLine="482"/>
        <w:rPr>
          <w:rFonts w:ascii="楷体" w:hAnsi="楷体" w:eastAsia="楷体" w:cs="楷体"/>
          <w:color w:val="auto"/>
          <w:sz w:val="24"/>
        </w:rPr>
      </w:pPr>
      <w:r>
        <w:rPr>
          <w:rFonts w:eastAsia="楷体" w:cs="楷体" w:ascii="楷体" w:hAnsi="楷体"/>
          <w:b/>
          <w:bCs/>
          <w:color w:val="auto"/>
          <w:sz w:val="24"/>
        </w:rPr>
        <w:t>1.</w:t>
      </w:r>
      <w:r>
        <w:rPr>
          <w:rFonts w:ascii="楷体" w:hAnsi="楷体" w:cs="楷体" w:eastAsia="楷体"/>
          <w:b/>
          <w:bCs/>
          <w:color w:val="auto"/>
          <w:sz w:val="24"/>
        </w:rPr>
        <w:t>育儿假的定义：</w:t>
      </w:r>
      <w:r>
        <w:rPr>
          <w:rFonts w:ascii="楷体" w:hAnsi="楷体" w:cs="楷体" w:eastAsia="楷体"/>
          <w:color w:val="auto"/>
          <w:sz w:val="24"/>
        </w:rPr>
        <w:t>符合政策规定生育子女的夫妻，在其子女年满三周岁之前，每年给予夫妻双方各十天育儿假。</w:t>
      </w:r>
    </w:p>
    <w:p>
      <w:pPr>
        <w:pStyle w:val="PlainText"/>
        <w:bidi w:val="0"/>
        <w:snapToGrid w:val="false"/>
        <w:spacing w:lineRule="exact" w:line="360"/>
        <w:ind w:firstLine="482"/>
        <w:rPr>
          <w:rFonts w:ascii="楷体" w:hAnsi="楷体" w:eastAsia="楷体" w:cs="楷体"/>
          <w:color w:val="auto"/>
          <w:sz w:val="24"/>
        </w:rPr>
      </w:pPr>
      <w:r>
        <w:rPr>
          <w:rFonts w:eastAsia="楷体" w:cs="楷体" w:ascii="楷体" w:hAnsi="楷体"/>
          <w:b/>
          <w:bCs/>
          <w:color w:val="auto"/>
          <w:sz w:val="24"/>
        </w:rPr>
        <w:t>2.</w:t>
      </w:r>
      <w:r>
        <w:rPr>
          <w:rFonts w:ascii="楷体" w:hAnsi="楷体" w:cs="楷体" w:eastAsia="楷体"/>
          <w:b/>
          <w:bCs/>
          <w:color w:val="auto"/>
          <w:sz w:val="24"/>
        </w:rPr>
        <w:t>假期安排：</w:t>
      </w:r>
      <w:r>
        <w:rPr>
          <w:rFonts w:ascii="楷体" w:hAnsi="楷体" w:cs="楷体" w:eastAsia="楷体"/>
          <w:color w:val="auto"/>
          <w:sz w:val="24"/>
        </w:rPr>
        <w:t>符合政策规定生育子女的夫妻，育儿假期间工资、福利待遇不变，不影响晋升。每年的育儿假不按照子女数量叠加享受。夫妻双方每年享受的育儿假应当在当年内使用，不能结转到下一年使用，可以一次性使用，也可以分次使用。</w:t>
      </w:r>
    </w:p>
    <w:p>
      <w:pPr>
        <w:pStyle w:val="PlainText"/>
        <w:bidi w:val="0"/>
        <w:snapToGrid w:val="false"/>
        <w:spacing w:lineRule="exact" w:line="360"/>
        <w:ind w:firstLine="480"/>
        <w:rPr>
          <w:rFonts w:ascii="楷体" w:hAnsi="楷体" w:eastAsia="楷体" w:cs="楷体"/>
          <w:color w:val="auto"/>
          <w:sz w:val="24"/>
        </w:rPr>
      </w:pPr>
      <w:r>
        <w:rPr>
          <w:rFonts w:ascii="楷体" w:hAnsi="楷体" w:cs="楷体" w:eastAsia="楷体"/>
          <w:color w:val="auto"/>
          <w:sz w:val="24"/>
        </w:rPr>
        <w:t>注：</w:t>
      </w:r>
    </w:p>
    <w:p>
      <w:pPr>
        <w:pStyle w:val="PlainText"/>
        <w:numPr>
          <w:ilvl w:val="0"/>
          <w:numId w:val="1"/>
        </w:numPr>
        <w:bidi w:val="0"/>
        <w:snapToGrid w:val="false"/>
        <w:spacing w:lineRule="exact" w:line="360"/>
        <w:ind w:firstLine="480"/>
        <w:rPr>
          <w:rFonts w:ascii="楷体" w:hAnsi="楷体" w:eastAsia="楷体" w:cs="楷体"/>
          <w:color w:val="auto"/>
          <w:sz w:val="24"/>
        </w:rPr>
      </w:pPr>
      <w:r>
        <w:rPr>
          <w:rFonts w:ascii="楷体" w:hAnsi="楷体" w:cs="楷体" w:eastAsia="楷体"/>
          <w:color w:val="auto"/>
          <w:sz w:val="24"/>
        </w:rPr>
        <w:t>当年度新入职、离职员工可享受的假期天数，应当按照员工当年已工作时间折算应休未休育儿假天数。折算方法为：（当年度在本单位已过日历天数</w:t>
      </w:r>
      <w:r>
        <w:rPr>
          <w:rFonts w:eastAsia="楷体" w:cs="楷体" w:ascii="楷体" w:hAnsi="楷体"/>
          <w:color w:val="auto"/>
          <w:sz w:val="24"/>
        </w:rPr>
        <w:t>÷365</w:t>
      </w:r>
      <w:r>
        <w:rPr>
          <w:rFonts w:ascii="楷体" w:hAnsi="楷体" w:cs="楷体" w:eastAsia="楷体"/>
          <w:color w:val="auto"/>
          <w:sz w:val="24"/>
        </w:rPr>
        <w:t>天）</w:t>
      </w:r>
      <w:r>
        <w:rPr>
          <w:rFonts w:eastAsia="楷体" w:cs="楷体" w:ascii="楷体" w:hAnsi="楷体"/>
          <w:color w:val="auto"/>
          <w:sz w:val="24"/>
        </w:rPr>
        <w:t>×</w:t>
      </w:r>
      <w:r>
        <w:rPr>
          <w:rFonts w:ascii="楷体" w:hAnsi="楷体" w:cs="楷体" w:eastAsia="楷体"/>
          <w:color w:val="auto"/>
          <w:sz w:val="24"/>
        </w:rPr>
        <w:t>员工当年度应享受的育儿假天数</w:t>
      </w:r>
      <w:r>
        <w:rPr>
          <w:rFonts w:eastAsia="楷体" w:cs="楷体" w:ascii="楷体" w:hAnsi="楷体"/>
          <w:color w:val="auto"/>
          <w:sz w:val="24"/>
        </w:rPr>
        <w:t>-</w:t>
      </w:r>
      <w:r>
        <w:rPr>
          <w:rFonts w:ascii="楷体" w:hAnsi="楷体" w:cs="楷体" w:eastAsia="楷体"/>
          <w:color w:val="auto"/>
          <w:sz w:val="24"/>
        </w:rPr>
        <w:t>当年度已安排育儿假天数。折算后不满一天时，舍零取整。如出现员工多休育儿假情况，按事假扣回。</w:t>
      </w:r>
    </w:p>
    <w:p>
      <w:pPr>
        <w:pStyle w:val="PlainText"/>
        <w:numPr>
          <w:ilvl w:val="0"/>
          <w:numId w:val="1"/>
        </w:numPr>
        <w:bidi w:val="0"/>
        <w:snapToGrid w:val="false"/>
        <w:spacing w:lineRule="exact" w:line="360"/>
        <w:ind w:firstLine="480"/>
        <w:rPr>
          <w:rFonts w:ascii="楷体" w:hAnsi="楷体" w:eastAsia="楷体" w:cs="楷体"/>
          <w:color w:val="auto"/>
          <w:sz w:val="24"/>
        </w:rPr>
      </w:pPr>
      <w:r>
        <w:rPr>
          <w:rFonts w:ascii="楷体" w:hAnsi="楷体" w:cs="楷体" w:eastAsia="楷体"/>
          <w:color w:val="auto"/>
          <w:sz w:val="24"/>
          <w:lang w:eastAsia="zh-CN"/>
        </w:rPr>
        <w:t>《决定》公布之日（</w:t>
      </w:r>
      <w:r>
        <w:rPr>
          <w:rFonts w:eastAsia="楷体" w:cs="楷体" w:ascii="楷体" w:hAnsi="楷体"/>
          <w:color w:val="auto"/>
          <w:sz w:val="24"/>
          <w:lang w:val="en-US" w:eastAsia="zh-CN"/>
        </w:rPr>
        <w:t>2022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年</w:t>
      </w:r>
      <w:r>
        <w:rPr>
          <w:rFonts w:eastAsia="楷体" w:cs="楷体" w:ascii="楷体" w:hAnsi="楷体"/>
          <w:color w:val="auto"/>
          <w:sz w:val="24"/>
          <w:lang w:val="en-US" w:eastAsia="zh-CN"/>
        </w:rPr>
        <w:t>3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月</w:t>
      </w:r>
      <w:r>
        <w:rPr>
          <w:rFonts w:eastAsia="楷体" w:cs="楷体" w:ascii="楷体" w:hAnsi="楷体"/>
          <w:color w:val="auto"/>
          <w:sz w:val="24"/>
          <w:lang w:val="en-US" w:eastAsia="zh-CN"/>
        </w:rPr>
        <w:t>30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日</w:t>
      </w:r>
      <w:r>
        <w:rPr>
          <w:rFonts w:ascii="楷体" w:hAnsi="楷体" w:cs="楷体" w:eastAsia="楷体"/>
          <w:color w:val="auto"/>
          <w:sz w:val="24"/>
          <w:lang w:eastAsia="zh-CN"/>
        </w:rPr>
        <w:t>）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前</w:t>
      </w:r>
      <w:r>
        <w:rPr>
          <w:rFonts w:ascii="楷体" w:hAnsi="楷体" w:cs="楷体" w:eastAsia="楷体"/>
          <w:color w:val="auto"/>
          <w:sz w:val="24"/>
          <w:lang w:eastAsia="zh-CN"/>
        </w:rPr>
        <w:t>子女已年满三周岁则不享受育儿假。</w:t>
      </w:r>
    </w:p>
    <w:p>
      <w:pPr>
        <w:pStyle w:val="PlainText"/>
        <w:numPr>
          <w:ilvl w:val="0"/>
          <w:numId w:val="1"/>
        </w:numPr>
        <w:bidi w:val="0"/>
        <w:snapToGrid w:val="false"/>
        <w:spacing w:lineRule="exact" w:line="360"/>
        <w:ind w:firstLine="480"/>
        <w:rPr>
          <w:rFonts w:ascii="楷体" w:hAnsi="楷体" w:eastAsia="楷体" w:cs="楷体"/>
          <w:color w:val="auto"/>
          <w:sz w:val="24"/>
        </w:rPr>
      </w:pPr>
      <w:r>
        <w:rPr>
          <w:rFonts w:ascii="楷体" w:hAnsi="楷体" w:cs="楷体" w:eastAsia="楷体"/>
          <w:color w:val="auto"/>
          <w:sz w:val="24"/>
          <w:lang w:eastAsia="zh-CN"/>
        </w:rPr>
        <w:t>当年度未休完的育儿假作清零处理，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不另行计发加班工资，也不可延长至下一年度补休</w:t>
      </w:r>
      <w:r>
        <w:rPr>
          <w:rFonts w:ascii="楷体" w:hAnsi="楷体" w:cs="楷体" w:eastAsia="楷体"/>
          <w:color w:val="auto"/>
          <w:sz w:val="24"/>
          <w:lang w:eastAsia="zh-CN"/>
        </w:rPr>
        <w:t>。</w:t>
      </w:r>
    </w:p>
    <w:p>
      <w:pPr>
        <w:pStyle w:val="PlainText"/>
        <w:bidi w:val="0"/>
        <w:snapToGrid w:val="false"/>
        <w:spacing w:lineRule="exact" w:line="360"/>
        <w:ind w:firstLine="482"/>
        <w:rPr>
          <w:rFonts w:ascii="楷体" w:hAnsi="楷体" w:eastAsia="楷体" w:cs="楷体"/>
          <w:color w:val="auto"/>
          <w:sz w:val="24"/>
        </w:rPr>
      </w:pPr>
      <w:r>
        <w:rPr>
          <w:rFonts w:eastAsia="楷体" w:cs="楷体" w:ascii="楷体" w:hAnsi="楷体"/>
          <w:b/>
          <w:bCs/>
          <w:color w:val="auto"/>
          <w:sz w:val="24"/>
          <w:lang w:val="en-US" w:eastAsia="zh-CN"/>
        </w:rPr>
        <w:t>3</w:t>
      </w:r>
      <w:r>
        <w:rPr>
          <w:rFonts w:eastAsia="楷体" w:cs="楷体" w:ascii="楷体" w:hAnsi="楷体"/>
          <w:b/>
          <w:bCs/>
          <w:color w:val="auto"/>
          <w:sz w:val="24"/>
        </w:rPr>
        <w:t>.</w:t>
      </w:r>
      <w:r>
        <w:rPr>
          <w:rFonts w:ascii="楷体" w:hAnsi="楷体" w:cs="楷体" w:eastAsia="楷体"/>
          <w:b/>
          <w:bCs/>
          <w:color w:val="auto"/>
          <w:sz w:val="24"/>
        </w:rPr>
        <w:t>需提供资料：</w:t>
      </w:r>
      <w:r>
        <w:rPr>
          <w:rFonts w:ascii="楷体" w:hAnsi="楷体" w:cs="楷体" w:eastAsia="楷体"/>
          <w:color w:val="auto"/>
          <w:sz w:val="24"/>
        </w:rPr>
        <w:t>持生育证明、子女的户口本、子女的出生证明等资料</w:t>
      </w:r>
      <w:r>
        <w:rPr>
          <w:rFonts w:ascii="楷体" w:hAnsi="楷体" w:cs="楷体" w:eastAsia="楷体"/>
          <w:color w:val="auto"/>
          <w:sz w:val="24"/>
          <w:lang w:val="en-US" w:eastAsia="zh-CN"/>
        </w:rPr>
        <w:t>提交休假流程</w:t>
      </w:r>
      <w:r>
        <w:rPr>
          <w:rFonts w:ascii="楷体" w:hAnsi="楷体" w:cs="楷体" w:eastAsia="楷体"/>
          <w:color w:val="auto"/>
          <w:sz w:val="24"/>
        </w:rPr>
        <w:t>申请，流程通过后方可享受育儿假。</w:t>
      </w:r>
    </w:p>
    <w:p>
      <w:pPr>
        <w:pStyle w:val="PlainText"/>
        <w:bidi w:val="0"/>
        <w:snapToGrid w:val="false"/>
        <w:spacing w:lineRule="exact" w:line="360"/>
        <w:ind w:firstLine="482"/>
        <w:rPr>
          <w:rFonts w:ascii="楷体" w:hAnsi="楷体" w:eastAsia="楷体" w:cs="楷体"/>
          <w:color w:val="auto"/>
          <w:sz w:val="24"/>
        </w:rPr>
      </w:pPr>
      <w:r>
        <w:rPr>
          <w:rFonts w:eastAsia="楷体" w:cs="楷体" w:ascii="楷体" w:hAnsi="楷体"/>
          <w:b/>
          <w:bCs/>
          <w:color w:val="auto"/>
          <w:sz w:val="24"/>
          <w:lang w:val="en-US" w:eastAsia="zh-CN"/>
        </w:rPr>
        <w:t>4</w:t>
      </w:r>
      <w:r>
        <w:rPr>
          <w:rFonts w:eastAsia="楷体" w:cs="楷体" w:ascii="楷体" w:hAnsi="楷体"/>
          <w:b/>
          <w:bCs/>
          <w:color w:val="auto"/>
          <w:sz w:val="24"/>
        </w:rPr>
        <w:t>.</w:t>
      </w:r>
      <w:r>
        <w:rPr>
          <w:rFonts w:ascii="楷体" w:hAnsi="楷体" w:cs="楷体" w:eastAsia="楷体"/>
          <w:b/>
          <w:bCs/>
          <w:color w:val="auto"/>
          <w:sz w:val="24"/>
        </w:rPr>
        <w:t>其他：</w:t>
      </w:r>
      <w:r>
        <w:rPr>
          <w:rFonts w:ascii="楷体" w:hAnsi="楷体" w:cs="楷体" w:eastAsia="楷体"/>
          <w:color w:val="auto"/>
          <w:sz w:val="24"/>
        </w:rPr>
        <w:t>若员工所在地关于育儿假另有政策规定的，以当地政策为准。</w:t>
      </w:r>
    </w:p>
    <w:p>
      <w:pPr>
        <w:pStyle w:val="PlainText"/>
        <w:bidi w:val="0"/>
        <w:snapToGrid w:val="false"/>
        <w:spacing w:lineRule="exact" w:line="360"/>
        <w:rPr>
          <w:rFonts w:ascii="楷体" w:hAnsi="楷体" w:eastAsia="楷体" w:cs="楷体"/>
          <w:color w:val="auto"/>
          <w:sz w:val="24"/>
        </w:rPr>
      </w:pPr>
      <w:r>
        <w:rPr>
          <w:rFonts w:eastAsia="楷体" w:cs="楷体" w:ascii="楷体" w:hAnsi="楷体"/>
          <w:color w:val="auto"/>
          <w:sz w:val="24"/>
        </w:rPr>
      </w:r>
    </w:p>
    <w:p>
      <w:pPr>
        <w:pStyle w:val="PlainText"/>
        <w:bidi w:val="0"/>
        <w:snapToGrid w:val="false"/>
        <w:spacing w:lineRule="exact" w:line="360"/>
        <w:rPr>
          <w:rFonts w:ascii="楷体" w:hAnsi="楷体" w:eastAsia="楷体" w:cs="楷体"/>
          <w:color w:val="auto"/>
          <w:sz w:val="24"/>
        </w:rPr>
      </w:pPr>
      <w:r>
        <w:rPr>
          <w:rFonts w:ascii="楷体" w:hAnsi="楷体" w:cs="楷体" w:eastAsia="楷体"/>
          <w:b/>
          <w:color w:val="auto"/>
          <w:sz w:val="24"/>
        </w:rPr>
        <w:t>审批流程：</w:t>
      </w:r>
    </w:p>
    <w:p>
      <w:pPr>
        <w:pStyle w:val="Normal"/>
        <w:bidi w:val="0"/>
        <w:rPr>
          <w:rFonts w:ascii="楷体" w:hAnsi="楷体" w:eastAsia="楷体" w:cs="楷体"/>
          <w:color w:val="auto"/>
          <w:sz w:val="24"/>
        </w:rPr>
      </w:pPr>
      <w:r>
        <w:rPr>
          <w:rFonts w:eastAsia="楷体" w:cs="楷体" w:ascii="楷体" w:hAnsi="楷体"/>
          <w:color w:val="auto"/>
          <w:sz w:val="24"/>
        </w:rPr>
      </w:r>
    </w:p>
    <w:p>
      <w:pPr>
        <w:pStyle w:val="Normal"/>
        <w:bidi w:val="0"/>
        <w:rPr>
          <w:rFonts w:ascii="楷体" w:hAnsi="楷体" w:eastAsia="楷体" w:cs="楷体"/>
          <w:b/>
          <w:color w:val="auto"/>
          <w:sz w:val="24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24.75pt;margin-top:186.7pt;width:357.75pt;height:31.5pt;mso-wrap-distance-left:9pt;mso-wrap-distance-right:9pt;mso-position-horizontal-relative:text;mso-position-vertical-relative:text" filled="f" o:ole="">
            <v:imagedata r:id="rId3" o:title=""/>
            <w10:wrap type="tight"/>
          </v:shape>
          <o:OLEObject Type="Embed" ProgID="Visio.Drawing.11" ShapeID="ole_rId2" DrawAspect="Content" ObjectID="_818892754" r:id="rId2"/>
        </w:object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53pt;height:138pt;mso-wrap-distance-right:0pt" filled="f" o:ole="">
            <v:imagedata r:id="rId5" o:title=""/>
          </v:shape>
          <o:OLEObject Type="Embed" ProgID="Visio.Drawing.11" ShapeID="ole_rId4" DrawAspect="Content" ObjectID="_468488821" r:id="rId4"/>
        </w:object>
      </w:r>
    </w:p>
    <w:p>
      <w:pPr>
        <w:pStyle w:val="Normal"/>
        <w:bidi w:val="0"/>
        <w:rPr>
          <w:rFonts w:ascii="楷体" w:hAnsi="楷体" w:eastAsia="楷体" w:cs="楷体"/>
          <w:b/>
          <w:color w:val="auto"/>
          <w:sz w:val="24"/>
        </w:rPr>
      </w:pPr>
      <w:r>
        <w:rPr>
          <w:rFonts w:eastAsia="楷体" w:cs="楷体" w:ascii="楷体" w:hAnsi="楷体"/>
          <w:b/>
          <w:color w:val="auto"/>
          <w:sz w:val="24"/>
        </w:rPr>
      </w:r>
    </w:p>
    <w:p>
      <w:pPr>
        <w:pStyle w:val="Normal"/>
        <w:bidi w:val="0"/>
        <w:rPr>
          <w:rFonts w:ascii="楷体" w:hAnsi="楷体" w:eastAsia="楷体" w:cs="楷体"/>
          <w:b/>
          <w:color w:val="auto"/>
          <w:sz w:val="24"/>
        </w:rPr>
      </w:pPr>
      <w:r>
        <w:rPr>
          <w:rFonts w:eastAsia="楷体" w:cs="楷体" w:ascii="楷体" w:hAnsi="楷体"/>
          <w:b/>
          <w:color w:val="auto"/>
          <w:sz w:val="24"/>
        </w:rPr>
      </w:r>
    </w:p>
    <w:p>
      <w:pPr>
        <w:pStyle w:val="Normal"/>
        <w:bidi w:val="0"/>
        <w:rPr>
          <w:rFonts w:ascii="楷体" w:hAnsi="楷体" w:eastAsia="楷体" w:cs="楷体"/>
          <w:b/>
          <w:color w:val="auto"/>
          <w:sz w:val="24"/>
        </w:rPr>
      </w:pPr>
      <w:r>
        <w:rPr>
          <w:rFonts w:eastAsia="楷体" w:cs="楷体" w:ascii="楷体" w:hAnsi="楷体"/>
          <w:b/>
          <w:color w:val="auto"/>
          <w:sz w:val="24"/>
        </w:rPr>
      </w:r>
    </w:p>
    <w:p>
      <w:pPr>
        <w:pStyle w:val="Normal"/>
        <w:bidi w:val="0"/>
        <w:rPr>
          <w:rFonts w:ascii="楷体" w:hAnsi="楷体" w:eastAsia="楷体" w:cs="楷体"/>
          <w:b/>
          <w:color w:val="auto"/>
          <w:sz w:val="24"/>
        </w:rPr>
      </w:pPr>
      <w:r>
        <w:rPr>
          <w:rFonts w:eastAsia="楷体" w:cs="楷体" w:ascii="楷体" w:hAnsi="楷体"/>
          <w:b/>
          <w:color w:val="auto"/>
          <w:sz w:val="24"/>
        </w:rPr>
      </w:r>
    </w:p>
    <w:p>
      <w:pPr>
        <w:pStyle w:val="Normal"/>
        <w:bidi w:val="0"/>
        <w:rPr>
          <w:rFonts w:ascii="楷体" w:hAnsi="楷体" w:eastAsia="楷体" w:cs="楷体"/>
          <w:b/>
          <w:color w:val="auto"/>
          <w:sz w:val="24"/>
        </w:rPr>
      </w:pPr>
      <w:r>
        <w:rPr>
          <w:rFonts w:eastAsia="楷体" w:cs="楷体" w:ascii="楷体" w:hAnsi="楷体"/>
          <w:b/>
          <w:color w:val="auto"/>
          <w:sz w:val="24"/>
        </w:rPr>
      </w:r>
    </w:p>
    <w:p>
      <w:pPr>
        <w:pStyle w:val="Normal"/>
        <w:bidi w:val="0"/>
        <w:jc w:val="end"/>
        <w:rPr>
          <w:rFonts w:ascii="楷体" w:hAnsi="楷体" w:eastAsia="楷体" w:cs="楷体"/>
          <w:b/>
          <w:color w:val="auto"/>
          <w:sz w:val="24"/>
          <w:lang w:eastAsia="zh-CN"/>
        </w:rPr>
      </w:pPr>
      <w:r>
        <w:rPr>
          <w:rFonts w:eastAsia="楷体" w:cs="楷体" w:ascii="楷体" w:hAnsi="楷体"/>
          <w:b/>
          <w:color w:val="auto"/>
          <w:sz w:val="24"/>
          <w:lang w:eastAsia="zh-CN"/>
        </w:rPr>
      </w:r>
    </w:p>
    <w:p>
      <w:pPr>
        <w:pStyle w:val="Normal"/>
        <w:bidi w:val="0"/>
        <w:jc w:val="end"/>
        <w:rPr>
          <w:rFonts w:ascii="楷体" w:hAnsi="楷体" w:eastAsia="楷体" w:cs="楷体"/>
          <w:b/>
          <w:color w:val="auto"/>
          <w:sz w:val="24"/>
        </w:rPr>
      </w:pPr>
      <w:r>
        <w:rPr>
          <w:rFonts w:ascii="楷体" w:hAnsi="楷体" w:cs="楷体" w:eastAsia="楷体"/>
          <w:b/>
          <w:color w:val="auto"/>
          <w:sz w:val="24"/>
          <w:lang w:eastAsia="zh-CN"/>
        </w:rPr>
        <w:t>东南区人力资源</w:t>
      </w:r>
      <w:r>
        <w:rPr>
          <w:rFonts w:ascii="楷体" w:hAnsi="楷体" w:cs="楷体" w:eastAsia="楷体"/>
          <w:b/>
          <w:color w:val="auto"/>
          <w:sz w:val="24"/>
        </w:rPr>
        <w:t>部</w:t>
      </w:r>
    </w:p>
    <w:p>
      <w:pPr>
        <w:pStyle w:val="Normal"/>
        <w:bidi w:val="0"/>
        <w:jc w:val="end"/>
        <w:rPr>
          <w:rFonts w:ascii="楷体" w:hAnsi="楷体" w:eastAsia="楷体" w:cs="楷体"/>
          <w:b/>
          <w:color w:val="auto"/>
          <w:sz w:val="24"/>
        </w:rPr>
      </w:pPr>
      <w:r>
        <w:rPr>
          <w:rFonts w:ascii="楷体" w:hAnsi="楷体" w:cs="楷体" w:eastAsia="楷体"/>
          <w:b/>
          <w:color w:val="auto"/>
          <w:sz w:val="24"/>
        </w:rPr>
        <w:t xml:space="preserve">                                                  </w:t>
      </w:r>
      <w:r>
        <w:rPr>
          <w:rFonts w:eastAsia="楷体" w:cs="楷体" w:ascii="楷体" w:hAnsi="楷体"/>
          <w:b/>
          <w:color w:val="auto"/>
          <w:sz w:val="24"/>
        </w:rPr>
        <w:t>2022</w:t>
      </w:r>
      <w:r>
        <w:rPr>
          <w:rFonts w:ascii="楷体" w:hAnsi="楷体" w:cs="楷体" w:eastAsia="楷体"/>
          <w:b/>
          <w:color w:val="auto"/>
          <w:sz w:val="24"/>
        </w:rPr>
        <w:t>年</w:t>
      </w:r>
      <w:r>
        <w:rPr>
          <w:rFonts w:eastAsia="楷体" w:cs="楷体" w:ascii="楷体" w:hAnsi="楷体"/>
          <w:b/>
          <w:color w:val="auto"/>
          <w:sz w:val="24"/>
          <w:lang w:val="en-US" w:eastAsia="zh-CN"/>
        </w:rPr>
        <w:t>4</w:t>
      </w:r>
      <w:r>
        <w:rPr>
          <w:rFonts w:ascii="楷体" w:hAnsi="楷体" w:cs="楷体" w:eastAsia="楷体"/>
          <w:b/>
          <w:color w:val="auto"/>
          <w:sz w:val="24"/>
        </w:rPr>
        <w:t>月</w:t>
      </w:r>
      <w:r>
        <w:rPr>
          <w:rFonts w:eastAsia="楷体" w:cs="楷体" w:ascii="楷体" w:hAnsi="楷体"/>
          <w:b/>
          <w:color w:val="auto"/>
          <w:sz w:val="24"/>
          <w:lang w:val="en-US" w:eastAsia="zh-CN"/>
        </w:rPr>
        <w:t>13</w:t>
      </w:r>
      <w:r>
        <w:rPr>
          <w:rFonts w:ascii="楷体" w:hAnsi="楷体" w:cs="楷体" w:eastAsia="楷体"/>
          <w:b/>
          <w:color w:val="auto"/>
          <w:sz w:val="24"/>
        </w:rPr>
        <w:t>日</w:t>
      </w:r>
    </w:p>
    <w:sectPr>
      <w:type w:val="nextPage"/>
      <w:pgSz w:w="11906" w:h="16838"/>
      <w:pgMar w:left="960" w:right="866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01" w:characterSet="utf-8"/>
    <w:family w:val="roman"/>
    <w:pitch w:val="variable"/>
  </w:font>
  <w:font w:name="黑体">
    <w:charset w:val="01" w:characterSet="utf-8"/>
    <w:family w:val="roman"/>
    <w:pitch w:val="variable"/>
  </w:font>
  <w:font w:name="楷体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、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 w:qFormat="1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Header"/>
    <w:uiPriority w:val="0"/>
    <w:qFormat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Footer"/>
    <w:uiPriority w:val="0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uiPriority w:val="0"/>
    <w:qFormat/>
    <w:pPr>
      <w:jc w:val="start"/>
    </w:pPr>
    <w:rPr/>
  </w:style>
  <w:style w:type="paragraph" w:styleId="PlainText">
    <w:name w:val="Plain Text"/>
    <w:basedOn w:val="Normal"/>
    <w:uiPriority w:val="0"/>
    <w:qFormat/>
    <w:pPr/>
    <w:rPr>
      <w:rFonts w:ascii="宋体" w:hAnsi="宋体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Char1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link w:val="Char"/>
    <w:uiPriority w:val="0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7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LibreOffice/24.2.4.2$MacOSX_X86_64 LibreOffice_project/51a6219feb6075d9a4c46691dcfe0cd9c4fff3c2</Application>
  <AppVersion>15.0000</AppVersion>
  <Pages>2</Pages>
  <Words>1213</Words>
  <Characters>1238</Characters>
  <CharactersWithSpaces>1288</CharactersWithSpaces>
  <Paragraphs>2</Paragraphs>
  <Company>rainbowcn.com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2022-03-09T06:54:00Z</dcterms:created>
  <dc:creator>tp</dc:creator>
  <dc:description/>
  <dc:language>zh-CN</dc:language>
  <cp:lastModifiedBy>林剑花</cp:lastModifiedBy>
  <dcterms:modified xsi:type="dcterms:W3CDTF">2022-04-13T03:32:22Z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DE126AE2EA2B4103B651EFE1A1E3B644</vt:lpwstr>
  </property>
  <property fmtid="{D5CDD505-2E9C-101B-9397-08002B2CF9AE}" pid="3" name="KSOProductBuildVer">
    <vt:lpwstr>2052-10.8.0.5800</vt:lpwstr>
  </property>
</Properties>
</file>