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100"/>
        <w:jc w:val="center"/>
      </w:pPr>
      <w:r>
        <w:rPr>
          <w:rFonts w:ascii="Calibri" w:cs="Calibri" w:eastAsia="Calibri" w:hAnsi="Calibri"/>
          <w:b/>
          <w:bCs/>
          <w:i w:val="false"/>
          <w:iCs w:val="false"/>
          <w:color w:val="2455A4"/>
          <w:sz w:val="26"/>
          <w:szCs w:val="26"/>
        </w:rPr>
        <w:t xml:space="preserve">A D V O R A . A I</w:t>
      </w:r>
    </w:p>
    <w:p>
      <w:pPr>
        <w:spacing w:after="60" w:before="200"/>
        <w:jc w:val="center"/>
      </w:pPr>
      <w:r>
        <w:rPr>
          <w:rFonts w:ascii="Calibri" w:cs="Calibri" w:eastAsia="Calibri" w:hAnsi="Calibri"/>
          <w:b/>
          <w:bCs/>
          <w:i w:val="false"/>
          <w:iCs w:val="false"/>
          <w:color w:val="1B2A4A"/>
          <w:sz w:val="56"/>
          <w:szCs w:val="56"/>
        </w:rPr>
        <w:t xml:space="preserve">Voice AI Blueprint</w:t>
      </w:r>
    </w:p>
    <w:p>
      <w:pPr>
        <w:spacing w:after="500"/>
        <w:jc w:val="center"/>
      </w:pPr>
      <w:r>
        <w:rPr>
          <w:rFonts w:ascii="Calibri" w:cs="Calibri" w:eastAsia="Calibri" w:hAnsi="Calibri"/>
          <w:b w:val="false"/>
          <w:bCs w:val="false"/>
          <w:i/>
          <w:iCs/>
          <w:color w:val="5B6472"/>
          <w:sz w:val="22"/>
          <w:szCs w:val="22"/>
        </w:rPr>
        <w:t xml:space="preserve">Product Foundation · Deployment Playbook · Competitive Intelligence · Feature Roadmap</w:t>
      </w:r>
    </w:p>
    <w:p>
      <w:pPr>
        <w:spacing w:after="40"/>
        <w:jc w:val="center"/>
      </w:pPr>
      <w:r>
        <w:rPr>
          <w:rFonts w:ascii="Calibri" w:cs="Calibri" w:eastAsia="Calibri" w:hAnsi="Calibri"/>
          <w:b/>
          <w:bCs/>
          <w:i w:val="false"/>
          <w:iCs w:val="false"/>
          <w:color w:val="1B2A4A"/>
          <w:sz w:val="20"/>
          <w:szCs w:val="20"/>
        </w:rPr>
        <w:t xml:space="preserve">Consolidated engineering &amp; product reference</w:t>
      </w:r>
    </w:p>
    <w:p>
      <w:pPr>
        <w:spacing w:after="900"/>
        <w:jc w:val="center"/>
      </w:pPr>
      <w:r>
        <w:rPr>
          <w:rFonts w:ascii="Calibri" w:cs="Calibri" w:eastAsia="Calibri" w:hAnsi="Calibri"/>
          <w:b w:val="false"/>
          <w:bCs w:val="false"/>
          <w:i w:val="false"/>
          <w:iCs w:val="false"/>
          <w:color w:val="5B6472"/>
          <w:sz w:val="19"/>
          <w:szCs w:val="19"/>
        </w:rPr>
        <w:t xml:space="preserve">NCR Real Estate Voice AI Platform — Config-Driven, Multi-Industry Architecture</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2608"/>
        <w:gridCol w:w="6706"/>
      </w:tblGrid>
      <w:tr>
        <w:trPr>
          <w:tblHeader/>
        </w:trPr>
        <w:tc>
          <w:tcPr>
            <w:tcW w:type="dxa" w:w="2608"/>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Field</w:t>
            </w:r>
          </w:p>
        </w:tc>
        <w:tc>
          <w:tcPr>
            <w:tcW w:type="dxa" w:w="6706"/>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Detail</w:t>
            </w:r>
          </w:p>
        </w:tc>
      </w:tr>
      <w:tr>
        <w:tc>
          <w:tcPr>
            <w:tcW w:type="dxa" w:w="2608"/>
            <w:shd w:fill="FFFFFF"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222222"/>
                <w:sz w:val="17"/>
                <w:szCs w:val="17"/>
              </w:rPr>
              <w:t xml:space="preserve">Document Title</w:t>
            </w:r>
          </w:p>
        </w:tc>
        <w:tc>
          <w:tcPr>
            <w:tcW w:type="dxa" w:w="6706"/>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Advora.ai Voice AI Blueprint</w:t>
            </w:r>
          </w:p>
        </w:tc>
      </w:tr>
      <w:tr>
        <w:tc>
          <w:tcPr>
            <w:tcW w:type="dxa" w:w="2608"/>
            <w:shd w:fill="EEF2F8"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222222"/>
                <w:sz w:val="17"/>
                <w:szCs w:val="17"/>
              </w:rPr>
              <w:t xml:space="preserve">Document Type</w:t>
            </w:r>
          </w:p>
        </w:tc>
        <w:tc>
          <w:tcPr>
            <w:tcW w:type="dxa" w:w="6706"/>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Consolidated product, engineering &amp; competitive reference</w:t>
            </w:r>
          </w:p>
        </w:tc>
      </w:tr>
      <w:tr>
        <w:tc>
          <w:tcPr>
            <w:tcW w:type="dxa" w:w="2608"/>
            <w:shd w:fill="FFFFFF"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222222"/>
                <w:sz w:val="17"/>
                <w:szCs w:val="17"/>
              </w:rPr>
              <w:t xml:space="preserve">Prepared For</w:t>
            </w:r>
          </w:p>
        </w:tc>
        <w:tc>
          <w:tcPr>
            <w:tcW w:type="dxa" w:w="6706"/>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Product, Engineering, and new team members onboarding onto Advora.ai</w:t>
            </w:r>
          </w:p>
        </w:tc>
      </w:tr>
      <w:tr>
        <w:tc>
          <w:tcPr>
            <w:tcW w:type="dxa" w:w="2608"/>
            <w:shd w:fill="EEF2F8"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222222"/>
                <w:sz w:val="17"/>
                <w:szCs w:val="17"/>
              </w:rPr>
              <w:t xml:space="preserve">Market Focus</w:t>
            </w:r>
          </w:p>
        </w:tc>
        <w:tc>
          <w:tcPr>
            <w:tcW w:type="dxa" w:w="6706"/>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NCR (National Capital Region) Indian real estate presales — anchor vertical for a multi-industry, config-driven platform</w:t>
            </w:r>
          </w:p>
        </w:tc>
      </w:tr>
      <w:tr>
        <w:tc>
          <w:tcPr>
            <w:tcW w:type="dxa" w:w="2608"/>
            <w:shd w:fill="FFFFFF"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222222"/>
                <w:sz w:val="17"/>
                <w:szCs w:val="17"/>
              </w:rPr>
              <w:t xml:space="preserve">Version</w:t>
            </w:r>
          </w:p>
        </w:tc>
        <w:tc>
          <w:tcPr>
            <w:tcW w:type="dxa" w:w="6706"/>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1.0 — Consolidated Blueprint</w:t>
            </w:r>
          </w:p>
        </w:tc>
      </w:tr>
      <w:tr>
        <w:tc>
          <w:tcPr>
            <w:tcW w:type="dxa" w:w="2608"/>
            <w:shd w:fill="EEF2F8"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222222"/>
                <w:sz w:val="17"/>
                <w:szCs w:val="17"/>
              </w:rPr>
              <w:t xml:space="preserve">Date</w:t>
            </w:r>
          </w:p>
        </w:tc>
        <w:tc>
          <w:tcPr>
            <w:tcW w:type="dxa" w:w="6706"/>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August 2026</w:t>
            </w:r>
          </w:p>
        </w:tc>
      </w:tr>
      <w:tr>
        <w:tc>
          <w:tcPr>
            <w:tcW w:type="dxa" w:w="2608"/>
            <w:shd w:fill="FFFFFF"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222222"/>
                <w:sz w:val="17"/>
                <w:szCs w:val="17"/>
              </w:rPr>
              <w:t xml:space="preserve">Classification</w:t>
            </w:r>
          </w:p>
        </w:tc>
        <w:tc>
          <w:tcPr>
            <w:tcW w:type="dxa" w:w="6706"/>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Internal — Confidential</w:t>
            </w:r>
          </w:p>
        </w:tc>
      </w:tr>
      <w:tr>
        <w:tc>
          <w:tcPr>
            <w:tcW w:type="dxa" w:w="2608"/>
            <w:shd w:fill="EEF2F8"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222222"/>
                <w:sz w:val="17"/>
                <w:szCs w:val="17"/>
              </w:rPr>
              <w:t xml:space="preserve">Status</w:t>
            </w:r>
          </w:p>
        </w:tc>
        <w:tc>
          <w:tcPr>
            <w:tcW w:type="dxa" w:w="6706"/>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Living document — update in place as decisions change; see Appendix B for source provenance</w:t>
            </w:r>
          </w:p>
        </w:tc>
      </w:tr>
    </w:tbl>
    <w:p>
      <w:pPr>
        <w:spacing w:after="300"/>
      </w:pPr>
    </w:p>
    <w:p>
      <w:pPr>
        <w:pStyle w:val="Heading1"/>
        <w:pageBreakBefore/>
        <w:pBdr>
          <w:bottom w:val="single" w:color="2455A4" w:sz="14" w:space="6"/>
        </w:pBdr>
        <w:spacing w:after="220" w:before="0"/>
      </w:pPr>
      <w:r>
        <w:rPr>
          <w:rFonts w:ascii="Calibri" w:cs="Calibri" w:eastAsia="Calibri" w:hAnsi="Calibri"/>
          <w:b/>
          <w:bCs/>
          <w:i w:val="false"/>
          <w:iCs w:val="false"/>
          <w:color w:val="1B2A4A"/>
          <w:sz w:val="34"/>
          <w:szCs w:val="34"/>
        </w:rPr>
        <w:t xml:space="preserve">How to Use This Document</w:t>
      </w:r>
    </w:p>
    <w:p>
      <w:pPr>
        <w:spacing w:after="140" w:before="0" w:line="264"/>
        <w:jc w:val="left"/>
      </w:pPr>
      <w:r>
        <w:rPr>
          <w:rFonts w:ascii="Calibri" w:cs="Calibri" w:eastAsia="Calibri" w:hAnsi="Calibri"/>
          <w:b w:val="false"/>
          <w:bCs w:val="false"/>
          <w:i w:val="false"/>
          <w:iCs w:val="false"/>
          <w:color w:val="222222"/>
          <w:sz w:val="19"/>
          <w:szCs w:val="19"/>
        </w:rPr>
        <w:t xml:space="preserve">This blueprint consolidates six prior working documents into one continuously-maintained reference. It exists so a new engineer, PM, or leadership reviewer can understand the whole product — what is built, why it is built that way, who else is building something similar, and what we are building next — without reading six separate PDFs.</w:t>
      </w:r>
    </w:p>
    <w:p>
      <w:pPr>
        <w:pStyle w:val="Heading3"/>
        <w:spacing w:after="100" w:before="180"/>
      </w:pPr>
      <w:r>
        <w:rPr>
          <w:rFonts w:ascii="Calibri" w:cs="Calibri" w:eastAsia="Calibri" w:hAnsi="Calibri"/>
          <w:b/>
          <w:bCs/>
          <w:i w:val="false"/>
          <w:iCs w:val="false"/>
          <w:color w:val="2455A4"/>
          <w:sz w:val="21"/>
          <w:szCs w:val="21"/>
        </w:rPr>
        <w:t xml:space="preserve">Structure</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Part I — Product Foundation: what Advora.ai is today (the MVP baseline). Architecture, tech stack, the real-estate Industry Pack's six agent config-profiles, data model, API surface, compliance posture, and build timeline.</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Part II — Eight Core Deployment Challenges: reproduced in full from the engineering team's Core Deployment Challenges briefing. Every challenge, solution, implementation point, and verdict is preserved — this is the deployment playbook, not a summary of it.</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Part III — Voice AI Competitive Landscape: the directory of companies building AI voice products in or adjacent to our market, and a feature-by-feature check of which of their capabilities we already have, partially have, or lack.</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Part IV — Feature Roadmap: the prioritized list of features we are building beyond the MVP, each one traced back to which competitor (if any) has already shipped it, and why we are including, excluding, or deferring it.</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Part V — Risks, Assumptions &amp; Anticipated Questions: every open risk and unresolved assumption from both the deployment and competitive workstreams, plus a manager-question cheat sheet.</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Part VI — Engineering Reference: verified links to every repo, model provider, API doc, CRM integration, and regulatory source a teammate needs to start building.</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Appendix A — Glossary. Appendix B — Document Provenance (which source document each Part is drawn from, and how new evidence should update this one).</w:t>
      </w:r>
    </w:p>
    <w:p>
      <w:pPr>
        <w:pStyle w:val="Heading3"/>
        <w:spacing w:after="100" w:before="180"/>
      </w:pPr>
      <w:r>
        <w:rPr>
          <w:rFonts w:ascii="Calibri" w:cs="Calibri" w:eastAsia="Calibri" w:hAnsi="Calibri"/>
          <w:b/>
          <w:bCs/>
          <w:i w:val="false"/>
          <w:iCs w:val="false"/>
          <w:color w:val="2455A4"/>
          <w:sz w:val="21"/>
          <w:szCs w:val="21"/>
        </w:rPr>
        <w:t xml:space="preserve">Standing instruction for future updates</w:t>
      </w:r>
    </w:p>
    <w:p>
      <w:pPr>
        <w:spacing w:after="140" w:before="0" w:line="264"/>
        <w:jc w:val="left"/>
      </w:pPr>
      <w:r>
        <w:rPr>
          <w:rFonts w:ascii="Calibri" w:cs="Calibri" w:eastAsia="Calibri" w:hAnsi="Calibri"/>
          <w:b w:val="false"/>
          <w:bCs w:val="false"/>
          <w:i w:val="false"/>
          <w:iCs w:val="false"/>
          <w:color w:val="222222"/>
          <w:sz w:val="19"/>
          <w:szCs w:val="19"/>
        </w:rPr>
        <w:t xml:space="preserve">This blueprint is treated as a living knowledge base: new evidence should update — not silently overwrite — prior conclusions. When a section changes, note what changed and why immediately below the affected content, the way Challenge sections below already separate "the challenge" from "the proposed solution" from "the verdict."</w:t>
      </w:r>
    </w:p>
    <w:p>
      <w:pPr>
        <w:spacing w:after="200"/>
      </w:pPr>
    </w:p>
    <w:p>
      <w:pPr>
        <w:pStyle w:val="Heading1"/>
        <w:pageBreakBefore/>
        <w:pBdr>
          <w:bottom w:val="single" w:color="2455A4" w:sz="14" w:space="6"/>
        </w:pBdr>
        <w:spacing w:after="220" w:before="0"/>
      </w:pPr>
      <w:r>
        <w:rPr>
          <w:rFonts w:ascii="Calibri" w:cs="Calibri" w:eastAsia="Calibri" w:hAnsi="Calibri"/>
          <w:b/>
          <w:bCs/>
          <w:i w:val="false"/>
          <w:iCs w:val="false"/>
          <w:color w:val="1B2A4A"/>
          <w:sz w:val="34"/>
          <w:szCs w:val="34"/>
        </w:rPr>
        <w:t xml:space="preserve">Executive Summary</w:t>
      </w:r>
    </w:p>
    <w:p>
      <w:pPr>
        <w:spacing w:after="140" w:before="0" w:line="264"/>
        <w:jc w:val="left"/>
      </w:pPr>
      <w:r>
        <w:rPr>
          <w:rFonts w:ascii="Calibri" w:cs="Calibri" w:eastAsia="Calibri" w:hAnsi="Calibri"/>
          <w:b w:val="false"/>
          <w:bCs w:val="false"/>
          <w:i w:val="false"/>
          <w:iCs w:val="false"/>
          <w:color w:val="222222"/>
          <w:sz w:val="19"/>
          <w:szCs w:val="19"/>
        </w:rPr>
        <w:t xml:space="preserve">Advora.ai is an autonomous AI voice agent platform that manages the complete customer lifecycle over telephone calls — outbound sales outreach, inbound query handling, appointment and site-visit booking, support, and follow-up. It is being launched first for Indian real estate presales in the NCR market, and is architected from day one as a config-driven, multi-industry platform: new verticals are added as Industry Pack configuration bundles, with zero engine code changes (AD-1, AD-5).</w:t>
      </w:r>
    </w:p>
    <w:p>
      <w:pPr>
        <w:spacing w:after="140" w:before="0" w:line="264"/>
        <w:jc w:val="left"/>
      </w:pPr>
      <w:r>
        <w:rPr>
          <w:rFonts w:ascii="Calibri" w:cs="Calibri" w:eastAsia="Calibri" w:hAnsi="Calibri"/>
          <w:b w:val="false"/>
          <w:bCs w:val="false"/>
          <w:i w:val="false"/>
          <w:iCs w:val="false"/>
          <w:color w:val="222222"/>
          <w:sz w:val="19"/>
          <w:szCs w:val="19"/>
        </w:rPr>
        <w:t xml:space="preserve">Three engineering principles define the approach: (1) separation of reasoning and execution — the language model proposes actions, deterministic application code validates and executes them; (2) platform-generic design — the engine contains no industry-specific logic; and (3) auditability by construction — every decision is recorded with its full context, so any action can be explained after the fact. What is presented in the product-facing framing as "six AI agents" (Lead Qualification, Campaign, Scheduling, Follow-Up, CP Intelligence, Inbound Concierge) is implemented underneath as six config profiles — stage subset, tool subset, and prompt template — on a single planner orchestrator, not as six autonomous agents. Both framings are used deliberately in this document: the agent framing for product/customer communication, the config-profile framing for engineering accuracy.</w:t>
      </w:r>
    </w:p>
    <w:p>
      <w:pPr>
        <w:pStyle w:val="Heading2"/>
        <w:spacing w:after="140" w:before="260"/>
      </w:pPr>
      <w:r>
        <w:rPr>
          <w:rFonts w:ascii="Calibri" w:cs="Calibri" w:eastAsia="Calibri" w:hAnsi="Calibri"/>
          <w:b/>
          <w:bCs/>
          <w:i w:val="false"/>
          <w:iCs w:val="false"/>
          <w:color w:val="1B2A4A"/>
          <w:sz w:val="25"/>
          <w:szCs w:val="25"/>
        </w:rPr>
        <w:t xml:space="preserve">Deployment reliability, not demand, is the constraint</w:t>
      </w:r>
    </w:p>
    <w:p>
      <w:pPr>
        <w:spacing w:after="140" w:before="0" w:line="264"/>
        <w:jc w:val="left"/>
      </w:pPr>
      <w:r>
        <w:rPr>
          <w:rFonts w:ascii="Calibri" w:cs="Calibri" w:eastAsia="Calibri" w:hAnsi="Calibri"/>
          <w:b w:val="false"/>
          <w:bCs w:val="false"/>
          <w:i w:val="false"/>
          <w:iCs w:val="false"/>
          <w:color w:val="222222"/>
          <w:sz w:val="19"/>
          <w:szCs w:val="19"/>
        </w:rPr>
        <w:t xml:space="preserve">The Indian voice AI market was valued at approximately $153M in 2024 and is projected to reach roughly $958M by 2030 at a 35.7% CAGR. Demand is not the problem — pilot-to-contract conversion is. Part II of this document carries forward, in full, the engineering team's analysis of the eight challenges that determine whether a pilot survives: the uncanny valley problem, latency on Indian networks, dirty CRM data, tightening AI-disclosure regulation, first-thirty-seconds answer accuracy, multi-turn conversational complexity, the internal adoption gap, and proving ROI inside a short pilot window. Two of the eight require no engineering at all — they are pilot-design and pricing decisions. The recommended sequence puts the pre-dial data quality gate, the compliance/disclosure layer, and structured fact retrieval first: roughly two weeks of work that removes the three most common causes of pilot failure.</w:t>
      </w:r>
    </w:p>
    <w:p>
      <w:pPr>
        <w:pStyle w:val="Heading2"/>
        <w:spacing w:after="140" w:before="260"/>
      </w:pPr>
      <w:r>
        <w:rPr>
          <w:rFonts w:ascii="Calibri" w:cs="Calibri" w:eastAsia="Calibri" w:hAnsi="Calibri"/>
          <w:b/>
          <w:bCs/>
          <w:i w:val="false"/>
          <w:iCs w:val="false"/>
          <w:color w:val="1B2A4A"/>
          <w:sz w:val="25"/>
          <w:szCs w:val="25"/>
        </w:rPr>
        <w:t xml:space="preserve">Competitive position</w:t>
      </w:r>
    </w:p>
    <w:p>
      <w:pPr>
        <w:spacing w:after="140" w:before="0" w:line="264"/>
        <w:jc w:val="left"/>
      </w:pPr>
      <w:r>
        <w:rPr>
          <w:rFonts w:ascii="Calibri" w:cs="Calibri" w:eastAsia="Calibri" w:hAnsi="Calibri"/>
          <w:b w:val="false"/>
          <w:bCs w:val="false"/>
          <w:i w:val="false"/>
          <w:iCs w:val="false"/>
          <w:color w:val="222222"/>
          <w:sz w:val="19"/>
          <w:szCs w:val="19"/>
        </w:rPr>
        <w:t xml:space="preserve">Part III benchmarks the architecture against eight identified competitors — Thinkly AI, ConvozenAI (NoBroker), HuskyVoice AI, Tabbly.io, SquadStack, Haptik (Jio), Bolna, and Caller Digital — across nine industries. No competitor owns the full site-visit lifecycle or channel-partner (CP) attribution; that remains the clearest wedge. Four cross-industry capabilities are structural gaps regardless of vertical and are treated as build priorities rather than polish: billing/usage metering (nothing exists today), a first-class WhatsApp channel (schema-ready but unbuilt), a structured inventory/pricing tool (to stop relying on RAG for facts that change daily), and a generic escalation-tool template.</w:t>
      </w:r>
    </w:p>
    <w:p>
      <w:pPr>
        <w:pStyle w:val="Heading2"/>
        <w:spacing w:after="140" w:before="260"/>
      </w:pPr>
      <w:r>
        <w:rPr>
          <w:rFonts w:ascii="Calibri" w:cs="Calibri" w:eastAsia="Calibri" w:hAnsi="Calibri"/>
          <w:b/>
          <w:bCs/>
          <w:i w:val="false"/>
          <w:iCs w:val="false"/>
          <w:color w:val="1B2A4A"/>
          <w:sz w:val="25"/>
          <w:szCs w:val="25"/>
        </w:rPr>
        <w:t xml:space="preserve">What we are building next</w:t>
      </w:r>
    </w:p>
    <w:p>
      <w:pPr>
        <w:spacing w:after="140" w:before="0" w:line="264"/>
        <w:jc w:val="left"/>
      </w:pPr>
      <w:r>
        <w:rPr>
          <w:rFonts w:ascii="Calibri" w:cs="Calibri" w:eastAsia="Calibri" w:hAnsi="Calibri"/>
          <w:b w:val="false"/>
          <w:bCs w:val="false"/>
          <w:i w:val="false"/>
          <w:iCs w:val="false"/>
          <w:color w:val="222222"/>
          <w:sz w:val="19"/>
          <w:szCs w:val="19"/>
        </w:rPr>
        <w:t xml:space="preserve">Part IV lists the 13-item Now/Next/Later roadmap. Every item is traced to the competitor whose product proves the pattern works (or marked as a whitespace no competitor occupies), so "is anyone already doing this" is answered directly rather than assumed. Four items are targeted at the current 0-3 month window: the structured inventory tool, a generic escalation-tool template, the WhatsApp channel adapter, and the billing/usage-metering module — the last of which blocks every future self-serve or SMB pricing motion and must be sequenced first.</w:t>
      </w:r>
    </w:p>
    <w:p>
      <w:pPr>
        <w:spacing w:after="200"/>
      </w:pPr>
    </w:p>
    <w:p>
      <w:pPr>
        <w:pageBreakBefore/>
        <w:spacing w:after="20" w:before="0"/>
      </w:pPr>
      <w:r>
        <w:rPr>
          <w:rFonts w:ascii="Calibri" w:cs="Calibri" w:eastAsia="Calibri" w:hAnsi="Calibri"/>
          <w:b/>
          <w:bCs/>
          <w:i w:val="false"/>
          <w:iCs w:val="false"/>
          <w:color w:val="2455A4"/>
          <w:sz w:val="18"/>
          <w:szCs w:val="18"/>
        </w:rPr>
        <w:t xml:space="preserve">PART I</w:t>
      </w:r>
    </w:p>
    <w:p>
      <w:pPr>
        <w:pStyle w:val="Heading1"/>
        <w:pBdr>
          <w:bottom w:val="single" w:color="2455A4" w:sz="14" w:space="6"/>
        </w:pBdr>
        <w:spacing w:after="220" w:before="0"/>
      </w:pPr>
      <w:r>
        <w:rPr>
          <w:rFonts w:ascii="Calibri" w:cs="Calibri" w:eastAsia="Calibri" w:hAnsi="Calibri"/>
          <w:b/>
          <w:bCs/>
          <w:i w:val="false"/>
          <w:iCs w:val="false"/>
          <w:color w:val="1B2A4A"/>
          <w:sz w:val="34"/>
          <w:szCs w:val="34"/>
        </w:rPr>
        <w:t xml:space="preserve">Part I — Product Foundation: The Advora.ai MVP</w:t>
      </w:r>
    </w:p>
    <w:p>
      <w:pPr>
        <w:spacing w:after="140" w:before="0" w:line="264"/>
        <w:jc w:val="left"/>
      </w:pPr>
      <w:r>
        <w:rPr>
          <w:rFonts w:ascii="Calibri" w:cs="Calibri" w:eastAsia="Calibri" w:hAnsi="Calibri"/>
          <w:b w:val="false"/>
          <w:bCs w:val="false"/>
          <w:i w:val="false"/>
          <w:iCs w:val="false"/>
          <w:color w:val="222222"/>
          <w:sz w:val="19"/>
          <w:szCs w:val="19"/>
        </w:rPr>
        <w:t xml:space="preserve">This Part defines the baseline: what exists today, against which Part III measures competitors and Part IV proposes additions. Source: "AI Voice Sales &amp; Customer Lifecycle Agent — Solution Overview &amp; Engineering Approach" and companion architecture documents (the platform-generic engine), read together with the real-estate Industry Pack's agent configuration (the product-facing layer built on that engine).</w:t>
      </w:r>
    </w:p>
    <w:p>
      <w:pPr>
        <w:pStyle w:val="Heading2"/>
        <w:spacing w:after="140" w:before="260"/>
      </w:pPr>
      <w:r>
        <w:rPr>
          <w:rFonts w:ascii="Calibri" w:cs="Calibri" w:eastAsia="Calibri" w:hAnsi="Calibri"/>
          <w:b/>
          <w:bCs/>
          <w:i w:val="false"/>
          <w:iCs w:val="false"/>
          <w:color w:val="1B2A4A"/>
          <w:sz w:val="25"/>
          <w:szCs w:val="25"/>
        </w:rPr>
        <w:t xml:space="preserve">1.1 What Advora.ai Is</w:t>
      </w:r>
    </w:p>
    <w:p>
      <w:pPr>
        <w:spacing w:after="140" w:before="0" w:line="264"/>
        <w:jc w:val="left"/>
      </w:pPr>
      <w:r>
        <w:rPr>
          <w:rFonts w:ascii="Calibri" w:cs="Calibri" w:eastAsia="Calibri" w:hAnsi="Calibri"/>
          <w:b w:val="false"/>
          <w:bCs w:val="false"/>
          <w:i w:val="false"/>
          <w:iCs w:val="false"/>
          <w:color w:val="222222"/>
          <w:sz w:val="19"/>
          <w:szCs w:val="19"/>
        </w:rPr>
        <w:t xml:space="preserve">An autonomous AI voice agent that manages the complete customer lifecycle over telephone calls: outbound sales outreach, inbound query handling, appointment/site-visit booking and management, customer support, and follow-up engagement. The system conducts natural voice conversations, maintains persistent memory of every customer interaction, retrieves answers from the company's official knowledge base, and executes business actions (bookings, tickets, CRM updates) — all while operating strictly within configurable business rules, with a complete audit trail of every decision.</w:t>
      </w:r>
    </w:p>
    <w:p>
      <w:pPr>
        <w:pStyle w:val="Heading3"/>
        <w:spacing w:after="100" w:before="180"/>
      </w:pPr>
      <w:r>
        <w:rPr>
          <w:rFonts w:ascii="Calibri" w:cs="Calibri" w:eastAsia="Calibri" w:hAnsi="Calibri"/>
          <w:b/>
          <w:bCs/>
          <w:i w:val="false"/>
          <w:iCs w:val="false"/>
          <w:color w:val="2455A4"/>
          <w:sz w:val="21"/>
          <w:szCs w:val="21"/>
        </w:rPr>
        <w:t xml:space="preserve">Core capabilities</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1677"/>
        <w:gridCol w:w="7637"/>
      </w:tblGrid>
      <w:tr>
        <w:trPr>
          <w:tblHeader/>
        </w:trPr>
        <w:tc>
          <w:tcPr>
            <w:tcW w:type="dxa" w:w="1677"/>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Function</w:t>
            </w:r>
          </w:p>
        </w:tc>
        <w:tc>
          <w:tcPr>
            <w:tcW w:type="dxa" w:w="7637"/>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Capabilities</w:t>
            </w:r>
          </w:p>
        </w:tc>
      </w:tr>
      <w:tr>
        <w:tc>
          <w:tcPr>
            <w:tcW w:type="dxa" w:w="167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Sales</w:t>
            </w:r>
          </w:p>
        </w:tc>
        <w:tc>
          <w:tcPr>
            <w:tcW w:type="dxa" w:w="763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Outbound sales calls, inbound call handling, product Q&amp;A grounded in company documents, objection handling, lead qualification</w:t>
            </w:r>
          </w:p>
        </w:tc>
      </w:tr>
      <w:tr>
        <w:tc>
          <w:tcPr>
            <w:tcW w:type="dxa" w:w="1677"/>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Appointments</w:t>
            </w:r>
          </w:p>
        </w:tc>
        <w:tc>
          <w:tcPr>
            <w:tcW w:type="dxa" w:w="7637"/>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Real-time slot search, booking, rescheduling, cancellation, reminder calls, no-show follow-up — with capacity, working hours, holidays, and buffer times enforced</w:t>
            </w:r>
          </w:p>
        </w:tc>
      </w:tr>
      <w:tr>
        <w:tc>
          <w:tcPr>
            <w:tcW w:type="dxa" w:w="167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Support</w:t>
            </w:r>
          </w:p>
        </w:tc>
        <w:tc>
          <w:tcPr>
            <w:tcW w:type="dxa" w:w="763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Ticket creation, grievance handling, escalation to human agents with full context transfer</w:t>
            </w:r>
          </w:p>
        </w:tc>
      </w:tr>
      <w:tr>
        <w:tc>
          <w:tcPr>
            <w:tcW w:type="dxa" w:w="1677"/>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Lifecycle</w:t>
            </w:r>
          </w:p>
        </w:tc>
        <w:tc>
          <w:tcPr>
            <w:tcW w:type="dxa" w:w="7637"/>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Persistent per-customer memory, journey-stage tracking, retry and callback management, campaign-based outreach</w:t>
            </w:r>
          </w:p>
        </w:tc>
      </w:tr>
      <w:tr>
        <w:tc>
          <w:tcPr>
            <w:tcW w:type="dxa" w:w="167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Governance</w:t>
            </w:r>
          </w:p>
        </w:tc>
        <w:tc>
          <w:tcPr>
            <w:tcW w:type="dxa" w:w="763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Do-Not-Contact enforcement, calling-hour compliance, consent tracking, recording disclosure, decision-level audit logs</w:t>
            </w:r>
          </w:p>
        </w:tc>
      </w:tr>
    </w:tbl>
    <w:p>
      <w:pPr>
        <w:pStyle w:val="Heading3"/>
        <w:spacing w:after="100" w:before="180"/>
      </w:pPr>
      <w:r>
        <w:rPr>
          <w:rFonts w:ascii="Calibri" w:cs="Calibri" w:eastAsia="Calibri" w:hAnsi="Calibri"/>
          <w:b/>
          <w:bCs/>
          <w:i w:val="false"/>
          <w:iCs w:val="false"/>
          <w:color w:val="2455A4"/>
          <w:sz w:val="21"/>
          <w:szCs w:val="21"/>
        </w:rPr>
        <w:t xml:space="preserve">Three engineering principles</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Separation of reasoning and execution. The language model proposes actions; deterministic application code validates and executes them. The model has no direct ability to modify data or place bookings.</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Platform-generic design. The engine contains no industry-specific logic. Business rules, customer journey stages, tools, and conversational persona are loaded as configuration ("Industry Packs"), making the platform reusable across clients and domains without code changes.</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Auditability by construction. Every decision is recorded with its full context — inputs, retrieved data, rules evaluated, confidence, and outcome — enabling the system to explain any action after the fact.</w:t>
      </w:r>
    </w:p>
    <w:p>
      <w:pPr>
        <w:pStyle w:val="Heading2"/>
        <w:spacing w:after="140" w:before="260"/>
      </w:pPr>
      <w:r>
        <w:rPr>
          <w:rFonts w:ascii="Calibri" w:cs="Calibri" w:eastAsia="Calibri" w:hAnsi="Calibri"/>
          <w:b/>
          <w:bCs/>
          <w:i w:val="false"/>
          <w:iCs w:val="false"/>
          <w:color w:val="1B2A4A"/>
          <w:sz w:val="25"/>
          <w:szCs w:val="25"/>
        </w:rPr>
        <w:t xml:space="preserve">1.2 Architecture Principles &amp; Key Decisions</w:t>
      </w:r>
    </w:p>
    <w:p>
      <w:pPr>
        <w:pStyle w:val="Heading3"/>
        <w:spacing w:after="100" w:before="180"/>
      </w:pPr>
      <w:r>
        <w:rPr>
          <w:rFonts w:ascii="Calibri" w:cs="Calibri" w:eastAsia="Calibri" w:hAnsi="Calibri"/>
          <w:b/>
          <w:bCs/>
          <w:i w:val="false"/>
          <w:iCs w:val="false"/>
          <w:color w:val="2455A4"/>
          <w:sz w:val="21"/>
          <w:szCs w:val="21"/>
        </w:rPr>
        <w:t xml:space="preserve">Design principles</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Domain-agnostic core. Nothing in the engine knows about "real estate" or "clinics." All domain behavior lives in Industry Packs: config bundles containing tools config, rules YAML, state-machine definition, prompts, and knowledge documents. Deploying for a new vertical = new pack, zero engine code changes.</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The LLM never executes tools. The LLM proposes; the Planner validates against the tool contract and Rule Engine, then the Executor runs it.</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Provider abstraction everywhere it hurts. Telephony, STT, TTS, LLM, and embeddings are all behind interfaces with swappable adapters — full abstraction layer, not a thin one.</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Everything auditable. Every decision step emits an audit event with inputs, retrieved context, rules evaluated, and confidence. Explainability is a query over these events, not a reconstruction.</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Tenant-ready from day one. Single-tenant deployments are just multi-tenant with one row in tenants. Every table carries tenant_id.</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Config over code. States, rules, tools, prompts, calling policies — all data, editable via admin API without redeploy.</w:t>
      </w:r>
    </w:p>
    <w:p>
      <w:pPr>
        <w:pStyle w:val="Heading3"/>
        <w:spacing w:after="100" w:before="180"/>
      </w:pPr>
      <w:r>
        <w:rPr>
          <w:rFonts w:ascii="Calibri" w:cs="Calibri" w:eastAsia="Calibri" w:hAnsi="Calibri"/>
          <w:b/>
          <w:bCs/>
          <w:i w:val="false"/>
          <w:iCs w:val="false"/>
          <w:color w:val="2455A4"/>
          <w:sz w:val="21"/>
          <w:szCs w:val="21"/>
        </w:rPr>
        <w:t xml:space="preserve">Key architectural decisions (AD-1 through AD-8)</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745"/>
        <w:gridCol w:w="3912"/>
        <w:gridCol w:w="4657"/>
      </w:tblGrid>
      <w:tr>
        <w:trPr>
          <w:tblHeader/>
        </w:trPr>
        <w:tc>
          <w:tcPr>
            <w:tcW w:type="dxa" w:w="745"/>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w:t>
            </w:r>
          </w:p>
        </w:tc>
        <w:tc>
          <w:tcPr>
            <w:tcW w:type="dxa" w:w="3912"/>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Decision</w:t>
            </w:r>
          </w:p>
        </w:tc>
        <w:tc>
          <w:tcPr>
            <w:tcW w:type="dxa" w:w="4657"/>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Rationale</w:t>
            </w:r>
          </w:p>
        </w:tc>
      </w:tr>
      <w:tr>
        <w:tc>
          <w:tcPr>
            <w:tcW w:type="dxa" w:w="74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AD-1</w:t>
            </w:r>
          </w:p>
        </w:tc>
        <w:tc>
          <w:tcPr>
            <w:tcW w:type="dxa" w:w="391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Modular monolith + separate voice service</w:t>
            </w:r>
          </w:p>
        </w:tc>
        <w:tc>
          <w:tcPr>
            <w:tcW w:type="dxa" w:w="465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Latency/scaling isolation for media; transactional simplicity for engine</w:t>
            </w:r>
          </w:p>
        </w:tc>
      </w:tr>
      <w:tr>
        <w:tc>
          <w:tcPr>
            <w:tcW w:type="dxa" w:w="74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AD-2</w:t>
            </w:r>
          </w:p>
        </w:tc>
        <w:tc>
          <w:tcPr>
            <w:tcW w:type="dxa" w:w="3912"/>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Postgres + pgvector only (no MongoDB)</w:t>
            </w:r>
          </w:p>
        </w:tc>
        <w:tc>
          <w:tcPr>
            <w:tcW w:type="dxa" w:w="4657"/>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Data is relational; JSONB covers flexible payloads; one database to operate</w:t>
            </w:r>
          </w:p>
        </w:tc>
      </w:tr>
      <w:tr>
        <w:tc>
          <w:tcPr>
            <w:tcW w:type="dxa" w:w="74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AD-3</w:t>
            </w:r>
          </w:p>
        </w:tc>
        <w:tc>
          <w:tcPr>
            <w:tcW w:type="dxa" w:w="391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Full provider abstraction with fallback routing</w:t>
            </w:r>
          </w:p>
        </w:tc>
        <w:tc>
          <w:tcPr>
            <w:tcW w:type="dxa" w:w="465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Full-scope requirement; also de-risks India telephony vendor churn</w:t>
            </w:r>
          </w:p>
        </w:tc>
      </w:tr>
      <w:tr>
        <w:tc>
          <w:tcPr>
            <w:tcW w:type="dxa" w:w="74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AD-4</w:t>
            </w:r>
          </w:p>
        </w:tc>
        <w:tc>
          <w:tcPr>
            <w:tcW w:type="dxa" w:w="3912"/>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Slot availability computed, never materialized</w:t>
            </w:r>
          </w:p>
        </w:tc>
        <w:tc>
          <w:tcPr>
            <w:tcW w:type="dxa" w:w="4657"/>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Eliminates slot-table sync bugs; booking correctness via row locks</w:t>
            </w:r>
          </w:p>
        </w:tc>
      </w:tr>
      <w:tr>
        <w:tc>
          <w:tcPr>
            <w:tcW w:type="dxa" w:w="74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AD-5</w:t>
            </w:r>
          </w:p>
        </w:tc>
        <w:tc>
          <w:tcPr>
            <w:tcW w:type="dxa" w:w="391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All engine config (states/rules/tools/prompts) in versioned DB rows</w:t>
            </w:r>
          </w:p>
        </w:tc>
        <w:tc>
          <w:tcPr>
            <w:tcW w:type="dxa" w:w="465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Domain-agnostic platform; edit without redeploy; full audit history</w:t>
            </w:r>
          </w:p>
        </w:tc>
      </w:tr>
      <w:tr>
        <w:tc>
          <w:tcPr>
            <w:tcW w:type="dxa" w:w="74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AD-6</w:t>
            </w:r>
          </w:p>
        </w:tc>
        <w:tc>
          <w:tcPr>
            <w:tcW w:type="dxa" w:w="3912"/>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decision_traces as a first-class table</w:t>
            </w:r>
          </w:p>
        </w:tc>
        <w:tc>
          <w:tcPr>
            <w:tcW w:type="dxa" w:w="4657"/>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Explainability is a query, not log spelunking</w:t>
            </w:r>
          </w:p>
        </w:tc>
      </w:tr>
      <w:tr>
        <w:tc>
          <w:tcPr>
            <w:tcW w:type="dxa" w:w="74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AD-7</w:t>
            </w:r>
          </w:p>
        </w:tc>
        <w:tc>
          <w:tcPr>
            <w:tcW w:type="dxa" w:w="391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Facts are append-only with supersede links</w:t>
            </w:r>
          </w:p>
        </w:tc>
        <w:tc>
          <w:tcPr>
            <w:tcW w:type="dxa" w:w="465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Memory is auditable and reversible; no silent overwrites</w:t>
            </w:r>
          </w:p>
        </w:tc>
      </w:tr>
      <w:tr>
        <w:tc>
          <w:tcPr>
            <w:tcW w:type="dxa" w:w="74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AD-8</w:t>
            </w:r>
          </w:p>
        </w:tc>
        <w:tc>
          <w:tcPr>
            <w:tcW w:type="dxa" w:w="3912"/>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Haiku-class model for all background LLM jobs</w:t>
            </w:r>
          </w:p>
        </w:tc>
        <w:tc>
          <w:tcPr>
            <w:tcW w:type="dxa" w:w="4657"/>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10-20x cost reduction on summarization/extraction volume</w:t>
            </w:r>
          </w:p>
        </w:tc>
      </w:tr>
    </w:tbl>
    <w:p>
      <w:pPr>
        <w:pStyle w:val="Heading2"/>
        <w:spacing w:after="140" w:before="260"/>
      </w:pPr>
      <w:r>
        <w:rPr>
          <w:rFonts w:ascii="Calibri" w:cs="Calibri" w:eastAsia="Calibri" w:hAnsi="Calibri"/>
          <w:b/>
          <w:bCs/>
          <w:i w:val="false"/>
          <w:iCs w:val="false"/>
          <w:color w:val="1B2A4A"/>
          <w:sz w:val="25"/>
          <w:szCs w:val="25"/>
        </w:rPr>
        <w:t xml:space="preserve">1.3 System Architecture</w:t>
      </w:r>
    </w:p>
    <w:p>
      <w:pPr>
        <w:spacing w:after="140" w:before="0" w:line="264"/>
        <w:jc w:val="left"/>
      </w:pPr>
      <w:r>
        <w:rPr>
          <w:rFonts w:ascii="Calibri" w:cs="Calibri" w:eastAsia="Calibri" w:hAnsi="Calibri"/>
          <w:b w:val="false"/>
          <w:bCs w:val="false"/>
          <w:i w:val="false"/>
          <w:iCs w:val="false"/>
          <w:color w:val="222222"/>
          <w:sz w:val="19"/>
          <w:szCs w:val="19"/>
        </w:rPr>
        <w:t xml:space="preserve">The system consists of four deployable components:</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Core Platform (modular monolith). Hosts the decision engine and all business services — conversation management, planning, rule evaluation, tool execution, customer memory, knowledge retrieval, scheduling, CRM, tickets, campaigns, and audit. A single FastAPI application with strict internal module boundaries, chosen over microservices because these modules share transactions and context on every conversational turn.</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Voice Session Service (separate service). Manages live calls: telephony media streams, streaming speech recognition and synthesis, interruption and silence handling. Deployed separately because its scaling characteristics (I/O-bound audio streaming, WebSocket-heavy) differ from the core platform, and a fault in call handling must not affect the core engine.</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Worker pool. Celery workers for all asynchronous work: post-call summarization and fact extraction, campaign dialing, reminder and retry scheduling, knowledge-document ingestion.</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Admin Dashboard. React application for operations staff: customer and call management, live call monitoring, rule and knowledge-base editing, campaign control, analytics, and audit-trail review.</w:t>
      </w:r>
    </w:p>
    <w:p>
      <w:pPr>
        <w:spacing w:after="140" w:before="0" w:line="264"/>
        <w:jc w:val="left"/>
      </w:pPr>
      <w:r>
        <w:rPr>
          <w:rFonts w:ascii="Calibri" w:cs="Calibri" w:eastAsia="Calibri" w:hAnsi="Calibri"/>
          <w:b w:val="false"/>
          <w:bCs w:val="false"/>
          <w:i w:val="false"/>
          <w:iCs w:val="false"/>
          <w:color w:val="222222"/>
          <w:sz w:val="19"/>
          <w:szCs w:val="19"/>
        </w:rPr>
        <w:t xml:space="preserve">The two runtime services communicate through a single frozen contract — process_turn(conversation, user_input) → agent_response — which allows voice-layer and engine development to proceed in parallel and lets additional channels (chat, WhatsApp) reuse the same engine unchanged.</w:t>
      </w:r>
    </w:p>
    <w:p>
      <w:pPr>
        <w:pStyle w:val="Heading2"/>
        <w:spacing w:after="140" w:before="260"/>
      </w:pPr>
      <w:r>
        <w:rPr>
          <w:rFonts w:ascii="Calibri" w:cs="Calibri" w:eastAsia="Calibri" w:hAnsi="Calibri"/>
          <w:b/>
          <w:bCs/>
          <w:i w:val="false"/>
          <w:iCs w:val="false"/>
          <w:color w:val="1B2A4A"/>
          <w:sz w:val="25"/>
          <w:szCs w:val="25"/>
        </w:rPr>
        <w:t xml:space="preserve">1.4 Technology Stack Reference</w:t>
      </w:r>
    </w:p>
    <w:p>
      <w:pPr>
        <w:spacing w:after="140" w:before="0" w:line="264"/>
        <w:jc w:val="left"/>
      </w:pPr>
      <w:r>
        <w:rPr>
          <w:rFonts w:ascii="Calibri" w:cs="Calibri" w:eastAsia="Calibri" w:hAnsi="Calibri"/>
          <w:b w:val="false"/>
          <w:bCs w:val="false"/>
          <w:i w:val="false"/>
          <w:iCs w:val="false"/>
          <w:color w:val="222222"/>
          <w:sz w:val="19"/>
          <w:szCs w:val="19"/>
        </w:rPr>
        <w:t xml:space="preserve">Every provider sits behind an internal interface abstraction with a configured fallback, so any provider can be replaced or failed over without changes to application logic. Reference links for every row are consolidated in Part VI.</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1770"/>
        <w:gridCol w:w="2608"/>
        <w:gridCol w:w="3353"/>
        <w:gridCol w:w="1583"/>
      </w:tblGrid>
      <w:tr>
        <w:trPr>
          <w:tblHeader/>
        </w:trPr>
        <w:tc>
          <w:tcPr>
            <w:tcW w:type="dxa" w:w="177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Layer</w:t>
            </w:r>
          </w:p>
        </w:tc>
        <w:tc>
          <w:tcPr>
            <w:tcW w:type="dxa" w:w="2608"/>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Choice</w:t>
            </w:r>
          </w:p>
        </w:tc>
        <w:tc>
          <w:tcPr>
            <w:tcW w:type="dxa" w:w="3353"/>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Notes</w:t>
            </w:r>
          </w:p>
        </w:tc>
        <w:tc>
          <w:tcPr>
            <w:tcW w:type="dxa" w:w="1583"/>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Reference</w:t>
            </w:r>
          </w:p>
        </w:tc>
      </w:tr>
      <w:tr>
        <w:tc>
          <w:tcPr>
            <w:tcW w:type="dxa" w:w="177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Core API</w:t>
            </w:r>
          </w:p>
        </w:tc>
        <w:tc>
          <w:tcPr>
            <w:tcW w:type="dxa" w:w="2608"/>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Python 3.12 + FastAPI (async)</w:t>
            </w:r>
          </w:p>
        </w:tc>
        <w:tc>
          <w:tcPr>
            <w:tcW w:type="dxa" w:w="335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Async-first throughout; strong concurrent call handling</w:t>
            </w:r>
          </w:p>
        </w:tc>
        <w:tc>
          <w:tcPr>
            <w:tcW w:type="dxa" w:w="158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fastapi.tiangolo.com</w:t>
            </w:r>
          </w:p>
        </w:tc>
      </w:tr>
      <w:tr>
        <w:tc>
          <w:tcPr>
            <w:tcW w:type="dxa" w:w="177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Voice service</w:t>
            </w:r>
          </w:p>
        </w:tc>
        <w:tc>
          <w:tcPr>
            <w:tcW w:type="dxa" w:w="2608"/>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FastAPI + asyncio + WebSockets</w:t>
            </w:r>
          </w:p>
        </w:tc>
        <w:tc>
          <w:tcPr>
            <w:tcW w:type="dxa" w:w="335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Media streaming over WS, deployed separately from core</w:t>
            </w:r>
          </w:p>
        </w:tc>
        <w:tc>
          <w:tcPr>
            <w:tcW w:type="dxa" w:w="158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fastapi.tiangolo.com</w:t>
            </w:r>
          </w:p>
        </w:tc>
      </w:tr>
      <w:tr>
        <w:tc>
          <w:tcPr>
            <w:tcW w:type="dxa" w:w="177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Workers</w:t>
            </w:r>
          </w:p>
        </w:tc>
        <w:tc>
          <w:tcPr>
            <w:tcW w:type="dxa" w:w="2608"/>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Celery (+ Redis broker)</w:t>
            </w:r>
          </w:p>
        </w:tc>
        <w:tc>
          <w:tcPr>
            <w:tcW w:type="dxa" w:w="335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Post-call processing, campaign dialing, reminders, retries, ingestion</w:t>
            </w:r>
          </w:p>
        </w:tc>
        <w:tc>
          <w:tcPr>
            <w:tcW w:type="dxa" w:w="158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docs.celeryq.dev</w:t>
            </w:r>
          </w:p>
        </w:tc>
      </w:tr>
      <w:tr>
        <w:tc>
          <w:tcPr>
            <w:tcW w:type="dxa" w:w="177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Database</w:t>
            </w:r>
          </w:p>
        </w:tc>
        <w:tc>
          <w:tcPr>
            <w:tcW w:type="dxa" w:w="2608"/>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PostgreSQL 16 + pgvector</w:t>
            </w:r>
          </w:p>
        </w:tc>
        <w:tc>
          <w:tcPr>
            <w:tcW w:type="dxa" w:w="335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One store for relational data and vector embeddings; avoids a separate vector DB</w:t>
            </w:r>
          </w:p>
        </w:tc>
        <w:tc>
          <w:tcPr>
            <w:tcW w:type="dxa" w:w="158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github.com/pgvector/pgvector</w:t>
            </w:r>
          </w:p>
        </w:tc>
      </w:tr>
      <w:tr>
        <w:tc>
          <w:tcPr>
            <w:tcW w:type="dxa" w:w="177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ORM / migrations</w:t>
            </w:r>
          </w:p>
        </w:tc>
        <w:tc>
          <w:tcPr>
            <w:tcW w:type="dxa" w:w="2608"/>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SQLAlchemy 2.0 (async) + Alembic</w:t>
            </w:r>
          </w:p>
        </w:tc>
        <w:tc>
          <w:tcPr>
            <w:tcW w:type="dxa" w:w="335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Backward-compatible migrations run as an explicit deploy step</w:t>
            </w:r>
          </w:p>
        </w:tc>
        <w:tc>
          <w:tcPr>
            <w:tcW w:type="dxa" w:w="158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docs.sqlalchemy.org · alembic.sqlalchemy.org</w:t>
            </w:r>
          </w:p>
        </w:tc>
      </w:tr>
      <w:tr>
        <w:tc>
          <w:tcPr>
            <w:tcW w:type="dxa" w:w="177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Cache / queues / locks</w:t>
            </w:r>
          </w:p>
        </w:tc>
        <w:tc>
          <w:tcPr>
            <w:tcW w:type="dxa" w:w="2608"/>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Redis 7</w:t>
            </w:r>
          </w:p>
        </w:tc>
        <w:tc>
          <w:tcPr>
            <w:tcW w:type="dxa" w:w="335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Session state for live calls, task queues, distributed locks for booking concurrency</w:t>
            </w:r>
          </w:p>
        </w:tc>
        <w:tc>
          <w:tcPr>
            <w:tcW w:type="dxa" w:w="158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redis.io/docs</w:t>
            </w:r>
          </w:p>
        </w:tc>
      </w:tr>
      <w:tr>
        <w:tc>
          <w:tcPr>
            <w:tcW w:type="dxa" w:w="177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Object storage</w:t>
            </w:r>
          </w:p>
        </w:tc>
        <w:tc>
          <w:tcPr>
            <w:tcW w:type="dxa" w:w="2608"/>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Azure Blob Storage</w:t>
            </w:r>
          </w:p>
        </w:tc>
        <w:tc>
          <w:tcPr>
            <w:tcW w:type="dxa" w:w="335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Call recordings, transcripts, uploaded knowledge documents (encrypted)</w:t>
            </w:r>
          </w:p>
        </w:tc>
        <w:tc>
          <w:tcPr>
            <w:tcW w:type="dxa" w:w="158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learn.microsoft.com/azure/storage/blobs</w:t>
            </w:r>
          </w:p>
        </w:tc>
      </w:tr>
      <w:tr>
        <w:tc>
          <w:tcPr>
            <w:tcW w:type="dxa" w:w="177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Frontend</w:t>
            </w:r>
          </w:p>
        </w:tc>
        <w:tc>
          <w:tcPr>
            <w:tcW w:type="dxa" w:w="2608"/>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React 18 + Vite + Tailwind CSS</w:t>
            </w:r>
          </w:p>
        </w:tc>
        <w:tc>
          <w:tcPr>
            <w:tcW w:type="dxa" w:w="335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Admin dashboard, operations console</w:t>
            </w:r>
          </w:p>
        </w:tc>
        <w:tc>
          <w:tcPr>
            <w:tcW w:type="dxa" w:w="158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react.dev · vitejs.dev · tailwindcss.com</w:t>
            </w:r>
          </w:p>
        </w:tc>
      </w:tr>
      <w:tr>
        <w:tc>
          <w:tcPr>
            <w:tcW w:type="dxa" w:w="177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Telephony (primary, India)</w:t>
            </w:r>
          </w:p>
        </w:tc>
        <w:tc>
          <w:tcPr>
            <w:tcW w:type="dxa" w:w="2608"/>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Plivo</w:t>
            </w:r>
          </w:p>
        </w:tc>
        <w:tc>
          <w:tcPr>
            <w:tcW w:type="dxa" w:w="335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India-focused pricing and DID availability; sits behind provider abstraction</w:t>
            </w:r>
          </w:p>
        </w:tc>
        <w:tc>
          <w:tcPr>
            <w:tcW w:type="dxa" w:w="158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plivo.com/docs</w:t>
            </w:r>
          </w:p>
        </w:tc>
      </w:tr>
      <w:tr>
        <w:tc>
          <w:tcPr>
            <w:tcW w:type="dxa" w:w="177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Telephony (India adapter)</w:t>
            </w:r>
          </w:p>
        </w:tc>
        <w:tc>
          <w:tcPr>
            <w:tcW w:type="dxa" w:w="2608"/>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Exotel</w:t>
            </w:r>
          </w:p>
        </w:tc>
        <w:tc>
          <w:tcPr>
            <w:tcW w:type="dxa" w:w="335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TRAI DLT-compliant Indian carrier connectivity; fallback/alt adapter</w:t>
            </w:r>
          </w:p>
        </w:tc>
        <w:tc>
          <w:tcPr>
            <w:tcW w:type="dxa" w:w="158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developer.exotel.com</w:t>
            </w:r>
          </w:p>
        </w:tc>
      </w:tr>
      <w:tr>
        <w:tc>
          <w:tcPr>
            <w:tcW w:type="dxa" w:w="177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Telephony (global adapter)</w:t>
            </w:r>
          </w:p>
        </w:tc>
        <w:tc>
          <w:tcPr>
            <w:tcW w:type="dxa" w:w="2608"/>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Twilio</w:t>
            </w:r>
          </w:p>
        </w:tc>
        <w:tc>
          <w:tcPr>
            <w:tcW w:type="dxa" w:w="335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Global reach fallback adapter behind the same abstraction</w:t>
            </w:r>
          </w:p>
        </w:tc>
        <w:tc>
          <w:tcPr>
            <w:tcW w:type="dxa" w:w="158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www.twilio.com/docs</w:t>
            </w:r>
          </w:p>
        </w:tc>
      </w:tr>
      <w:tr>
        <w:tc>
          <w:tcPr>
            <w:tcW w:type="dxa" w:w="177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Speech-to-Text (primary)</w:t>
            </w:r>
          </w:p>
        </w:tc>
        <w:tc>
          <w:tcPr>
            <w:tcW w:type="dxa" w:w="2608"/>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Deepgram (streaming)</w:t>
            </w:r>
          </w:p>
        </w:tc>
        <w:tc>
          <w:tcPr>
            <w:tcW w:type="dxa" w:w="335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Best-in-class latency/accuracy for telephone-grade audio; Indian-English models</w:t>
            </w:r>
          </w:p>
        </w:tc>
        <w:tc>
          <w:tcPr>
            <w:tcW w:type="dxa" w:w="158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developers.deepgram.com</w:t>
            </w:r>
          </w:p>
        </w:tc>
      </w:tr>
      <w:tr>
        <w:tc>
          <w:tcPr>
            <w:tcW w:type="dxa" w:w="177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Speech-to-Text (fallback)</w:t>
            </w:r>
          </w:p>
        </w:tc>
        <w:tc>
          <w:tcPr>
            <w:tcW w:type="dxa" w:w="2608"/>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Azure Speech</w:t>
            </w:r>
          </w:p>
        </w:tc>
        <w:tc>
          <w:tcPr>
            <w:tcW w:type="dxa" w:w="335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Circuit-breaker fallback if Deepgram degrades</w:t>
            </w:r>
          </w:p>
        </w:tc>
        <w:tc>
          <w:tcPr>
            <w:tcW w:type="dxa" w:w="158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learn.microsoft.com/azure/ai-services/speech-service</w:t>
            </w:r>
          </w:p>
        </w:tc>
      </w:tr>
      <w:tr>
        <w:tc>
          <w:tcPr>
            <w:tcW w:type="dxa" w:w="177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Speech-to-Text (Indian-language stack)</w:t>
            </w:r>
          </w:p>
        </w:tc>
        <w:tc>
          <w:tcPr>
            <w:tcW w:type="dxa" w:w="2608"/>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Sarvam (Saarika/Saaras) &amp; Gnani (Prisma/Vachana)</w:t>
            </w:r>
          </w:p>
        </w:tc>
        <w:tc>
          <w:tcPr>
            <w:tcW w:type="dxa" w:w="335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22-language Indic STT; native Hinglish code-switch handling for the real-estate vertical</w:t>
            </w:r>
          </w:p>
        </w:tc>
        <w:tc>
          <w:tcPr>
            <w:tcW w:type="dxa" w:w="158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docs.sarvam.ai · www.gnani.ai</w:t>
            </w:r>
          </w:p>
        </w:tc>
      </w:tr>
      <w:tr>
        <w:tc>
          <w:tcPr>
            <w:tcW w:type="dxa" w:w="177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Text-to-Speech (primary)</w:t>
            </w:r>
          </w:p>
        </w:tc>
        <w:tc>
          <w:tcPr>
            <w:tcW w:type="dxa" w:w="2608"/>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ElevenLabs Flash</w:t>
            </w:r>
          </w:p>
        </w:tc>
        <w:tc>
          <w:tcPr>
            <w:tcW w:type="dxa" w:w="335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Sub-300ms first-byte streaming synthesis, natural voice quality</w:t>
            </w:r>
          </w:p>
        </w:tc>
        <w:tc>
          <w:tcPr>
            <w:tcW w:type="dxa" w:w="158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elevenlabs.io/docs</w:t>
            </w:r>
          </w:p>
        </w:tc>
      </w:tr>
      <w:tr>
        <w:tc>
          <w:tcPr>
            <w:tcW w:type="dxa" w:w="177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Text-to-Speech (fallback)</w:t>
            </w:r>
          </w:p>
        </w:tc>
        <w:tc>
          <w:tcPr>
            <w:tcW w:type="dxa" w:w="2608"/>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Azure Neural TTS</w:t>
            </w:r>
          </w:p>
        </w:tc>
        <w:tc>
          <w:tcPr>
            <w:tcW w:type="dxa" w:w="335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Circuit-breaker fallback</w:t>
            </w:r>
          </w:p>
        </w:tc>
        <w:tc>
          <w:tcPr>
            <w:tcW w:type="dxa" w:w="158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learn.microsoft.com/azure/ai-services/speech-service</w:t>
            </w:r>
          </w:p>
        </w:tc>
      </w:tr>
      <w:tr>
        <w:tc>
          <w:tcPr>
            <w:tcW w:type="dxa" w:w="177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Text-to-Speech (Indian-language stack)</w:t>
            </w:r>
          </w:p>
        </w:tc>
        <w:tc>
          <w:tcPr>
            <w:tcW w:type="dxa" w:w="2608"/>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Sarvam Bulbul (35+ Indian voices) &amp; Gnani Timbre</w:t>
            </w:r>
          </w:p>
        </w:tc>
        <w:tc>
          <w:tcPr>
            <w:tcW w:type="dxa" w:w="335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Indian-prosody voices for the real-estate vertical (Hindi/Hinglish/English/Punjabi)</w:t>
            </w:r>
          </w:p>
        </w:tc>
        <w:tc>
          <w:tcPr>
            <w:tcW w:type="dxa" w:w="158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docs.sarvam.ai · www.gnani.ai</w:t>
            </w:r>
          </w:p>
        </w:tc>
      </w:tr>
      <w:tr>
        <w:tc>
          <w:tcPr>
            <w:tcW w:type="dxa" w:w="177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LLM — conversation/reasoning</w:t>
            </w:r>
          </w:p>
        </w:tc>
        <w:tc>
          <w:tcPr>
            <w:tcW w:type="dxa" w:w="2608"/>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Claude Sonnet (Anthropic)</w:t>
            </w:r>
          </w:p>
        </w:tc>
        <w:tc>
          <w:tcPr>
            <w:tcW w:type="dxa" w:w="335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Primary planner/reasoning model — action proposal, response generation</w:t>
            </w:r>
          </w:p>
        </w:tc>
        <w:tc>
          <w:tcPr>
            <w:tcW w:type="dxa" w:w="158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platform.claude.com/docs</w:t>
            </w:r>
          </w:p>
        </w:tc>
      </w:tr>
      <w:tr>
        <w:tc>
          <w:tcPr>
            <w:tcW w:type="dxa" w:w="177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LLM — background/high-volume</w:t>
            </w:r>
          </w:p>
        </w:tc>
        <w:tc>
          <w:tcPr>
            <w:tcW w:type="dxa" w:w="2608"/>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Claude Haiku (Anthropic)</w:t>
            </w:r>
          </w:p>
        </w:tc>
        <w:tc>
          <w:tcPr>
            <w:tcW w:type="dxa" w:w="335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Intent classification, summarization, fact extraction — 10-20x cheaper than Sonnet on this volume (AD-8)</w:t>
            </w:r>
          </w:p>
        </w:tc>
        <w:tc>
          <w:tcPr>
            <w:tcW w:type="dxa" w:w="158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platform.claude.com/docs</w:t>
            </w:r>
          </w:p>
        </w:tc>
      </w:tr>
      <w:tr>
        <w:tc>
          <w:tcPr>
            <w:tcW w:type="dxa" w:w="177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LLM — fallback</w:t>
            </w:r>
          </w:p>
        </w:tc>
        <w:tc>
          <w:tcPr>
            <w:tcW w:type="dxa" w:w="2608"/>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GPT-4o (OpenAI)</w:t>
            </w:r>
          </w:p>
        </w:tc>
        <w:tc>
          <w:tcPr>
            <w:tcW w:type="dxa" w:w="335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Fallback route behind the provider abstraction layer</w:t>
            </w:r>
          </w:p>
        </w:tc>
        <w:tc>
          <w:tcPr>
            <w:tcW w:type="dxa" w:w="158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platform.openai.com/docs</w:t>
            </w:r>
          </w:p>
        </w:tc>
      </w:tr>
      <w:tr>
        <w:tc>
          <w:tcPr>
            <w:tcW w:type="dxa" w:w="177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Embeddings</w:t>
            </w:r>
          </w:p>
        </w:tc>
        <w:tc>
          <w:tcPr>
            <w:tcW w:type="dxa" w:w="2608"/>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OpenAI text-embedding-3-small (or Voyage-3)</w:t>
            </w:r>
          </w:p>
        </w:tc>
        <w:tc>
          <w:tcPr>
            <w:tcW w:type="dxa" w:w="335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1536-dim default; knowledge-base semantic search</w:t>
            </w:r>
          </w:p>
        </w:tc>
        <w:tc>
          <w:tcPr>
            <w:tcW w:type="dxa" w:w="158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platform.openai.com/docs/guides/embeddings</w:t>
            </w:r>
          </w:p>
        </w:tc>
      </w:tr>
      <w:tr>
        <w:tc>
          <w:tcPr>
            <w:tcW w:type="dxa" w:w="177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Infrastructure / deploy</w:t>
            </w:r>
          </w:p>
        </w:tc>
        <w:tc>
          <w:tcPr>
            <w:tcW w:type="dxa" w:w="2608"/>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Docker Compose on Azure Ubuntu VM</w:t>
            </w:r>
          </w:p>
        </w:tc>
        <w:tc>
          <w:tcPr>
            <w:tcW w:type="dxa" w:w="335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Azure Blob Storage + Azure Key Vault for secrets; India-region hosting for latency</w:t>
            </w:r>
          </w:p>
        </w:tc>
        <w:tc>
          <w:tcPr>
            <w:tcW w:type="dxa" w:w="158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docs.docker.com/compose</w:t>
            </w:r>
          </w:p>
        </w:tc>
      </w:tr>
      <w:tr>
        <w:tc>
          <w:tcPr>
            <w:tcW w:type="dxa" w:w="177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Observability</w:t>
            </w:r>
          </w:p>
        </w:tc>
        <w:tc>
          <w:tcPr>
            <w:tcW w:type="dxa" w:w="2608"/>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Prometheus + Grafana + structlog</w:t>
            </w:r>
          </w:p>
        </w:tc>
        <w:tc>
          <w:tcPr>
            <w:tcW w:type="dxa" w:w="335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Per-stage latency tracking, agent-quality metrics, cost monitoring</w:t>
            </w:r>
          </w:p>
        </w:tc>
        <w:tc>
          <w:tcPr>
            <w:tcW w:type="dxa" w:w="158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prometheus.io/docs · grafana.com/docs · www.structlog.org</w:t>
            </w:r>
          </w:p>
        </w:tc>
      </w:tr>
      <w:tr>
        <w:tc>
          <w:tcPr>
            <w:tcW w:type="dxa" w:w="177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CRM connector — LeadSquared</w:t>
            </w:r>
          </w:p>
        </w:tc>
        <w:tc>
          <w:tcPr>
            <w:tcW w:type="dxa" w:w="2608"/>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Native connector</w:t>
            </w:r>
          </w:p>
        </w:tc>
        <w:tc>
          <w:tcPr>
            <w:tcW w:type="dxa" w:w="335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Real estate CRM most NCR developers already run</w:t>
            </w:r>
          </w:p>
        </w:tc>
        <w:tc>
          <w:tcPr>
            <w:tcW w:type="dxa" w:w="158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apidocs.leadsquared.com</w:t>
            </w:r>
          </w:p>
        </w:tc>
      </w:tr>
      <w:tr>
        <w:tc>
          <w:tcPr>
            <w:tcW w:type="dxa" w:w="177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CRM connector — Sell.do</w:t>
            </w:r>
          </w:p>
        </w:tc>
        <w:tc>
          <w:tcPr>
            <w:tcW w:type="dxa" w:w="2608"/>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Native connector</w:t>
            </w:r>
          </w:p>
        </w:tc>
        <w:tc>
          <w:tcPr>
            <w:tcW w:type="dxa" w:w="335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India-specific real-estate CRM (RERA-ready workflows, CP management)</w:t>
            </w:r>
          </w:p>
        </w:tc>
        <w:tc>
          <w:tcPr>
            <w:tcW w:type="dxa" w:w="158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www.sell.do</w:t>
            </w:r>
          </w:p>
        </w:tc>
      </w:tr>
      <w:tr>
        <w:tc>
          <w:tcPr>
            <w:tcW w:type="dxa" w:w="177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CRM connector — 360Enrich</w:t>
            </w:r>
          </w:p>
        </w:tc>
        <w:tc>
          <w:tcPr>
            <w:tcW w:type="dxa" w:w="2608"/>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Native connector</w:t>
            </w:r>
          </w:p>
        </w:tc>
        <w:tc>
          <w:tcPr>
            <w:tcW w:type="dxa" w:w="335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Third native India real-estate CRM integration</w:t>
            </w:r>
          </w:p>
        </w:tc>
        <w:tc>
          <w:tcPr>
            <w:tcW w:type="dxa" w:w="158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contact vendor for API docs</w:t>
            </w:r>
          </w:p>
        </w:tc>
      </w:tr>
      <w:tr>
        <w:tc>
          <w:tcPr>
            <w:tcW w:type="dxa" w:w="177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Generic CRM connectors</w:t>
            </w:r>
          </w:p>
        </w:tc>
        <w:tc>
          <w:tcPr>
            <w:tcW w:type="dxa" w:w="2608"/>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Salesforce / HubSpot / Zoho</w:t>
            </w:r>
          </w:p>
        </w:tc>
        <w:tc>
          <w:tcPr>
            <w:tcW w:type="dxa" w:w="335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Non-native, generic-connector fallback for CRMs outside the three native ones</w:t>
            </w:r>
          </w:p>
        </w:tc>
        <w:tc>
          <w:tcPr>
            <w:tcW w:type="dxa" w:w="158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developer.salesforce.com · developers.hubspot.com · www.zoho.com/crm/developer</w:t>
            </w:r>
          </w:p>
        </w:tc>
      </w:tr>
    </w:tbl>
    <w:p>
      <w:pPr>
        <w:pStyle w:val="Heading2"/>
        <w:spacing w:after="140" w:before="260"/>
      </w:pPr>
      <w:r>
        <w:rPr>
          <w:rFonts w:ascii="Calibri" w:cs="Calibri" w:eastAsia="Calibri" w:hAnsi="Calibri"/>
          <w:b/>
          <w:bCs/>
          <w:i w:val="false"/>
          <w:iCs w:val="false"/>
          <w:color w:val="1B2A4A"/>
          <w:sz w:val="25"/>
          <w:szCs w:val="25"/>
        </w:rPr>
        <w:t xml:space="preserve">1.5 The Real-Estate Industry Pack — Agent Set</w:t>
      </w:r>
    </w:p>
    <w:p>
      <w:pPr>
        <w:spacing w:after="140" w:before="0" w:line="264"/>
        <w:jc w:val="left"/>
      </w:pPr>
      <w:r>
        <w:rPr>
          <w:rFonts w:ascii="Calibri" w:cs="Calibri" w:eastAsia="Calibri" w:hAnsi="Calibri"/>
          <w:b w:val="false"/>
          <w:bCs w:val="false"/>
          <w:i w:val="false"/>
          <w:iCs w:val="false"/>
          <w:color w:val="222222"/>
          <w:sz w:val="19"/>
          <w:szCs w:val="19"/>
        </w:rPr>
        <w:t xml:space="preserve">The real-estate Industry Pack is expressed to customers and sales teams as six AI "agents," each mirroring a human role in the presales workflow. Underneath, each is a config profile (stage subset + tool subset + prompt template) running on the single planner orchestrator (AD-1) — not six independent autonomous agents. Both descriptions are accurate at their respective layers.</w:t>
      </w:r>
    </w:p>
    <w:p>
      <w:pPr>
        <w:pStyle w:val="Heading3"/>
        <w:spacing w:after="100" w:before="180"/>
      </w:pPr>
      <w:r>
        <w:rPr>
          <w:rFonts w:ascii="Calibri" w:cs="Calibri" w:eastAsia="Calibri" w:hAnsi="Calibri"/>
          <w:b/>
          <w:bCs/>
          <w:i w:val="false"/>
          <w:iCs w:val="false"/>
          <w:color w:val="2455A4"/>
          <w:sz w:val="21"/>
          <w:szCs w:val="21"/>
        </w:rPr>
        <w:t xml:space="preserve">Lead Qualification Agent  —  “Your best SDR who never sleeps”</w:t>
      </w:r>
    </w:p>
    <w:p>
      <w:pPr>
        <w:spacing w:after="140" w:before="0" w:line="264"/>
        <w:jc w:val="left"/>
      </w:pPr>
      <w:r>
        <w:rPr>
          <w:rFonts w:ascii="Calibri" w:cs="Calibri" w:eastAsia="Calibri" w:hAnsi="Calibri"/>
          <w:b w:val="false"/>
          <w:bCs w:val="false"/>
          <w:i w:val="false"/>
          <w:iCs w:val="false"/>
          <w:color w:val="222222"/>
          <w:sz w:val="19"/>
          <w:szCs w:val="19"/>
        </w:rPr>
        <w:t xml:space="preserve">First-touch outbound calling on new portal leads within 60 seconds. Qualifies on budget, timeline, unit type, end-user vs. investor, loan pre-approval status. Scores Hot/Warm/Cold and routes accordingly.</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2980"/>
        <w:gridCol w:w="3353"/>
        <w:gridCol w:w="2980"/>
      </w:tblGrid>
      <w:tr>
        <w:trPr>
          <w:tblHeader/>
        </w:trPr>
        <w:tc>
          <w:tcPr>
            <w:tcW w:type="dxa" w:w="298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Triggers</w:t>
            </w:r>
          </w:p>
        </w:tc>
        <w:tc>
          <w:tcPr>
            <w:tcW w:type="dxa" w:w="3353"/>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Key Actions</w:t>
            </w:r>
          </w:p>
        </w:tc>
        <w:tc>
          <w:tcPr>
            <w:tcW w:type="dxa" w:w="298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Outputs</w:t>
            </w:r>
          </w:p>
        </w:tc>
      </w:tr>
      <w:tr>
        <w:tc>
          <w:tcPr>
            <w:tcW w:type="dxa" w:w="2980"/>
            <w:shd w:fill="FFFFFF" w:color="auto" w:val="clear"/>
            <w:tcMar>
              <w:top w:type="dxa" w:w="70"/>
              <w:left w:type="dxa" w:w="90"/>
              <w:bottom w:type="dxa" w:w="70"/>
              <w:right w:type="dxa" w:w="90"/>
            </w:tcMar>
            <w:vAlign w:val="top"/>
          </w:tcPr>
          <w:p>
            <w:pPr>
              <w:spacing w:after="70"/>
            </w:pPr>
            <w:r>
              <w:rPr>
                <w:rFonts w:ascii="Calibri" w:cs="Calibri" w:eastAsia="Calibri" w:hAnsi="Calibri"/>
                <w:b w:val="false"/>
                <w:bCs w:val="false"/>
                <w:i w:val="false"/>
                <w:iCs w:val="false"/>
                <w:color w:val="222222"/>
                <w:sz w:val="17"/>
                <w:szCs w:val="17"/>
              </w:rPr>
              <w:t xml:space="preserve">New lead from portal (99acres, MagicBricks, Housing.com)</w:t>
            </w:r>
          </w:p>
          <w:p>
            <w:pPr>
              <w:spacing w:after="70"/>
            </w:pPr>
            <w:r>
              <w:rPr>
                <w:rFonts w:ascii="Calibri" w:cs="Calibri" w:eastAsia="Calibri" w:hAnsi="Calibri"/>
                <w:b w:val="false"/>
                <w:bCs w:val="false"/>
                <w:i w:val="false"/>
                <w:iCs w:val="false"/>
                <w:color w:val="222222"/>
                <w:sz w:val="17"/>
                <w:szCs w:val="17"/>
              </w:rPr>
              <w:t xml:space="preserve">New lead from website form or WhatsApp inquiry</w:t>
            </w:r>
          </w:p>
          <w:p>
            <w:pPr>
              <w:spacing w:after="0"/>
            </w:pPr>
            <w:r>
              <w:rPr>
                <w:rFonts w:ascii="Calibri" w:cs="Calibri" w:eastAsia="Calibri" w:hAnsi="Calibri"/>
                <w:b w:val="false"/>
                <w:bCs w:val="false"/>
                <w:i w:val="false"/>
                <w:iCs w:val="false"/>
                <w:color w:val="222222"/>
                <w:sz w:val="17"/>
                <w:szCs w:val="17"/>
              </w:rPr>
              <w:t xml:space="preserve">CP-submitted lead entry</w:t>
            </w:r>
          </w:p>
        </w:tc>
        <w:tc>
          <w:tcPr>
            <w:tcW w:type="dxa" w:w="3353"/>
            <w:shd w:fill="FFFFFF" w:color="auto" w:val="clear"/>
            <w:tcMar>
              <w:top w:type="dxa" w:w="70"/>
              <w:left w:type="dxa" w:w="90"/>
              <w:bottom w:type="dxa" w:w="70"/>
              <w:right w:type="dxa" w:w="90"/>
            </w:tcMar>
            <w:vAlign w:val="top"/>
          </w:tcPr>
          <w:p>
            <w:pPr>
              <w:spacing w:after="70"/>
            </w:pPr>
            <w:r>
              <w:rPr>
                <w:rFonts w:ascii="Calibri" w:cs="Calibri" w:eastAsia="Calibri" w:hAnsi="Calibri"/>
                <w:b w:val="false"/>
                <w:bCs w:val="false"/>
                <w:i w:val="false"/>
                <w:iCs w:val="false"/>
                <w:color w:val="222222"/>
                <w:sz w:val="17"/>
                <w:szCs w:val="17"/>
              </w:rPr>
              <w:t xml:space="preserve">Call within 60 seconds of capture</w:t>
            </w:r>
          </w:p>
          <w:p>
            <w:pPr>
              <w:spacing w:after="70"/>
            </w:pPr>
            <w:r>
              <w:rPr>
                <w:rFonts w:ascii="Calibri" w:cs="Calibri" w:eastAsia="Calibri" w:hAnsi="Calibri"/>
                <w:b w:val="false"/>
                <w:bCs w:val="false"/>
                <w:i w:val="false"/>
                <w:iCs w:val="false"/>
                <w:color w:val="222222"/>
                <w:sz w:val="17"/>
                <w:szCs w:val="17"/>
              </w:rPr>
              <w:t xml:space="preserve">Qualification script in Hindi/Hinglish/English</w:t>
            </w:r>
          </w:p>
          <w:p>
            <w:pPr>
              <w:spacing w:after="70"/>
            </w:pPr>
            <w:r>
              <w:rPr>
                <w:rFonts w:ascii="Calibri" w:cs="Calibri" w:eastAsia="Calibri" w:hAnsi="Calibri"/>
                <w:b w:val="false"/>
                <w:bCs w:val="false"/>
                <w:i w:val="false"/>
                <w:iCs w:val="false"/>
                <w:color w:val="222222"/>
                <w:sz w:val="17"/>
                <w:szCs w:val="17"/>
              </w:rPr>
              <w:t xml:space="preserve">Score intent, extract budget/timeline/financing</w:t>
            </w:r>
          </w:p>
          <w:p>
            <w:pPr>
              <w:spacing w:after="0"/>
            </w:pPr>
            <w:r>
              <w:rPr>
                <w:rFonts w:ascii="Calibri" w:cs="Calibri" w:eastAsia="Calibri" w:hAnsi="Calibri"/>
                <w:b w:val="false"/>
                <w:bCs w:val="false"/>
                <w:i w:val="false"/>
                <w:iCs w:val="false"/>
                <w:color w:val="222222"/>
                <w:sz w:val="17"/>
                <w:szCs w:val="17"/>
              </w:rPr>
              <w:t xml:space="preserve">Hand off Hot leads to human sales instantly</w:t>
            </w:r>
          </w:p>
        </w:tc>
        <w:tc>
          <w:tcPr>
            <w:tcW w:type="dxa" w:w="2980"/>
            <w:shd w:fill="FFFFFF" w:color="auto" w:val="clear"/>
            <w:tcMar>
              <w:top w:type="dxa" w:w="70"/>
              <w:left w:type="dxa" w:w="90"/>
              <w:bottom w:type="dxa" w:w="70"/>
              <w:right w:type="dxa" w:w="90"/>
            </w:tcMar>
            <w:vAlign w:val="top"/>
          </w:tcPr>
          <w:p>
            <w:pPr>
              <w:spacing w:after="70"/>
            </w:pPr>
            <w:r>
              <w:rPr>
                <w:rFonts w:ascii="Calibri" w:cs="Calibri" w:eastAsia="Calibri" w:hAnsi="Calibri"/>
                <w:b w:val="false"/>
                <w:bCs w:val="false"/>
                <w:i w:val="false"/>
                <w:iCs w:val="false"/>
                <w:color w:val="222222"/>
                <w:sz w:val="17"/>
                <w:szCs w:val="17"/>
              </w:rPr>
              <w:t xml:space="preserve">Lead score + qualification data → CRM</w:t>
            </w:r>
          </w:p>
          <w:p>
            <w:pPr>
              <w:spacing w:after="70"/>
            </w:pPr>
            <w:r>
              <w:rPr>
                <w:rFonts w:ascii="Calibri" w:cs="Calibri" w:eastAsia="Calibri" w:hAnsi="Calibri"/>
                <w:b w:val="false"/>
                <w:bCs w:val="false"/>
                <w:i w:val="false"/>
                <w:iCs w:val="false"/>
                <w:color w:val="222222"/>
                <w:sz w:val="17"/>
                <w:szCs w:val="17"/>
              </w:rPr>
              <w:t xml:space="preserve">Hot lead alert → sales (WhatsApp + CRM)</w:t>
            </w:r>
          </w:p>
          <w:p>
            <w:pPr>
              <w:spacing w:after="0"/>
            </w:pPr>
            <w:r>
              <w:rPr>
                <w:rFonts w:ascii="Calibri" w:cs="Calibri" w:eastAsia="Calibri" w:hAnsi="Calibri"/>
                <w:b w:val="false"/>
                <w:bCs w:val="false"/>
                <w:i w:val="false"/>
                <w:iCs w:val="false"/>
                <w:color w:val="222222"/>
                <w:sz w:val="17"/>
                <w:szCs w:val="17"/>
              </w:rPr>
              <w:t xml:space="preserve">Triggers Scheduling Agent for Hot leads</w:t>
            </w:r>
          </w:p>
        </w:tc>
      </w:tr>
    </w:tbl>
    <w:p>
      <w:pPr>
        <w:pStyle w:val="Heading3"/>
        <w:spacing w:after="100" w:before="180"/>
      </w:pPr>
      <w:r>
        <w:rPr>
          <w:rFonts w:ascii="Calibri" w:cs="Calibri" w:eastAsia="Calibri" w:hAnsi="Calibri"/>
          <w:b/>
          <w:bCs/>
          <w:i w:val="false"/>
          <w:iCs w:val="false"/>
          <w:color w:val="2455A4"/>
          <w:sz w:val="21"/>
          <w:szCs w:val="21"/>
        </w:rPr>
        <w:t xml:space="preserve">Campaign Agent  —  “A presales team lead running a launch blitz”</w:t>
      </w:r>
    </w:p>
    <w:p>
      <w:pPr>
        <w:spacing w:after="140" w:before="0" w:line="264"/>
        <w:jc w:val="left"/>
      </w:pPr>
      <w:r>
        <w:rPr>
          <w:rFonts w:ascii="Calibri" w:cs="Calibri" w:eastAsia="Calibri" w:hAnsi="Calibri"/>
          <w:b w:val="false"/>
          <w:bCs w:val="false"/>
          <w:i w:val="false"/>
          <w:iCs w:val="false"/>
          <w:color w:val="222222"/>
          <w:sz w:val="19"/>
          <w:szCs w:val="19"/>
        </w:rPr>
        <w:t xml:space="preserve">Manages bulk outbound campaigns — project launch surges, dormant-lead re-engagement, festive-season pushes. Handles 100→5,000 calls/day burst capacity with intelligent pacing and DND compliance.</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2980"/>
        <w:gridCol w:w="3353"/>
        <w:gridCol w:w="2980"/>
      </w:tblGrid>
      <w:tr>
        <w:trPr>
          <w:tblHeader/>
        </w:trPr>
        <w:tc>
          <w:tcPr>
            <w:tcW w:type="dxa" w:w="298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Triggers</w:t>
            </w:r>
          </w:p>
        </w:tc>
        <w:tc>
          <w:tcPr>
            <w:tcW w:type="dxa" w:w="3353"/>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Key Actions</w:t>
            </w:r>
          </w:p>
        </w:tc>
        <w:tc>
          <w:tcPr>
            <w:tcW w:type="dxa" w:w="298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Outputs</w:t>
            </w:r>
          </w:p>
        </w:tc>
      </w:tr>
      <w:tr>
        <w:tc>
          <w:tcPr>
            <w:tcW w:type="dxa" w:w="2980"/>
            <w:shd w:fill="FFFFFF" w:color="auto" w:val="clear"/>
            <w:tcMar>
              <w:top w:type="dxa" w:w="70"/>
              <w:left w:type="dxa" w:w="90"/>
              <w:bottom w:type="dxa" w:w="70"/>
              <w:right w:type="dxa" w:w="90"/>
            </w:tcMar>
            <w:vAlign w:val="top"/>
          </w:tcPr>
          <w:p>
            <w:pPr>
              <w:spacing w:after="70"/>
            </w:pPr>
            <w:r>
              <w:rPr>
                <w:rFonts w:ascii="Calibri" w:cs="Calibri" w:eastAsia="Calibri" w:hAnsi="Calibri"/>
                <w:b w:val="false"/>
                <w:bCs w:val="false"/>
                <w:i w:val="false"/>
                <w:iCs w:val="false"/>
                <w:color w:val="222222"/>
                <w:sz w:val="17"/>
                <w:szCs w:val="17"/>
              </w:rPr>
              <w:t xml:space="preserve">New project launch event</w:t>
            </w:r>
          </w:p>
          <w:p>
            <w:pPr>
              <w:spacing w:after="70"/>
            </w:pPr>
            <w:r>
              <w:rPr>
                <w:rFonts w:ascii="Calibri" w:cs="Calibri" w:eastAsia="Calibri" w:hAnsi="Calibri"/>
                <w:b w:val="false"/>
                <w:bCs w:val="false"/>
                <w:i w:val="false"/>
                <w:iCs w:val="false"/>
                <w:color w:val="222222"/>
                <w:sz w:val="17"/>
                <w:szCs w:val="17"/>
              </w:rPr>
              <w:t xml:space="preserve">Campaign created by sales manager</w:t>
            </w:r>
          </w:p>
          <w:p>
            <w:pPr>
              <w:spacing w:after="0"/>
            </w:pPr>
            <w:r>
              <w:rPr>
                <w:rFonts w:ascii="Calibri" w:cs="Calibri" w:eastAsia="Calibri" w:hAnsi="Calibri"/>
                <w:b w:val="false"/>
                <w:bCs w:val="false"/>
                <w:i w:val="false"/>
                <w:iCs w:val="false"/>
                <w:color w:val="222222"/>
                <w:sz w:val="17"/>
                <w:szCs w:val="17"/>
              </w:rPr>
              <w:t xml:space="preserve">Dormant-lead reactivation trigger (7/14/30/60 day)</w:t>
            </w:r>
          </w:p>
        </w:tc>
        <w:tc>
          <w:tcPr>
            <w:tcW w:type="dxa" w:w="3353"/>
            <w:shd w:fill="FFFFFF" w:color="auto" w:val="clear"/>
            <w:tcMar>
              <w:top w:type="dxa" w:w="70"/>
              <w:left w:type="dxa" w:w="90"/>
              <w:bottom w:type="dxa" w:w="70"/>
              <w:right w:type="dxa" w:w="90"/>
            </w:tcMar>
            <w:vAlign w:val="top"/>
          </w:tcPr>
          <w:p>
            <w:pPr>
              <w:spacing w:after="70"/>
            </w:pPr>
            <w:r>
              <w:rPr>
                <w:rFonts w:ascii="Calibri" w:cs="Calibri" w:eastAsia="Calibri" w:hAnsi="Calibri"/>
                <w:b w:val="false"/>
                <w:bCs w:val="false"/>
                <w:i w:val="false"/>
                <w:iCs w:val="false"/>
                <w:color w:val="222222"/>
                <w:sz w:val="17"/>
                <w:szCs w:val="17"/>
              </w:rPr>
              <w:t xml:space="preserve">Batch-dial with TRAI DLT compliance and DND scrub</w:t>
            </w:r>
          </w:p>
          <w:p>
            <w:pPr>
              <w:spacing w:after="70"/>
            </w:pPr>
            <w:r>
              <w:rPr>
                <w:rFonts w:ascii="Calibri" w:cs="Calibri" w:eastAsia="Calibri" w:hAnsi="Calibri"/>
                <w:b w:val="false"/>
                <w:bCs w:val="false"/>
                <w:i w:val="false"/>
                <w:iCs w:val="false"/>
                <w:color w:val="222222"/>
                <w:sz w:val="17"/>
                <w:szCs w:val="17"/>
              </w:rPr>
              <w:t xml:space="preserve">Pace calls to avoid spam flagging</w:t>
            </w:r>
          </w:p>
          <w:p>
            <w:pPr>
              <w:spacing w:after="0"/>
            </w:pPr>
            <w:r>
              <w:rPr>
                <w:rFonts w:ascii="Calibri" w:cs="Calibri" w:eastAsia="Calibri" w:hAnsi="Calibri"/>
                <w:b w:val="false"/>
                <w:bCs w:val="false"/>
                <w:i w:val="false"/>
                <w:iCs w:val="false"/>
                <w:color w:val="222222"/>
                <w:sz w:val="17"/>
                <w:szCs w:val="17"/>
              </w:rPr>
              <w:t xml:space="preserve">A/B test scripts across lead segments</w:t>
            </w:r>
          </w:p>
        </w:tc>
        <w:tc>
          <w:tcPr>
            <w:tcW w:type="dxa" w:w="2980"/>
            <w:shd w:fill="FFFFFF" w:color="auto" w:val="clear"/>
            <w:tcMar>
              <w:top w:type="dxa" w:w="70"/>
              <w:left w:type="dxa" w:w="90"/>
              <w:bottom w:type="dxa" w:w="70"/>
              <w:right w:type="dxa" w:w="90"/>
            </w:tcMar>
            <w:vAlign w:val="top"/>
          </w:tcPr>
          <w:p>
            <w:pPr>
              <w:spacing w:after="70"/>
            </w:pPr>
            <w:r>
              <w:rPr>
                <w:rFonts w:ascii="Calibri" w:cs="Calibri" w:eastAsia="Calibri" w:hAnsi="Calibri"/>
                <w:b w:val="false"/>
                <w:bCs w:val="false"/>
                <w:i w:val="false"/>
                <w:iCs w:val="false"/>
                <w:color w:val="222222"/>
                <w:sz w:val="17"/>
                <w:szCs w:val="17"/>
              </w:rPr>
              <w:t xml:space="preserve">Campaign performance dashboard (connect rate, cost per qualified lead)</w:t>
            </w:r>
          </w:p>
          <w:p>
            <w:pPr>
              <w:spacing w:after="0"/>
            </w:pPr>
            <w:r>
              <w:rPr>
                <w:rFonts w:ascii="Calibri" w:cs="Calibri" w:eastAsia="Calibri" w:hAnsi="Calibri"/>
                <w:b w:val="false"/>
                <w:bCs w:val="false"/>
                <w:i w:val="false"/>
                <w:iCs w:val="false"/>
                <w:color w:val="222222"/>
                <w:sz w:val="17"/>
                <w:szCs w:val="17"/>
              </w:rPr>
              <w:t xml:space="preserve">Best-performing script variant → Knowledge Base</w:t>
            </w:r>
          </w:p>
        </w:tc>
      </w:tr>
    </w:tbl>
    <w:p>
      <w:pPr>
        <w:pStyle w:val="Heading3"/>
        <w:spacing w:after="100" w:before="180"/>
      </w:pPr>
      <w:r>
        <w:rPr>
          <w:rFonts w:ascii="Calibri" w:cs="Calibri" w:eastAsia="Calibri" w:hAnsi="Calibri"/>
          <w:b/>
          <w:bCs/>
          <w:i w:val="false"/>
          <w:iCs w:val="false"/>
          <w:color w:val="2455A4"/>
          <w:sz w:val="21"/>
          <w:szCs w:val="21"/>
        </w:rPr>
        <w:t xml:space="preserve">Scheduling Agent  —  “A dedicated site-visit coordinator”</w:t>
      </w:r>
    </w:p>
    <w:p>
      <w:pPr>
        <w:spacing w:after="140" w:before="0" w:line="264"/>
        <w:jc w:val="left"/>
      </w:pPr>
      <w:r>
        <w:rPr>
          <w:rFonts w:ascii="Calibri" w:cs="Calibri" w:eastAsia="Calibri" w:hAnsi="Calibri"/>
          <w:b w:val="false"/>
          <w:bCs w:val="false"/>
          <w:i w:val="false"/>
          <w:iCs w:val="false"/>
          <w:color w:val="222222"/>
          <w:sz w:val="19"/>
          <w:szCs w:val="19"/>
        </w:rPr>
        <w:t xml:space="preserve">Owns the entire site-visit booking lifecycle — scheduling, confirmation, reminders, no-show recovery, rescheduling.</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2980"/>
        <w:gridCol w:w="3353"/>
        <w:gridCol w:w="2980"/>
      </w:tblGrid>
      <w:tr>
        <w:trPr>
          <w:tblHeader/>
        </w:trPr>
        <w:tc>
          <w:tcPr>
            <w:tcW w:type="dxa" w:w="298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Triggers</w:t>
            </w:r>
          </w:p>
        </w:tc>
        <w:tc>
          <w:tcPr>
            <w:tcW w:type="dxa" w:w="3353"/>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Key Actions</w:t>
            </w:r>
          </w:p>
        </w:tc>
        <w:tc>
          <w:tcPr>
            <w:tcW w:type="dxa" w:w="298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Outputs</w:t>
            </w:r>
          </w:p>
        </w:tc>
      </w:tr>
      <w:tr>
        <w:tc>
          <w:tcPr>
            <w:tcW w:type="dxa" w:w="2980"/>
            <w:shd w:fill="FFFFFF" w:color="auto" w:val="clear"/>
            <w:tcMar>
              <w:top w:type="dxa" w:w="70"/>
              <w:left w:type="dxa" w:w="90"/>
              <w:bottom w:type="dxa" w:w="70"/>
              <w:right w:type="dxa" w:w="90"/>
            </w:tcMar>
            <w:vAlign w:val="top"/>
          </w:tcPr>
          <w:p>
            <w:pPr>
              <w:spacing w:after="70"/>
            </w:pPr>
            <w:r>
              <w:rPr>
                <w:rFonts w:ascii="Calibri" w:cs="Calibri" w:eastAsia="Calibri" w:hAnsi="Calibri"/>
                <w:b w:val="false"/>
                <w:bCs w:val="false"/>
                <w:i w:val="false"/>
                <w:iCs w:val="false"/>
                <w:color w:val="222222"/>
                <w:sz w:val="17"/>
                <w:szCs w:val="17"/>
              </w:rPr>
              <w:t xml:space="preserve">Hot lead qualified by Lead Qual Agent</w:t>
            </w:r>
          </w:p>
          <w:p>
            <w:pPr>
              <w:spacing w:after="70"/>
            </w:pPr>
            <w:r>
              <w:rPr>
                <w:rFonts w:ascii="Calibri" w:cs="Calibri" w:eastAsia="Calibri" w:hAnsi="Calibri"/>
                <w:b w:val="false"/>
                <w:bCs w:val="false"/>
                <w:i w:val="false"/>
                <w:iCs w:val="false"/>
                <w:color w:val="222222"/>
                <w:sz w:val="17"/>
                <w:szCs w:val="17"/>
              </w:rPr>
              <w:t xml:space="preserve">Buyer requests a visit during any call</w:t>
            </w:r>
          </w:p>
          <w:p>
            <w:pPr>
              <w:spacing w:after="0"/>
            </w:pPr>
            <w:r>
              <w:rPr>
                <w:rFonts w:ascii="Calibri" w:cs="Calibri" w:eastAsia="Calibri" w:hAnsi="Calibri"/>
                <w:b w:val="false"/>
                <w:bCs w:val="false"/>
                <w:i w:val="false"/>
                <w:iCs w:val="false"/>
                <w:color w:val="222222"/>
                <w:sz w:val="17"/>
                <w:szCs w:val="17"/>
              </w:rPr>
              <w:t xml:space="preserve">No-show detected</w:t>
            </w:r>
          </w:p>
        </w:tc>
        <w:tc>
          <w:tcPr>
            <w:tcW w:type="dxa" w:w="3353"/>
            <w:shd w:fill="FFFFFF" w:color="auto" w:val="clear"/>
            <w:tcMar>
              <w:top w:type="dxa" w:w="70"/>
              <w:left w:type="dxa" w:w="90"/>
              <w:bottom w:type="dxa" w:w="70"/>
              <w:right w:type="dxa" w:w="90"/>
            </w:tcMar>
            <w:vAlign w:val="top"/>
          </w:tcPr>
          <w:p>
            <w:pPr>
              <w:spacing w:after="70"/>
            </w:pPr>
            <w:r>
              <w:rPr>
                <w:rFonts w:ascii="Calibri" w:cs="Calibri" w:eastAsia="Calibri" w:hAnsi="Calibri"/>
                <w:b w:val="false"/>
                <w:bCs w:val="false"/>
                <w:i w:val="false"/>
                <w:iCs w:val="false"/>
                <w:color w:val="222222"/>
                <w:sz w:val="17"/>
                <w:szCs w:val="17"/>
              </w:rPr>
              <w:t xml:space="preserve">Propose 2-3 slots, book in CRM + Google Calendar</w:t>
            </w:r>
          </w:p>
          <w:p>
            <w:pPr>
              <w:spacing w:after="70"/>
            </w:pPr>
            <w:r>
              <w:rPr>
                <w:rFonts w:ascii="Calibri" w:cs="Calibri" w:eastAsia="Calibri" w:hAnsi="Calibri"/>
                <w:b w:val="false"/>
                <w:bCs w:val="false"/>
                <w:i w:val="false"/>
                <w:iCs w:val="false"/>
                <w:color w:val="222222"/>
                <w:sz w:val="17"/>
                <w:szCs w:val="17"/>
              </w:rPr>
              <w:t xml:space="preserve">WhatsApp confirmation with brochure + map pin</w:t>
            </w:r>
          </w:p>
          <w:p>
            <w:pPr>
              <w:spacing w:after="70"/>
            </w:pPr>
            <w:r>
              <w:rPr>
                <w:rFonts w:ascii="Calibri" w:cs="Calibri" w:eastAsia="Calibri" w:hAnsi="Calibri"/>
                <w:b w:val="false"/>
                <w:bCs w:val="false"/>
                <w:i w:val="false"/>
                <w:iCs w:val="false"/>
                <w:color w:val="222222"/>
                <w:sz w:val="17"/>
                <w:szCs w:val="17"/>
              </w:rPr>
              <w:t xml:space="preserve">Day-before + morning-of reminders</w:t>
            </w:r>
          </w:p>
          <w:p>
            <w:pPr>
              <w:spacing w:after="0"/>
            </w:pPr>
            <w:r>
              <w:rPr>
                <w:rFonts w:ascii="Calibri" w:cs="Calibri" w:eastAsia="Calibri" w:hAnsi="Calibri"/>
                <w:b w:val="false"/>
                <w:bCs w:val="false"/>
                <w:i w:val="false"/>
                <w:iCs w:val="false"/>
                <w:color w:val="222222"/>
                <w:sz w:val="17"/>
                <w:szCs w:val="17"/>
              </w:rPr>
              <w:t xml:space="preserve">No-show callback within 2 hours</w:t>
            </w:r>
          </w:p>
        </w:tc>
        <w:tc>
          <w:tcPr>
            <w:tcW w:type="dxa" w:w="2980"/>
            <w:shd w:fill="FFFFFF" w:color="auto" w:val="clear"/>
            <w:tcMar>
              <w:top w:type="dxa" w:w="70"/>
              <w:left w:type="dxa" w:w="90"/>
              <w:bottom w:type="dxa" w:w="70"/>
              <w:right w:type="dxa" w:w="90"/>
            </w:tcMar>
            <w:vAlign w:val="top"/>
          </w:tcPr>
          <w:p>
            <w:pPr>
              <w:spacing w:after="70"/>
            </w:pPr>
            <w:r>
              <w:rPr>
                <w:rFonts w:ascii="Calibri" w:cs="Calibri" w:eastAsia="Calibri" w:hAnsi="Calibri"/>
                <w:b w:val="false"/>
                <w:bCs w:val="false"/>
                <w:i w:val="false"/>
                <w:iCs w:val="false"/>
                <w:color w:val="222222"/>
                <w:sz w:val="17"/>
                <w:szCs w:val="17"/>
              </w:rPr>
              <w:t xml:space="preserve">Confirmed visit → CRM + sales calendar</w:t>
            </w:r>
          </w:p>
          <w:p>
            <w:pPr>
              <w:spacing w:after="70"/>
            </w:pPr>
            <w:r>
              <w:rPr>
                <w:rFonts w:ascii="Calibri" w:cs="Calibri" w:eastAsia="Calibri" w:hAnsi="Calibri"/>
                <w:b w:val="false"/>
                <w:bCs w:val="false"/>
                <w:i w:val="false"/>
                <w:iCs w:val="false"/>
                <w:color w:val="222222"/>
                <w:sz w:val="17"/>
                <w:szCs w:val="17"/>
              </w:rPr>
              <w:t xml:space="preserve">Visit status updates</w:t>
            </w:r>
          </w:p>
          <w:p>
            <w:pPr>
              <w:spacing w:after="0"/>
            </w:pPr>
            <w:r>
              <w:rPr>
                <w:rFonts w:ascii="Calibri" w:cs="Calibri" w:eastAsia="Calibri" w:hAnsi="Calibri"/>
                <w:b w:val="false"/>
                <w:bCs w:val="false"/>
                <w:i w:val="false"/>
                <w:iCs w:val="false"/>
                <w:color w:val="222222"/>
                <w:sz w:val="17"/>
                <w:szCs w:val="17"/>
              </w:rPr>
              <w:t xml:space="preserve">No-show rate analytics → dashboard</w:t>
            </w:r>
          </w:p>
        </w:tc>
      </w:tr>
    </w:tbl>
    <w:p>
      <w:pPr>
        <w:pStyle w:val="Heading3"/>
        <w:spacing w:after="100" w:before="180"/>
      </w:pPr>
      <w:r>
        <w:rPr>
          <w:rFonts w:ascii="Calibri" w:cs="Calibri" w:eastAsia="Calibri" w:hAnsi="Calibri"/>
          <w:b/>
          <w:bCs/>
          <w:i w:val="false"/>
          <w:iCs w:val="false"/>
          <w:color w:val="2455A4"/>
          <w:sz w:val="21"/>
          <w:szCs w:val="21"/>
        </w:rPr>
        <w:t xml:space="preserve">Follow-Up Agent  —  “A persistent but polite relationship manager”</w:t>
      </w:r>
    </w:p>
    <w:p>
      <w:pPr>
        <w:spacing w:after="140" w:before="0" w:line="264"/>
        <w:jc w:val="left"/>
      </w:pPr>
      <w:r>
        <w:rPr>
          <w:rFonts w:ascii="Calibri" w:cs="Calibri" w:eastAsia="Calibri" w:hAnsi="Calibri"/>
          <w:b w:val="false"/>
          <w:bCs w:val="false"/>
          <w:i w:val="false"/>
          <w:iCs w:val="false"/>
          <w:color w:val="222222"/>
          <w:sz w:val="19"/>
          <w:szCs w:val="19"/>
        </w:rPr>
        <w:t xml:space="preserve">Manages post-interaction follow-ups — post-visit feedback, nurture sequences, dormant reactivation, long-term drip engagement.</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2980"/>
        <w:gridCol w:w="3353"/>
        <w:gridCol w:w="2980"/>
      </w:tblGrid>
      <w:tr>
        <w:trPr>
          <w:tblHeader/>
        </w:trPr>
        <w:tc>
          <w:tcPr>
            <w:tcW w:type="dxa" w:w="298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Triggers</w:t>
            </w:r>
          </w:p>
        </w:tc>
        <w:tc>
          <w:tcPr>
            <w:tcW w:type="dxa" w:w="3353"/>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Key Actions</w:t>
            </w:r>
          </w:p>
        </w:tc>
        <w:tc>
          <w:tcPr>
            <w:tcW w:type="dxa" w:w="298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Outputs</w:t>
            </w:r>
          </w:p>
        </w:tc>
      </w:tr>
      <w:tr>
        <w:tc>
          <w:tcPr>
            <w:tcW w:type="dxa" w:w="2980"/>
            <w:shd w:fill="FFFFFF" w:color="auto" w:val="clear"/>
            <w:tcMar>
              <w:top w:type="dxa" w:w="70"/>
              <w:left w:type="dxa" w:w="90"/>
              <w:bottom w:type="dxa" w:w="70"/>
              <w:right w:type="dxa" w:w="90"/>
            </w:tcMar>
            <w:vAlign w:val="top"/>
          </w:tcPr>
          <w:p>
            <w:pPr>
              <w:spacing w:after="70"/>
            </w:pPr>
            <w:r>
              <w:rPr>
                <w:rFonts w:ascii="Calibri" w:cs="Calibri" w:eastAsia="Calibri" w:hAnsi="Calibri"/>
                <w:b w:val="false"/>
                <w:bCs w:val="false"/>
                <w:i w:val="false"/>
                <w:iCs w:val="false"/>
                <w:color w:val="222222"/>
                <w:sz w:val="17"/>
                <w:szCs w:val="17"/>
              </w:rPr>
              <w:t xml:space="preserve">Site visit completed (4 hours post-visit)</w:t>
            </w:r>
          </w:p>
          <w:p>
            <w:pPr>
              <w:spacing w:after="70"/>
            </w:pPr>
            <w:r>
              <w:rPr>
                <w:rFonts w:ascii="Calibri" w:cs="Calibri" w:eastAsia="Calibri" w:hAnsi="Calibri"/>
                <w:b w:val="false"/>
                <w:bCs w:val="false"/>
                <w:i w:val="false"/>
                <w:iCs w:val="false"/>
                <w:color w:val="222222"/>
                <w:sz w:val="17"/>
                <w:szCs w:val="17"/>
              </w:rPr>
              <w:t xml:space="preserve">Warm lead not converting after 3 days</w:t>
            </w:r>
          </w:p>
          <w:p>
            <w:pPr>
              <w:spacing w:after="0"/>
            </w:pPr>
            <w:r>
              <w:rPr>
                <w:rFonts w:ascii="Calibri" w:cs="Calibri" w:eastAsia="Calibri" w:hAnsi="Calibri"/>
                <w:b w:val="false"/>
                <w:bCs w:val="false"/>
                <w:i w:val="false"/>
                <w:iCs w:val="false"/>
                <w:color w:val="222222"/>
                <w:sz w:val="17"/>
                <w:szCs w:val="17"/>
              </w:rPr>
              <w:t xml:space="preserve">Price revision or new inventory released</w:t>
            </w:r>
          </w:p>
        </w:tc>
        <w:tc>
          <w:tcPr>
            <w:tcW w:type="dxa" w:w="3353"/>
            <w:shd w:fill="FFFFFF" w:color="auto" w:val="clear"/>
            <w:tcMar>
              <w:top w:type="dxa" w:w="70"/>
              <w:left w:type="dxa" w:w="90"/>
              <w:bottom w:type="dxa" w:w="70"/>
              <w:right w:type="dxa" w:w="90"/>
            </w:tcMar>
            <w:vAlign w:val="top"/>
          </w:tcPr>
          <w:p>
            <w:pPr>
              <w:spacing w:after="70"/>
            </w:pPr>
            <w:r>
              <w:rPr>
                <w:rFonts w:ascii="Calibri" w:cs="Calibri" w:eastAsia="Calibri" w:hAnsi="Calibri"/>
                <w:b w:val="false"/>
                <w:bCs w:val="false"/>
                <w:i w:val="false"/>
                <w:iCs w:val="false"/>
                <w:color w:val="222222"/>
                <w:sz w:val="17"/>
                <w:szCs w:val="17"/>
              </w:rPr>
              <w:t xml:space="preserve">Post-visit feedback call (interest, objections, competitor mentions)</w:t>
            </w:r>
          </w:p>
          <w:p>
            <w:pPr>
              <w:spacing w:after="70"/>
            </w:pPr>
            <w:r>
              <w:rPr>
                <w:rFonts w:ascii="Calibri" w:cs="Calibri" w:eastAsia="Calibri" w:hAnsi="Calibri"/>
                <w:b w:val="false"/>
                <w:bCs w:val="false"/>
                <w:i w:val="false"/>
                <w:iCs w:val="false"/>
                <w:color w:val="222222"/>
                <w:sz w:val="17"/>
                <w:szCs w:val="17"/>
              </w:rPr>
              <w:t xml:space="preserve">Dormant reactivation at 30/60/90-day intervals</w:t>
            </w:r>
          </w:p>
          <w:p>
            <w:pPr>
              <w:spacing w:after="0"/>
            </w:pPr>
            <w:r>
              <w:rPr>
                <w:rFonts w:ascii="Calibri" w:cs="Calibri" w:eastAsia="Calibri" w:hAnsi="Calibri"/>
                <w:b w:val="false"/>
                <w:bCs w:val="false"/>
                <w:i w:val="false"/>
                <w:iCs w:val="false"/>
                <w:color w:val="222222"/>
                <w:sz w:val="17"/>
                <w:szCs w:val="17"/>
              </w:rPr>
              <w:t xml:space="preserve">Cross-project recommendation</w:t>
            </w:r>
          </w:p>
        </w:tc>
        <w:tc>
          <w:tcPr>
            <w:tcW w:type="dxa" w:w="2980"/>
            <w:shd w:fill="FFFFFF" w:color="auto" w:val="clear"/>
            <w:tcMar>
              <w:top w:type="dxa" w:w="70"/>
              <w:left w:type="dxa" w:w="90"/>
              <w:bottom w:type="dxa" w:w="70"/>
              <w:right w:type="dxa" w:w="90"/>
            </w:tcMar>
            <w:vAlign w:val="top"/>
          </w:tcPr>
          <w:p>
            <w:pPr>
              <w:spacing w:after="70"/>
            </w:pPr>
            <w:r>
              <w:rPr>
                <w:rFonts w:ascii="Calibri" w:cs="Calibri" w:eastAsia="Calibri" w:hAnsi="Calibri"/>
                <w:b w:val="false"/>
                <w:bCs w:val="false"/>
                <w:i w:val="false"/>
                <w:iCs w:val="false"/>
                <w:color w:val="222222"/>
                <w:sz w:val="17"/>
                <w:szCs w:val="17"/>
              </w:rPr>
              <w:t xml:space="preserve">Structured feedback → CRM</w:t>
            </w:r>
          </w:p>
          <w:p>
            <w:pPr>
              <w:spacing w:after="70"/>
            </w:pPr>
            <w:r>
              <w:rPr>
                <w:rFonts w:ascii="Calibri" w:cs="Calibri" w:eastAsia="Calibri" w:hAnsi="Calibri"/>
                <w:b w:val="false"/>
                <w:bCs w:val="false"/>
                <w:i w:val="false"/>
                <w:iCs w:val="false"/>
                <w:color w:val="222222"/>
                <w:sz w:val="17"/>
                <w:szCs w:val="17"/>
              </w:rPr>
              <w:t xml:space="preserve">Objection patterns → analytics (pricing intelligence)</w:t>
            </w:r>
          </w:p>
          <w:p>
            <w:pPr>
              <w:spacing w:after="0"/>
            </w:pPr>
            <w:r>
              <w:rPr>
                <w:rFonts w:ascii="Calibri" w:cs="Calibri" w:eastAsia="Calibri" w:hAnsi="Calibri"/>
                <w:b w:val="false"/>
                <w:bCs w:val="false"/>
                <w:i w:val="false"/>
                <w:iCs w:val="false"/>
                <w:color w:val="222222"/>
                <w:sz w:val="17"/>
                <w:szCs w:val="17"/>
              </w:rPr>
              <w:t xml:space="preserve">Reactivated leads → back to Lead Qual Agent</w:t>
            </w:r>
          </w:p>
        </w:tc>
      </w:tr>
    </w:tbl>
    <w:p>
      <w:pPr>
        <w:pStyle w:val="Heading3"/>
        <w:spacing w:after="100" w:before="180"/>
      </w:pPr>
      <w:r>
        <w:rPr>
          <w:rFonts w:ascii="Calibri" w:cs="Calibri" w:eastAsia="Calibri" w:hAnsi="Calibri"/>
          <w:b/>
          <w:bCs/>
          <w:i w:val="false"/>
          <w:iCs w:val="false"/>
          <w:color w:val="2455A4"/>
          <w:sz w:val="21"/>
          <w:szCs w:val="21"/>
        </w:rPr>
        <w:t xml:space="preserve">CP Intelligence Agent  —  “A channel-operations manager with perfect memory”</w:t>
      </w:r>
    </w:p>
    <w:p>
      <w:pPr>
        <w:spacing w:after="140" w:before="0" w:line="264"/>
        <w:jc w:val="left"/>
      </w:pPr>
      <w:r>
        <w:rPr>
          <w:rFonts w:ascii="Calibri" w:cs="Calibri" w:eastAsia="Calibri" w:hAnsi="Calibri"/>
          <w:b w:val="false"/>
          <w:bCs w:val="false"/>
          <w:i w:val="false"/>
          <w:iCs w:val="false"/>
          <w:color w:val="222222"/>
          <w:sz w:val="19"/>
          <w:szCs w:val="19"/>
        </w:rPr>
        <w:t xml:space="preserve">Handles channel-partner (CP) lead deduplication, first-touch attribution, and CP performance tracking. Prevents duplicate calls to the same buyer from different CP sources and resolves attribution disputes with data.</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2980"/>
        <w:gridCol w:w="3353"/>
        <w:gridCol w:w="2980"/>
      </w:tblGrid>
      <w:tr>
        <w:trPr>
          <w:tblHeader/>
        </w:trPr>
        <w:tc>
          <w:tcPr>
            <w:tcW w:type="dxa" w:w="298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Triggers</w:t>
            </w:r>
          </w:p>
        </w:tc>
        <w:tc>
          <w:tcPr>
            <w:tcW w:type="dxa" w:w="3353"/>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Key Actions</w:t>
            </w:r>
          </w:p>
        </w:tc>
        <w:tc>
          <w:tcPr>
            <w:tcW w:type="dxa" w:w="298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Outputs</w:t>
            </w:r>
          </w:p>
        </w:tc>
      </w:tr>
      <w:tr>
        <w:tc>
          <w:tcPr>
            <w:tcW w:type="dxa" w:w="2980"/>
            <w:shd w:fill="FFFFFF" w:color="auto" w:val="clear"/>
            <w:tcMar>
              <w:top w:type="dxa" w:w="70"/>
              <w:left w:type="dxa" w:w="90"/>
              <w:bottom w:type="dxa" w:w="70"/>
              <w:right w:type="dxa" w:w="90"/>
            </w:tcMar>
            <w:vAlign w:val="top"/>
          </w:tcPr>
          <w:p>
            <w:pPr>
              <w:spacing w:after="70"/>
            </w:pPr>
            <w:r>
              <w:rPr>
                <w:rFonts w:ascii="Calibri" w:cs="Calibri" w:eastAsia="Calibri" w:hAnsi="Calibri"/>
                <w:b w:val="false"/>
                <w:bCs w:val="false"/>
                <w:i w:val="false"/>
                <w:iCs w:val="false"/>
                <w:color w:val="222222"/>
                <w:sz w:val="17"/>
                <w:szCs w:val="17"/>
              </w:rPr>
              <w:t xml:space="preserve">Every new lead ingested</w:t>
            </w:r>
          </w:p>
          <w:p>
            <w:pPr>
              <w:spacing w:after="70"/>
            </w:pPr>
            <w:r>
              <w:rPr>
                <w:rFonts w:ascii="Calibri" w:cs="Calibri" w:eastAsia="Calibri" w:hAnsi="Calibri"/>
                <w:b w:val="false"/>
                <w:bCs w:val="false"/>
                <w:i w:val="false"/>
                <w:iCs w:val="false"/>
                <w:color w:val="222222"/>
                <w:sz w:val="17"/>
                <w:szCs w:val="17"/>
              </w:rPr>
              <w:t xml:space="preserve">CP submits a lead batch</w:t>
            </w:r>
          </w:p>
          <w:p>
            <w:pPr>
              <w:spacing w:after="0"/>
            </w:pPr>
            <w:r>
              <w:rPr>
                <w:rFonts w:ascii="Calibri" w:cs="Calibri" w:eastAsia="Calibri" w:hAnsi="Calibri"/>
                <w:b w:val="false"/>
                <w:bCs w:val="false"/>
                <w:i w:val="false"/>
                <w:iCs w:val="false"/>
                <w:color w:val="222222"/>
                <w:sz w:val="17"/>
                <w:szCs w:val="17"/>
              </w:rPr>
              <w:t xml:space="preserve">Attribution dispute flagged</w:t>
            </w:r>
          </w:p>
        </w:tc>
        <w:tc>
          <w:tcPr>
            <w:tcW w:type="dxa" w:w="3353"/>
            <w:shd w:fill="FFFFFF" w:color="auto" w:val="clear"/>
            <w:tcMar>
              <w:top w:type="dxa" w:w="70"/>
              <w:left w:type="dxa" w:w="90"/>
              <w:bottom w:type="dxa" w:w="70"/>
              <w:right w:type="dxa" w:w="90"/>
            </w:tcMar>
            <w:vAlign w:val="top"/>
          </w:tcPr>
          <w:p>
            <w:pPr>
              <w:spacing w:after="70"/>
            </w:pPr>
            <w:r>
              <w:rPr>
                <w:rFonts w:ascii="Calibri" w:cs="Calibri" w:eastAsia="Calibri" w:hAnsi="Calibri"/>
                <w:b w:val="false"/>
                <w:bCs w:val="false"/>
                <w:i w:val="false"/>
                <w:iCs w:val="false"/>
                <w:color w:val="222222"/>
                <w:sz w:val="17"/>
                <w:szCs w:val="17"/>
              </w:rPr>
              <w:t xml:space="preserve">Fuzzy-match against existing database before any agent calls</w:t>
            </w:r>
          </w:p>
          <w:p>
            <w:pPr>
              <w:spacing w:after="70"/>
            </w:pPr>
            <w:r>
              <w:rPr>
                <w:rFonts w:ascii="Calibri" w:cs="Calibri" w:eastAsia="Calibri" w:hAnsi="Calibri"/>
                <w:b w:val="false"/>
                <w:bCs w:val="false"/>
                <w:i w:val="false"/>
                <w:iCs w:val="false"/>
                <w:color w:val="222222"/>
                <w:sz w:val="17"/>
                <w:szCs w:val="17"/>
              </w:rPr>
              <w:t xml:space="preserve">Log first-touch source with timestamp</w:t>
            </w:r>
          </w:p>
          <w:p>
            <w:pPr>
              <w:spacing w:after="0"/>
            </w:pPr>
            <w:r>
              <w:rPr>
                <w:rFonts w:ascii="Calibri" w:cs="Calibri" w:eastAsia="Calibri" w:hAnsi="Calibri"/>
                <w:b w:val="false"/>
                <w:bCs w:val="false"/>
                <w:i w:val="false"/>
                <w:iCs w:val="false"/>
                <w:color w:val="222222"/>
                <w:sz w:val="17"/>
                <w:szCs w:val="17"/>
              </w:rPr>
              <w:t xml:space="preserve">Generate CP performance scorecards</w:t>
            </w:r>
          </w:p>
        </w:tc>
        <w:tc>
          <w:tcPr>
            <w:tcW w:type="dxa" w:w="2980"/>
            <w:shd w:fill="FFFFFF" w:color="auto" w:val="clear"/>
            <w:tcMar>
              <w:top w:type="dxa" w:w="70"/>
              <w:left w:type="dxa" w:w="90"/>
              <w:bottom w:type="dxa" w:w="70"/>
              <w:right w:type="dxa" w:w="90"/>
            </w:tcMar>
            <w:vAlign w:val="top"/>
          </w:tcPr>
          <w:p>
            <w:pPr>
              <w:spacing w:after="70"/>
            </w:pPr>
            <w:r>
              <w:rPr>
                <w:rFonts w:ascii="Calibri" w:cs="Calibri" w:eastAsia="Calibri" w:hAnsi="Calibri"/>
                <w:b w:val="false"/>
                <w:bCs w:val="false"/>
                <w:i w:val="false"/>
                <w:iCs w:val="false"/>
                <w:color w:val="222222"/>
                <w:sz w:val="17"/>
                <w:szCs w:val="17"/>
              </w:rPr>
              <w:t xml:space="preserve">Deduplicated lead queue → Lead Qual Agent</w:t>
            </w:r>
          </w:p>
          <w:p>
            <w:pPr>
              <w:spacing w:after="70"/>
            </w:pPr>
            <w:r>
              <w:rPr>
                <w:rFonts w:ascii="Calibri" w:cs="Calibri" w:eastAsia="Calibri" w:hAnsi="Calibri"/>
                <w:b w:val="false"/>
                <w:bCs w:val="false"/>
                <w:i w:val="false"/>
                <w:iCs w:val="false"/>
                <w:color w:val="222222"/>
                <w:sz w:val="17"/>
                <w:szCs w:val="17"/>
              </w:rPr>
              <w:t xml:space="preserve">CP attribution log → CRM</w:t>
            </w:r>
          </w:p>
          <w:p>
            <w:pPr>
              <w:spacing w:after="0"/>
            </w:pPr>
            <w:r>
              <w:rPr>
                <w:rFonts w:ascii="Calibri" w:cs="Calibri" w:eastAsia="Calibri" w:hAnsi="Calibri"/>
                <w:b w:val="false"/>
                <w:bCs w:val="false"/>
                <w:i w:val="false"/>
                <w:iCs w:val="false"/>
                <w:color w:val="222222"/>
                <w:sz w:val="17"/>
                <w:szCs w:val="17"/>
              </w:rPr>
              <w:t xml:space="preserve">Duplicate alerts → CP relationship manager</w:t>
            </w:r>
          </w:p>
        </w:tc>
      </w:tr>
    </w:tbl>
    <w:p>
      <w:pPr>
        <w:pStyle w:val="Heading3"/>
        <w:spacing w:after="100" w:before="180"/>
      </w:pPr>
      <w:r>
        <w:rPr>
          <w:rFonts w:ascii="Calibri" w:cs="Calibri" w:eastAsia="Calibri" w:hAnsi="Calibri"/>
          <w:b/>
          <w:bCs/>
          <w:i w:val="false"/>
          <w:iCs w:val="false"/>
          <w:color w:val="2455A4"/>
          <w:sz w:val="21"/>
          <w:szCs w:val="21"/>
        </w:rPr>
        <w:t xml:space="preserve">Inbound Concierge Agent  —  “A knowledgeable receptionist who knows every project detail”</w:t>
      </w:r>
    </w:p>
    <w:p>
      <w:pPr>
        <w:spacing w:after="140" w:before="0" w:line="264"/>
        <w:jc w:val="left"/>
      </w:pPr>
      <w:r>
        <w:rPr>
          <w:rFonts w:ascii="Calibri" w:cs="Calibri" w:eastAsia="Calibri" w:hAnsi="Calibri"/>
          <w:b w:val="false"/>
          <w:bCs w:val="false"/>
          <w:i w:val="false"/>
          <w:iCs w:val="false"/>
          <w:color w:val="222222"/>
          <w:sz w:val="19"/>
          <w:szCs w:val="19"/>
        </w:rPr>
        <w:t xml:space="preserve">Handles all inbound calls — missed-call callbacks, IVR overflow, after-hours inquiries, walk-in appointment requests. Answers project FAQs (pricing, floor plans, amenities, possession) from the Knowledge Base.</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2980"/>
        <w:gridCol w:w="3353"/>
        <w:gridCol w:w="2980"/>
      </w:tblGrid>
      <w:tr>
        <w:trPr>
          <w:tblHeader/>
        </w:trPr>
        <w:tc>
          <w:tcPr>
            <w:tcW w:type="dxa" w:w="298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Triggers</w:t>
            </w:r>
          </w:p>
        </w:tc>
        <w:tc>
          <w:tcPr>
            <w:tcW w:type="dxa" w:w="3353"/>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Key Actions</w:t>
            </w:r>
          </w:p>
        </w:tc>
        <w:tc>
          <w:tcPr>
            <w:tcW w:type="dxa" w:w="298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Outputs</w:t>
            </w:r>
          </w:p>
        </w:tc>
      </w:tr>
      <w:tr>
        <w:tc>
          <w:tcPr>
            <w:tcW w:type="dxa" w:w="2980"/>
            <w:shd w:fill="FFFFFF" w:color="auto" w:val="clear"/>
            <w:tcMar>
              <w:top w:type="dxa" w:w="70"/>
              <w:left w:type="dxa" w:w="90"/>
              <w:bottom w:type="dxa" w:w="70"/>
              <w:right w:type="dxa" w:w="90"/>
            </w:tcMar>
            <w:vAlign w:val="top"/>
          </w:tcPr>
          <w:p>
            <w:pPr>
              <w:spacing w:after="70"/>
            </w:pPr>
            <w:r>
              <w:rPr>
                <w:rFonts w:ascii="Calibri" w:cs="Calibri" w:eastAsia="Calibri" w:hAnsi="Calibri"/>
                <w:b w:val="false"/>
                <w:bCs w:val="false"/>
                <w:i w:val="false"/>
                <w:iCs w:val="false"/>
                <w:color w:val="222222"/>
                <w:sz w:val="17"/>
                <w:szCs w:val="17"/>
              </w:rPr>
              <w:t xml:space="preserve">Inbound call to developer's number</w:t>
            </w:r>
          </w:p>
          <w:p>
            <w:pPr>
              <w:spacing w:after="70"/>
            </w:pPr>
            <w:r>
              <w:rPr>
                <w:rFonts w:ascii="Calibri" w:cs="Calibri" w:eastAsia="Calibri" w:hAnsi="Calibri"/>
                <w:b w:val="false"/>
                <w:bCs w:val="false"/>
                <w:i w:val="false"/>
                <w:iCs w:val="false"/>
                <w:color w:val="222222"/>
                <w:sz w:val="17"/>
                <w:szCs w:val="17"/>
              </w:rPr>
              <w:t xml:space="preserve">Missed call / after-hours call (7 PM-9 AM)</w:t>
            </w:r>
          </w:p>
          <w:p>
            <w:pPr>
              <w:spacing w:after="0"/>
            </w:pPr>
            <w:r>
              <w:rPr>
                <w:rFonts w:ascii="Calibri" w:cs="Calibri" w:eastAsia="Calibri" w:hAnsi="Calibri"/>
                <w:b w:val="false"/>
                <w:bCs w:val="false"/>
                <w:i w:val="false"/>
                <w:iCs w:val="false"/>
                <w:color w:val="222222"/>
                <w:sz w:val="17"/>
                <w:szCs w:val="17"/>
              </w:rPr>
              <w:t xml:space="preserve">IVR overflow / queue timeout</w:t>
            </w:r>
          </w:p>
        </w:tc>
        <w:tc>
          <w:tcPr>
            <w:tcW w:type="dxa" w:w="3353"/>
            <w:shd w:fill="FFFFFF" w:color="auto" w:val="clear"/>
            <w:tcMar>
              <w:top w:type="dxa" w:w="70"/>
              <w:left w:type="dxa" w:w="90"/>
              <w:bottom w:type="dxa" w:w="70"/>
              <w:right w:type="dxa" w:w="90"/>
            </w:tcMar>
            <w:vAlign w:val="top"/>
          </w:tcPr>
          <w:p>
            <w:pPr>
              <w:spacing w:after="70"/>
            </w:pPr>
            <w:r>
              <w:rPr>
                <w:rFonts w:ascii="Calibri" w:cs="Calibri" w:eastAsia="Calibri" w:hAnsi="Calibri"/>
                <w:b w:val="false"/>
                <w:bCs w:val="false"/>
                <w:i w:val="false"/>
                <w:iCs w:val="false"/>
                <w:color w:val="222222"/>
                <w:sz w:val="17"/>
                <w:szCs w:val="17"/>
              </w:rPr>
              <w:t xml:space="preserve">FAQ handling from Knowledge Base</w:t>
            </w:r>
          </w:p>
          <w:p>
            <w:pPr>
              <w:spacing w:after="70"/>
            </w:pPr>
            <w:r>
              <w:rPr>
                <w:rFonts w:ascii="Calibri" w:cs="Calibri" w:eastAsia="Calibri" w:hAnsi="Calibri"/>
                <w:b w:val="false"/>
                <w:bCs w:val="false"/>
                <w:i w:val="false"/>
                <w:iCs w:val="false"/>
                <w:color w:val="222222"/>
                <w:sz w:val="17"/>
                <w:szCs w:val="17"/>
              </w:rPr>
              <w:t xml:space="preserve">Multi-language detection and switching</w:t>
            </w:r>
          </w:p>
          <w:p>
            <w:pPr>
              <w:spacing w:after="0"/>
            </w:pPr>
            <w:r>
              <w:rPr>
                <w:rFonts w:ascii="Calibri" w:cs="Calibri" w:eastAsia="Calibri" w:hAnsi="Calibri"/>
                <w:b w:val="false"/>
                <w:bCs w:val="false"/>
                <w:i w:val="false"/>
                <w:iCs w:val="false"/>
                <w:color w:val="222222"/>
                <w:sz w:val="17"/>
                <w:szCs w:val="17"/>
              </w:rPr>
              <w:t xml:space="preserve">NRI-specific flow (FEMA, POA, timezone-aware scheduling)</w:t>
            </w:r>
          </w:p>
        </w:tc>
        <w:tc>
          <w:tcPr>
            <w:tcW w:type="dxa" w:w="2980"/>
            <w:shd w:fill="FFFFFF" w:color="auto" w:val="clear"/>
            <w:tcMar>
              <w:top w:type="dxa" w:w="70"/>
              <w:left w:type="dxa" w:w="90"/>
              <w:bottom w:type="dxa" w:w="70"/>
              <w:right w:type="dxa" w:w="90"/>
            </w:tcMar>
            <w:vAlign w:val="top"/>
          </w:tcPr>
          <w:p>
            <w:pPr>
              <w:spacing w:after="70"/>
            </w:pPr>
            <w:r>
              <w:rPr>
                <w:rFonts w:ascii="Calibri" w:cs="Calibri" w:eastAsia="Calibri" w:hAnsi="Calibri"/>
                <w:b w:val="false"/>
                <w:bCs w:val="false"/>
                <w:i w:val="false"/>
                <w:iCs w:val="false"/>
                <w:color w:val="222222"/>
                <w:sz w:val="17"/>
                <w:szCs w:val="17"/>
              </w:rPr>
              <w:t xml:space="preserve">Qualified inbound lead → Lead Qual or Scheduling Agent</w:t>
            </w:r>
          </w:p>
          <w:p>
            <w:pPr>
              <w:spacing w:after="70"/>
            </w:pPr>
            <w:r>
              <w:rPr>
                <w:rFonts w:ascii="Calibri" w:cs="Calibri" w:eastAsia="Calibri" w:hAnsi="Calibri"/>
                <w:b w:val="false"/>
                <w:bCs w:val="false"/>
                <w:i w:val="false"/>
                <w:iCs w:val="false"/>
                <w:color w:val="222222"/>
                <w:sz w:val="17"/>
                <w:szCs w:val="17"/>
              </w:rPr>
              <w:t xml:space="preserve">NRI lead flagged → dedicated NRI sales team</w:t>
            </w:r>
          </w:p>
          <w:p>
            <w:pPr>
              <w:spacing w:after="0"/>
            </w:pPr>
            <w:r>
              <w:rPr>
                <w:rFonts w:ascii="Calibri" w:cs="Calibri" w:eastAsia="Calibri" w:hAnsi="Calibri"/>
                <w:b w:val="false"/>
                <w:bCs w:val="false"/>
                <w:i w:val="false"/>
                <w:iCs w:val="false"/>
                <w:color w:val="222222"/>
                <w:sz w:val="17"/>
                <w:szCs w:val="17"/>
              </w:rPr>
              <w:t xml:space="preserve">Missed-call recovery rate → dashboard</w:t>
            </w:r>
          </w:p>
        </w:tc>
      </w:tr>
    </w:tbl>
    <w:p>
      <w:pPr>
        <w:pBdr>
          <w:top w:val="single" w:color="2455A4" w:sz="6"/>
          <w:bottom w:val="single" w:color="2455A4" w:sz="6"/>
          <w:left w:val="single" w:color="2455A4" w:sz="6"/>
          <w:right w:val="single" w:color="2455A4" w:sz="6"/>
        </w:pBdr>
        <w:shd w:fill="E9EFF9" w:val="clear"/>
        <w:spacing w:after="160" w:before="100"/>
      </w:pPr>
      <w:r>
        <w:rPr>
          <w:rFonts w:ascii="Calibri" w:cs="Calibri" w:eastAsia="Calibri" w:hAnsi="Calibri"/>
          <w:b/>
          <w:bCs/>
          <w:i w:val="false"/>
          <w:iCs w:val="false"/>
          <w:color w:val="1B2A4A"/>
          <w:sz w:val="19"/>
          <w:szCs w:val="19"/>
        </w:rPr>
        <w:t xml:space="preserve">Why config profiles, not a true multi-agent system:  </w:t>
      </w:r>
      <w:r>
        <w:rPr>
          <w:rFonts w:ascii="Calibri" w:cs="Calibri" w:eastAsia="Calibri" w:hAnsi="Calibri"/>
          <w:b w:val="false"/>
          <w:bCs w:val="false"/>
          <w:i w:val="false"/>
          <w:iCs w:val="false"/>
          <w:color w:val="222222"/>
          <w:sz w:val="19"/>
          <w:szCs w:val="19"/>
        </w:rPr>
        <w:t xml:space="preserve">Each profile has a single responsibility mirroring a human role. This means: profiles can be built, tested, and shipped independently; each profile's LLM prompt is focused and small, improving accuracy versus a single god-prompt; profiles can be mixed-and-matched per customer; and when the platform expands to clinics or auto dealerships, only the Knowledge Base and profile scripts change — the orchestration layer, telephony, and analytics stay identical. This is the config-driven-monolith decision (AD-1) validated in practice.</w:t>
      </w:r>
    </w:p>
    <w:p>
      <w:pPr>
        <w:pStyle w:val="Heading2"/>
        <w:spacing w:after="140" w:before="260"/>
      </w:pPr>
      <w:r>
        <w:rPr>
          <w:rFonts w:ascii="Calibri" w:cs="Calibri" w:eastAsia="Calibri" w:hAnsi="Calibri"/>
          <w:b/>
          <w:bCs/>
          <w:i w:val="false"/>
          <w:iCs w:val="false"/>
          <w:color w:val="1B2A4A"/>
          <w:sz w:val="25"/>
          <w:szCs w:val="25"/>
        </w:rPr>
        <w:t xml:space="preserve">1.6 Platform Core Layers</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1583"/>
        <w:gridCol w:w="3912"/>
        <w:gridCol w:w="3819"/>
      </w:tblGrid>
      <w:tr>
        <w:trPr>
          <w:tblHeader/>
        </w:trPr>
        <w:tc>
          <w:tcPr>
            <w:tcW w:type="dxa" w:w="1583"/>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Layer</w:t>
            </w:r>
          </w:p>
        </w:tc>
        <w:tc>
          <w:tcPr>
            <w:tcW w:type="dxa" w:w="3912"/>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Description</w:t>
            </w:r>
          </w:p>
        </w:tc>
        <w:tc>
          <w:tcPr>
            <w:tcW w:type="dxa" w:w="3819"/>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Components</w:t>
            </w:r>
          </w:p>
        </w:tc>
      </w:tr>
      <w:tr>
        <w:tc>
          <w:tcPr>
            <w:tcW w:type="dxa" w:w="158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Agent Orchestrator</w:t>
            </w:r>
          </w:p>
        </w:tc>
        <w:tc>
          <w:tcPr>
            <w:tcW w:type="dxa" w:w="391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Central brain that routes tasks, manages handoffs, maintains conversation context across agent/stage switches, and prevents a lead being processed by two agents at once.</w:t>
            </w:r>
          </w:p>
        </w:tc>
        <w:tc>
          <w:tcPr>
            <w:tcW w:type="dxa" w:w="381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Task router &amp; priority queue · Agent state manager · Context window manager · Handoff protocol engine · Conflict resolution</w:t>
            </w:r>
          </w:p>
        </w:tc>
      </w:tr>
      <w:tr>
        <w:tc>
          <w:tcPr>
            <w:tcW w:type="dxa" w:w="158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Voice Engine</w:t>
            </w:r>
          </w:p>
        </w:tc>
        <w:tc>
          <w:tcPr>
            <w:tcW w:type="dxa" w:w="3912"/>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STT/TTS layer built on Sarvam + Gnani APIs. Real-time speech recognition, voice synthesis, language detection, code-switching. Optimized for 8kHz Indian telephony codecs.</w:t>
            </w:r>
          </w:p>
        </w:tc>
        <w:tc>
          <w:tcPr>
            <w:tcW w:type="dxa" w:w="381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Sarvam Bulbul TTS (35+ Indian voices) · Sarvam/Gnani STT (22 languages) · Language detection &amp; auto-switch · Noise cancellation · Codec optimization (Jio/Airtel 4G, 8kHz)</w:t>
            </w:r>
          </w:p>
        </w:tc>
      </w:tr>
      <w:tr>
        <w:tc>
          <w:tcPr>
            <w:tcW w:type="dxa" w:w="158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Conversation Engine</w:t>
            </w:r>
          </w:p>
        </w:tc>
        <w:tc>
          <w:tcPr>
            <w:tcW w:type="dxa" w:w="391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LLM-powered dialogue management. Maintains flow, handles interruptions, manages objections, keeps context across multi-turn conversations. RAG over the project Knowledge Base.</w:t>
            </w:r>
          </w:p>
        </w:tc>
        <w:tc>
          <w:tcPr>
            <w:tcW w:type="dxa" w:w="381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LLM core (Claude Sonnet / Claude Haiku) · RAG pipeline → project KB · Objection-handling library · Script management &amp; A/B testing · Conversation state machine</w:t>
            </w:r>
          </w:p>
        </w:tc>
      </w:tr>
      <w:tr>
        <w:tc>
          <w:tcPr>
            <w:tcW w:type="dxa" w:w="158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Telephony Layer</w:t>
            </w:r>
          </w:p>
        </w:tc>
        <w:tc>
          <w:tcPr>
            <w:tcW w:type="dxa" w:w="3912"/>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Indian carrier-optimized calling infrastructure. TRAI DLT compliant. Outbound dialing, inbound routing, recording, surge scaling.</w:t>
            </w:r>
          </w:p>
        </w:tc>
        <w:tc>
          <w:tcPr>
            <w:tcW w:type="dxa" w:w="381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SIP trunk (Plivo / Exotel / Twilio) · TRAI DLT registration &amp; compliance · DND registry scrub · Encrypted call recording · Auto-dialer with pacing · Surge scaling (100→5,000 concurrent)</w:t>
            </w:r>
          </w:p>
        </w:tc>
      </w:tr>
      <w:tr>
        <w:tc>
          <w:tcPr>
            <w:tcW w:type="dxa" w:w="158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Integration Hub</w:t>
            </w:r>
          </w:p>
        </w:tc>
        <w:tc>
          <w:tcPr>
            <w:tcW w:type="dxa" w:w="391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Bi-directional sync with CRMs, calendars, WhatsApp Business API, and developer systems. Pre-built connectors for India-specific real-estate CRMs.</w:t>
            </w:r>
          </w:p>
        </w:tc>
        <w:tc>
          <w:tcPr>
            <w:tcW w:type="dxa" w:w="381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LeadSquared connector (native) · Sell.do connector (native) · 360Enrich connector · Google Calendar sync · Webhook engine · Salesforce/HubSpot/Zoho (generic)</w:t>
            </w:r>
          </w:p>
        </w:tc>
      </w:tr>
      <w:tr>
        <w:tc>
          <w:tcPr>
            <w:tcW w:type="dxa" w:w="158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Analytics &amp; Intelligence</w:t>
            </w:r>
          </w:p>
        </w:tc>
        <w:tc>
          <w:tcPr>
            <w:tcW w:type="dxa" w:w="3912"/>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Real-time dashboards, call-quality scoring, pricing-objection intelligence, CP performance tracking, predictive lead scoring. Every call transcribed and analyzed.</w:t>
            </w:r>
          </w:p>
        </w:tc>
        <w:tc>
          <w:tcPr>
            <w:tcW w:type="dxa" w:w="381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Real-time dashboard · Call quality scoring (100% of calls) · Pricing objection intelligence · CP performance scorecards · Conversion funnel analytics · Cost-per-site-visit calculator</w:t>
            </w:r>
          </w:p>
        </w:tc>
      </w:tr>
    </w:tbl>
    <w:p>
      <w:pPr>
        <w:pStyle w:val="Heading3"/>
        <w:spacing w:after="100" w:before="180"/>
      </w:pPr>
      <w:r>
        <w:rPr>
          <w:rFonts w:ascii="Calibri" w:cs="Calibri" w:eastAsia="Calibri" w:hAnsi="Calibri"/>
          <w:b/>
          <w:bCs/>
          <w:i w:val="false"/>
          <w:iCs w:val="false"/>
          <w:color w:val="2455A4"/>
          <w:sz w:val="21"/>
          <w:szCs w:val="21"/>
        </w:rPr>
        <w:t xml:space="preserve">Vertical Knowledge Base</w:t>
      </w:r>
    </w:p>
    <w:p>
      <w:pPr>
        <w:spacing w:after="140" w:before="0" w:line="264"/>
        <w:jc w:val="left"/>
      </w:pPr>
      <w:r>
        <w:rPr>
          <w:rFonts w:ascii="Calibri" w:cs="Calibri" w:eastAsia="Calibri" w:hAnsi="Calibri"/>
          <w:b w:val="false"/>
          <w:bCs w:val="false"/>
          <w:i w:val="false"/>
          <w:iCs w:val="false"/>
          <w:color w:val="222222"/>
          <w:sz w:val="19"/>
          <w:szCs w:val="19"/>
        </w:rPr>
        <w:t xml:space="preserve">Project-specific knowledge that makes agents intelligent about the actual product being sold — this is what separates a generic AI caller from a real-estate expert.</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1677"/>
        <w:gridCol w:w="7637"/>
      </w:tblGrid>
      <w:tr>
        <w:trPr>
          <w:tblHeader/>
        </w:trPr>
        <w:tc>
          <w:tcPr>
            <w:tcW w:type="dxa" w:w="1677"/>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Layer</w:t>
            </w:r>
          </w:p>
        </w:tc>
        <w:tc>
          <w:tcPr>
            <w:tcW w:type="dxa" w:w="7637"/>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Contents</w:t>
            </w:r>
          </w:p>
        </w:tc>
      </w:tr>
      <w:tr>
        <w:tc>
          <w:tcPr>
            <w:tcW w:type="dxa" w:w="167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Project Layer</w:t>
            </w:r>
          </w:p>
        </w:tc>
        <w:tc>
          <w:tcPr>
            <w:tcW w:type="dxa" w:w="763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Project name, RERA number, builder info · Unit inventory (type, floor, area, availability) · Pricing &amp; payment plans (CLP, FLP, subvention) · Possession timeline &amp; construction status · Amenities &amp; floor plans · Location advantages, connectivity</w:t>
            </w:r>
          </w:p>
        </w:tc>
      </w:tr>
      <w:tr>
        <w:tc>
          <w:tcPr>
            <w:tcW w:type="dxa" w:w="1677"/>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Market Layer</w:t>
            </w:r>
          </w:p>
        </w:tc>
        <w:tc>
          <w:tcPr>
            <w:tcW w:type="dxa" w:w="7637"/>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Micro-market comparisons vs. competitor projects · Area price trends · Infrastructure updates (metro, expressway, airport) · Regulatory context (RERA compliance)</w:t>
            </w:r>
          </w:p>
        </w:tc>
      </w:tr>
      <w:tr>
        <w:tc>
          <w:tcPr>
            <w:tcW w:type="dxa" w:w="167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Process Layer</w:t>
            </w:r>
          </w:p>
        </w:tc>
        <w:tc>
          <w:tcPr>
            <w:tcW w:type="dxa" w:w="763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Booking process &amp; documentation · Loan eligibility &amp; bank tie-ups · NRI purchase rules (FEMA, POA, repatriation) · CP commission structures &amp; policies</w:t>
            </w:r>
          </w:p>
        </w:tc>
      </w:tr>
    </w:tbl>
    <w:p>
      <w:pPr>
        <w:pStyle w:val="Heading2"/>
        <w:spacing w:after="140" w:before="260"/>
      </w:pPr>
      <w:r>
        <w:rPr>
          <w:rFonts w:ascii="Calibri" w:cs="Calibri" w:eastAsia="Calibri" w:hAnsi="Calibri"/>
          <w:b/>
          <w:bCs/>
          <w:i w:val="false"/>
          <w:iCs w:val="false"/>
          <w:color w:val="1B2A4A"/>
          <w:sz w:val="25"/>
          <w:szCs w:val="25"/>
        </w:rPr>
        <w:t xml:space="preserve">1.7 Data &amp; Memory Architecture</w:t>
      </w:r>
    </w:p>
    <w:p>
      <w:pPr>
        <w:spacing w:after="140" w:before="0" w:line="264"/>
        <w:jc w:val="left"/>
      </w:pPr>
      <w:r>
        <w:rPr>
          <w:rFonts w:ascii="Calibri" w:cs="Calibri" w:eastAsia="Calibri" w:hAnsi="Calibri"/>
          <w:b w:val="false"/>
          <w:bCs w:val="false"/>
          <w:i w:val="false"/>
          <w:iCs w:val="false"/>
          <w:color w:val="222222"/>
          <w:sz w:val="19"/>
          <w:szCs w:val="19"/>
        </w:rPr>
        <w:t xml:space="preserve">PostgreSQL 16 + pgvector is the single data store (AD-2): relational data and vector embeddings in one system, avoiding a separate vector database. Every table carries tenant_id (AD-5); memory facts are append-only with supersede links, never destructively overwritten (AD-7).</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1304"/>
        <w:gridCol w:w="3912"/>
        <w:gridCol w:w="2049"/>
        <w:gridCol w:w="2049"/>
      </w:tblGrid>
      <w:tr>
        <w:trPr>
          <w:tblHeader/>
        </w:trPr>
        <w:tc>
          <w:tcPr>
            <w:tcW w:type="dxa" w:w="1304"/>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Memory Type</w:t>
            </w:r>
          </w:p>
        </w:tc>
        <w:tc>
          <w:tcPr>
            <w:tcW w:type="dxa" w:w="3912"/>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Content</w:t>
            </w:r>
          </w:p>
        </w:tc>
        <w:tc>
          <w:tcPr>
            <w:tcW w:type="dxa" w:w="2049"/>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Storage</w:t>
            </w:r>
          </w:p>
        </w:tc>
        <w:tc>
          <w:tcPr>
            <w:tcW w:type="dxa" w:w="2049"/>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Written By</w:t>
            </w:r>
          </w:p>
        </w:tc>
      </w:tr>
      <w:tr>
        <w:tc>
          <w:tcPr>
            <w:tcW w:type="dxa" w:w="130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Working</w:t>
            </w:r>
          </w:p>
        </w:tc>
        <w:tc>
          <w:tcPr>
            <w:tcW w:type="dxa" w:w="391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Current conversation turns + extracted entities</w:t>
            </w:r>
          </w:p>
        </w:tc>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Redis (session-scoped)</w:t>
            </w:r>
          </w:p>
        </w:tc>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Live, per turn</w:t>
            </w:r>
          </w:p>
        </w:tc>
      </w:tr>
      <w:tr>
        <w:tc>
          <w:tcPr>
            <w:tcW w:type="dxa" w:w="1304"/>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Episodic</w:t>
            </w:r>
          </w:p>
        </w:tc>
        <w:tc>
          <w:tcPr>
            <w:tcW w:type="dxa" w:w="3912"/>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Structured summaries of past conversations: outcome, sentiment, next step</w:t>
            </w:r>
          </w:p>
        </w:tc>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PostgreSQL</w:t>
            </w:r>
          </w:p>
        </w:tc>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Post-call worker (Claude Haiku)</w:t>
            </w:r>
          </w:p>
        </w:tc>
      </w:tr>
      <w:tr>
        <w:tc>
          <w:tcPr>
            <w:tcW w:type="dxa" w:w="130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Semantic</w:t>
            </w:r>
          </w:p>
        </w:tc>
        <w:tc>
          <w:tcPr>
            <w:tcW w:type="dxa" w:w="391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Extracted customer facts: preferences, objections, buying intent — confidence + provenance</w:t>
            </w:r>
          </w:p>
        </w:tc>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PostgreSQL</w:t>
            </w:r>
          </w:p>
        </w:tc>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Post-call extraction (Claude Haiku)</w:t>
            </w:r>
          </w:p>
        </w:tc>
      </w:tr>
      <w:tr>
        <w:tc>
          <w:tcPr>
            <w:tcW w:type="dxa" w:w="1304"/>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Organizational</w:t>
            </w:r>
          </w:p>
        </w:tc>
        <w:tc>
          <w:tcPr>
            <w:tcW w:type="dxa" w:w="3912"/>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Company/project knowledge: brochures, pricing, FAQs, policies, playbooks</w:t>
            </w:r>
          </w:p>
        </w:tc>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PostgreSQL + pgvector</w:t>
            </w:r>
          </w:p>
        </w:tc>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Ingestion pipeline</w:t>
            </w:r>
          </w:p>
        </w:tc>
      </w:tr>
    </w:tbl>
    <w:p>
      <w:pPr>
        <w:pStyle w:val="Heading3"/>
        <w:spacing w:after="100" w:before="180"/>
      </w:pPr>
      <w:r>
        <w:rPr>
          <w:rFonts w:ascii="Calibri" w:cs="Calibri" w:eastAsia="Calibri" w:hAnsi="Calibri"/>
          <w:b/>
          <w:bCs/>
          <w:i w:val="false"/>
          <w:iCs w:val="false"/>
          <w:color w:val="2455A4"/>
          <w:sz w:val="21"/>
          <w:szCs w:val="21"/>
        </w:rPr>
        <w:t xml:space="preserve">Core database domains (full DDL in the Architecture &amp; Data Design source document)</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Platform &amp; Identity — tenants, users, roles, api_keys.</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CRM &amp; Customer Memory — customers, customer_facts (semantic memory), customer_product_interest, state_transitions.</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Conversations, Calls &amp; Episodic Memory — conversations, messages, calls, callback_requests.</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Scheduling Engine — centres, executives, working_hours, holidays, slot_policies, appointments (slot availability is computed, never materialized — AD-4).</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Knowledge (RAG) — knowledge_documents, knowledge_chunks (pgvector HNSW index, hybrid search with reciprocal rank fusion over vector + full-text).</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Engine Configuration — tool_definitions (the Tool Registry), rule_sets (YAML, versioned), state_machine_defs, prompt_templates.</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Support, Campaigns, Consent — tickets, escalations, campaigns, campaign_targets, consent_records (append-only ledger), dnc_list.</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Audit &amp; Analytics — decision_traces (one row per planner cycle — the explainability core, AD-6), tool_executions, audit_events, analytics_events.</w:t>
      </w:r>
    </w:p>
    <w:p>
      <w:pPr>
        <w:pStyle w:val="Heading2"/>
        <w:spacing w:after="140" w:before="260"/>
      </w:pPr>
      <w:r>
        <w:rPr>
          <w:rFonts w:ascii="Calibri" w:cs="Calibri" w:eastAsia="Calibri" w:hAnsi="Calibri"/>
          <w:b/>
          <w:bCs/>
          <w:i w:val="false"/>
          <w:iCs w:val="false"/>
          <w:color w:val="1B2A4A"/>
          <w:sz w:val="25"/>
          <w:szCs w:val="25"/>
        </w:rPr>
        <w:t xml:space="preserve">1.8 Conversation Processing — the Decision Cycle</w:t>
      </w:r>
    </w:p>
    <w:p>
      <w:pPr>
        <w:spacing w:after="140" w:before="0" w:line="264"/>
        <w:jc w:val="left"/>
      </w:pPr>
      <w:r>
        <w:rPr>
          <w:rFonts w:ascii="Calibri" w:cs="Calibri" w:eastAsia="Calibri" w:hAnsi="Calibri"/>
          <w:b w:val="false"/>
          <w:bCs w:val="false"/>
          <w:i w:val="false"/>
          <w:iCs w:val="false"/>
          <w:color w:val="222222"/>
          <w:sz w:val="19"/>
          <w:szCs w:val="19"/>
        </w:rPr>
        <w:t xml:space="preserve">Each customer utterance is processed through a fixed twelve-step cycle. Steps are implemented either as deterministic code or as LLM calls, and the distinction is deliberate and central to the design. A typical turn requires only two to three LLM calls, keeping both latency and per-call cost controlled.</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Context assembly (deterministic) — load customer profile, extracted facts, prior-conversation summaries, current history, journey stage.</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Intent understanding (LLM — Haiku) — fast classification of intent and structured entities.</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Knowledge retrieval (deterministic) — hybrid search (pgvector + full-text, RRF-merged); documents outside their validity period excluded at query level.</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Candidate action filtering (deterministic) — tool registry filtered to actions valid for the current stage, tenant, and role; the LLM only ever sees this filtered list.</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Rule evaluation (deterministic) — active business rules evaluated; may block actions, impose prerequisites, or force escalation. No LLM involvement; fully repeatable.</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Action proposal (LLM — Sonnet) — the primary reasoning call; returns a structured JSON proposal with chosen action, parameters, response draft, and self-assessed confidence.</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Confidence gating (deterministic) — self-assessment adjusted by objective factors (STT quality, retrieval grounding, ambiguity, repeated clarifications) into high/medium/low bands.</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Validation (deterministic) — parameter validation against JSON Schema, precondition checks against live data, idempotency verification.</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Execution (deterministic) — runs within a database transaction; slot booking uses row-level locking to prevent double-booking.</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Postcondition verification &amp; state transition (deterministic) — the intended effect is verified in the database before success is reported; a failed verification is treated as a failed action.</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Response generation (LLM — Sonnet) — generated only from verified execution results and retrieved knowledge, with instructions prohibiting any figure not present in that material.</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Decision trace (deterministic) — a complete audit record persisted asynchronously: input, memory/knowledge references, every rule evaluated, the proposal and reasoning, validation results, confidence, action taken, prompt/model versions, token usage, per-stage latency.</w:t>
      </w:r>
    </w:p>
    <w:p>
      <w:pPr>
        <w:pStyle w:val="Heading2"/>
        <w:spacing w:after="140" w:before="260"/>
      </w:pPr>
      <w:r>
        <w:rPr>
          <w:rFonts w:ascii="Calibri" w:cs="Calibri" w:eastAsia="Calibri" w:hAnsi="Calibri"/>
          <w:b/>
          <w:bCs/>
          <w:i w:val="false"/>
          <w:iCs w:val="false"/>
          <w:color w:val="1B2A4A"/>
          <w:sz w:val="25"/>
          <w:szCs w:val="25"/>
        </w:rPr>
        <w:t xml:space="preserve">1.9 API Surface Summary</w:t>
      </w:r>
    </w:p>
    <w:p>
      <w:pPr>
        <w:spacing w:after="140" w:before="0" w:line="264"/>
        <w:jc w:val="left"/>
      </w:pPr>
      <w:r>
        <w:rPr>
          <w:rFonts w:ascii="Calibri" w:cs="Calibri" w:eastAsia="Calibri" w:hAnsi="Calibri"/>
          <w:b w:val="false"/>
          <w:bCs w:val="false"/>
          <w:i w:val="false"/>
          <w:iCs w:val="false"/>
          <w:color w:val="222222"/>
          <w:sz w:val="19"/>
          <w:szCs w:val="19"/>
        </w:rPr>
        <w:t xml:space="preserve">Base URL: /api/v1. JSON in, JSON out, ISO-8601 timestamps, UUID identifiers. Two auth modes: JWT for dashboard users, scoped API keys for services/integrations. Every request runs as exactly one tenant — tenant_id is never passed manually and cross-tenant reads are structurally impossible.</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2049"/>
        <w:gridCol w:w="5216"/>
        <w:gridCol w:w="2049"/>
      </w:tblGrid>
      <w:tr>
        <w:trPr>
          <w:tblHeader/>
        </w:trPr>
        <w:tc>
          <w:tcPr>
            <w:tcW w:type="dxa" w:w="2049"/>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Surface</w:t>
            </w:r>
          </w:p>
        </w:tc>
        <w:tc>
          <w:tcPr>
            <w:tcW w:type="dxa" w:w="5216"/>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Key Endpoints</w:t>
            </w:r>
          </w:p>
        </w:tc>
        <w:tc>
          <w:tcPr>
            <w:tcW w:type="dxa" w:w="2049"/>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Primary Consumer</w:t>
            </w:r>
          </w:p>
        </w:tc>
      </w:tr>
      <w:tr>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Conversation (engine front door)</w:t>
            </w:r>
          </w:p>
        </w:tc>
        <w:tc>
          <w:tcPr>
            <w:tcW w:type="dxa" w:w="5216"/>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POST /conversations/{id}/turns — the endpoint; everything else is management around it</w:t>
            </w:r>
          </w:p>
        </w:tc>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Voice Session Service, chat clients</w:t>
            </w:r>
          </w:p>
        </w:tc>
      </w:tr>
      <w:tr>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Customers (CRM)</w:t>
            </w:r>
          </w:p>
        </w:tc>
        <w:tc>
          <w:tcPr>
            <w:tcW w:type="dxa" w:w="5216"/>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/customers, /customers/{id}/facts, /customers/{id}/timeline, /customers/{id}/state</w:t>
            </w:r>
          </w:p>
        </w:tc>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Dashboard, engine</w:t>
            </w:r>
          </w:p>
        </w:tc>
      </w:tr>
      <w:tr>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Scheduling</w:t>
            </w:r>
          </w:p>
        </w:tc>
        <w:tc>
          <w:tcPr>
            <w:tcW w:type="dxa" w:w="5216"/>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GET /scheduling/slots (computed, never materialized), /appointments (book/reschedule/cancel/complete)</w:t>
            </w:r>
          </w:p>
        </w:tc>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Dashboard, booking tool</w:t>
            </w:r>
          </w:p>
        </w:tc>
      </w:tr>
      <w:tr>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Knowledge Base</w:t>
            </w:r>
          </w:p>
        </w:tc>
        <w:tc>
          <w:tcPr>
            <w:tcW w:type="dxa" w:w="5216"/>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/knowledge/documents (upload/list/update/delete), POST /knowledge/search (debug retrieval by hand)</w:t>
            </w:r>
          </w:p>
        </w:tc>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Dashboard, ingestion</w:t>
            </w:r>
          </w:p>
        </w:tc>
      </w:tr>
      <w:tr>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Engine configuration</w:t>
            </w:r>
          </w:p>
        </w:tc>
        <w:tc>
          <w:tcPr>
            <w:tcW w:type="dxa" w:w="5216"/>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/rules (YAML, versioned, dry-run test), /tools (registry), /state-machine, /prompts, /packs/{name}/apply</w:t>
            </w:r>
          </w:p>
        </w:tc>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Dashboard, admins</w:t>
            </w:r>
          </w:p>
        </w:tc>
      </w:tr>
      <w:tr>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Campaigns</w:t>
            </w:r>
          </w:p>
        </w:tc>
        <w:tc>
          <w:tcPr>
            <w:tcW w:type="dxa" w:w="5216"/>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POST /campaigns, /campaigns/{id}/preview (DNC/rule-excluded before dialing), /start·/pause·/stop</w:t>
            </w:r>
          </w:p>
        </w:tc>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Dashboard, campaign worker</w:t>
            </w:r>
          </w:p>
        </w:tc>
      </w:tr>
      <w:tr>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Support &amp; Escalations</w:t>
            </w:r>
          </w:p>
        </w:tc>
        <w:tc>
          <w:tcPr>
            <w:tcW w:type="dxa" w:w="5216"/>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/tickets, GET /escalations (human work queue), /escalations/{id}/accept·/resolve</w:t>
            </w:r>
          </w:p>
        </w:tc>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Dashboard, human agents</w:t>
            </w:r>
          </w:p>
        </w:tc>
      </w:tr>
      <w:tr>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Calls &amp; Telephony</w:t>
            </w:r>
          </w:p>
        </w:tc>
        <w:tc>
          <w:tcPr>
            <w:tcW w:type="dxa" w:w="5216"/>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/calls, /calls/{id}/recording (signed URL, access logged), POST /webhooks/telephony/{provider}</w:t>
            </w:r>
          </w:p>
        </w:tc>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Dashboard, telephony provider</w:t>
            </w:r>
          </w:p>
        </w:tc>
      </w:tr>
      <w:tr>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Consent &amp; DNC</w:t>
            </w:r>
          </w:p>
        </w:tc>
        <w:tc>
          <w:tcPr>
            <w:tcW w:type="dxa" w:w="5216"/>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/customers/{id}/consents, /dnc (add/remove/import)</w:t>
            </w:r>
          </w:p>
        </w:tc>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Dashboard, compliance</w:t>
            </w:r>
          </w:p>
        </w:tc>
      </w:tr>
      <w:tr>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Analytics &amp; Audit</w:t>
            </w:r>
          </w:p>
        </w:tc>
        <w:tc>
          <w:tcPr>
            <w:tcW w:type="dxa" w:w="5216"/>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/analytics/overview·/funnel·/agent, GET /audit/traces/{trace_id} (the full "why did it do that" record)</w:t>
            </w:r>
          </w:p>
        </w:tc>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Dashboard, supervisors</w:t>
            </w:r>
          </w:p>
        </w:tc>
      </w:tr>
      <w:tr>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Live updates</w:t>
            </w:r>
          </w:p>
        </w:tc>
        <w:tc>
          <w:tcPr>
            <w:tcW w:type="dxa" w:w="5216"/>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WS /ws/dashboard — call.started/ended, call.turn, escalation.created, appointment.booked, campaign.progress</w:t>
            </w:r>
          </w:p>
        </w:tc>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Dashboard</w:t>
            </w:r>
          </w:p>
        </w:tc>
      </w:tr>
    </w:tbl>
    <w:p>
      <w:pPr>
        <w:pStyle w:val="Heading2"/>
        <w:spacing w:after="140" w:before="260"/>
      </w:pPr>
      <w:r>
        <w:rPr>
          <w:rFonts w:ascii="Calibri" w:cs="Calibri" w:eastAsia="Calibri" w:hAnsi="Calibri"/>
          <w:b/>
          <w:bCs/>
          <w:i w:val="false"/>
          <w:iCs w:val="false"/>
          <w:color w:val="1B2A4A"/>
          <w:sz w:val="25"/>
          <w:szCs w:val="25"/>
        </w:rPr>
        <w:t xml:space="preserve">1.10 Compliance &amp; Security Summary</w:t>
      </w:r>
    </w:p>
    <w:p>
      <w:pPr>
        <w:spacing w:after="140" w:before="0" w:line="264"/>
        <w:jc w:val="left"/>
      </w:pPr>
      <w:r>
        <w:rPr>
          <w:rFonts w:ascii="Calibri" w:cs="Calibri" w:eastAsia="Calibri" w:hAnsi="Calibri"/>
          <w:b w:val="false"/>
          <w:bCs w:val="false"/>
          <w:i w:val="false"/>
          <w:iCs w:val="false"/>
          <w:color w:val="222222"/>
          <w:sz w:val="19"/>
          <w:szCs w:val="19"/>
        </w:rPr>
        <w:t xml:space="preserve">Compliance is enforced structurally wherever possible: the code physically cannot do the wrong thing, rather than being asked nicely.</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Consent &amp; DNC — tracked per purpose in an append-only ledger (calls, recording, marketing, data_processing). DNC is a priority-0, terminal rule evaluated first on every dial with no bypass code path; opting out mid-call is instant and the only transition with no guard.</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Recording &amp; disclosure — the disclosure line plays before recording starts and before any conversation, enforced by the voice session's own state machine (structural, not conventional).</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PII protection — real PII lives only in the database (encrypted at rest); log files are masked at the logger so raw identifiers cannot reach log files; LLM prompts mask direct identifiers the model does not need.</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Access control (RBAC) — granular permission strings (customers:read, rules:write, recordings:listen…) grouped into agent/supervisor/admin/analyst roles; the AI itself is a permission-holding actor, deliberately less privileged than an admin — destructive tools are structurally invisible to it, not merely forbidden.</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The audit trail — decision_traces answers "why did the AI do that" as a single-row lookup; audit_events (append-only) answers "who changed the system."</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Regulatory mapping — TRAI/TCCCPR (DNC scopes + calling_policy rules, national registry importable), recording disclosure (structural), DPDP Act 2023 (consent ledger, retention jobs, deletion pipeline). New regulation is handled as new rules, not new code.</w:t>
      </w:r>
    </w:p>
    <w:p>
      <w:pPr>
        <w:pStyle w:val="Heading2"/>
        <w:spacing w:after="140" w:before="260"/>
      </w:pPr>
      <w:r>
        <w:rPr>
          <w:rFonts w:ascii="Calibri" w:cs="Calibri" w:eastAsia="Calibri" w:hAnsi="Calibri"/>
          <w:b/>
          <w:bCs/>
          <w:i w:val="false"/>
          <w:iCs w:val="false"/>
          <w:color w:val="1B2A4A"/>
          <w:sz w:val="25"/>
          <w:szCs w:val="25"/>
        </w:rPr>
        <w:t xml:space="preserve">1.11 Build Timeline</w:t>
      </w:r>
    </w:p>
    <w:p>
      <w:pPr>
        <w:spacing w:after="140" w:before="0" w:line="264"/>
        <w:jc w:val="left"/>
      </w:pPr>
      <w:r>
        <w:rPr>
          <w:rFonts w:ascii="Calibri" w:cs="Calibri" w:eastAsia="Calibri" w:hAnsi="Calibri"/>
          <w:b w:val="false"/>
          <w:bCs w:val="false"/>
          <w:i w:val="false"/>
          <w:iCs w:val="false"/>
          <w:color w:val="222222"/>
          <w:sz w:val="19"/>
          <w:szCs w:val="19"/>
        </w:rPr>
        <w:t xml:space="preserve">Two distinct timelines exist in the source material and are kept distinct here rather than conflated: the original 4-week engine build plan (the generic platform), and the real-estate go-to-market rollout phases (the vertical launch).</w:t>
      </w:r>
    </w:p>
    <w:p>
      <w:pPr>
        <w:pStyle w:val="Heading3"/>
        <w:spacing w:after="100" w:before="180"/>
      </w:pPr>
      <w:r>
        <w:rPr>
          <w:rFonts w:ascii="Calibri" w:cs="Calibri" w:eastAsia="Calibri" w:hAnsi="Calibri"/>
          <w:b/>
          <w:bCs/>
          <w:i w:val="false"/>
          <w:iCs w:val="false"/>
          <w:color w:val="2455A4"/>
          <w:sz w:val="21"/>
          <w:szCs w:val="21"/>
        </w:rPr>
        <w:t xml:space="preserve">Engine build — 4 weeks (Backend &amp; Voice track)</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1304"/>
        <w:gridCol w:w="8010"/>
      </w:tblGrid>
      <w:tr>
        <w:trPr>
          <w:tblHeader/>
        </w:trPr>
        <w:tc>
          <w:tcPr>
            <w:tcW w:type="dxa" w:w="1304"/>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Week</w:t>
            </w:r>
          </w:p>
        </w:tc>
        <w:tc>
          <w:tcPr>
            <w:tcW w:type="dxa" w:w="801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Deliverables</w:t>
            </w:r>
          </w:p>
        </w:tc>
      </w:tr>
      <w:tr>
        <w:tc>
          <w:tcPr>
            <w:tcW w:type="dxa" w:w="130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Week 1</w:t>
            </w:r>
          </w:p>
        </w:tc>
        <w:tc>
          <w:tcPr>
            <w:tcW w:type="dxa" w:w="801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Repository/Docker setup, full DB schema + migrations, auth/RBAC, frozen process_turn contract, CRM services/APIs, customer journey state machine, first live test calls.</w:t>
            </w:r>
          </w:p>
        </w:tc>
      </w:tr>
      <w:tr>
        <w:tc>
          <w:tcPr>
            <w:tcW w:type="dxa" w:w="1304"/>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Week 2</w:t>
            </w:r>
          </w:p>
        </w:tc>
        <w:tc>
          <w:tcPr>
            <w:tcW w:type="dxa" w:w="801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Planner loop, tool registry &amp; validation, core tools (book/reschedule/cancel, ticket, CRM update), essential rules (DNC, calling hours, identity verification), transactional scheduling, confidence gating.</w:t>
            </w:r>
          </w:p>
        </w:tc>
      </w:tr>
      <w:tr>
        <w:tc>
          <w:tcPr>
            <w:tcW w:type="dxa" w:w="130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Week 3</w:t>
            </w:r>
          </w:p>
        </w:tc>
        <w:tc>
          <w:tcPr>
            <w:tcW w:type="dxa" w:w="801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Complete conversation working end-to-end over text; then voice pipeline: streaming STT/TTS, turn detection, recording with disclosure sequence, basic interruption handling.</w:t>
            </w:r>
          </w:p>
        </w:tc>
      </w:tr>
      <w:tr>
        <w:tc>
          <w:tcPr>
            <w:tcW w:type="dxa" w:w="1304"/>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Week 4</w:t>
            </w:r>
          </w:p>
        </w:tc>
        <w:tc>
          <w:tcPr>
            <w:tcW w:type="dxa" w:w="801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Voice service connected to engine; real call books a real appointment; knowledge-base ingestion/retrieval (RAG); post-call summarization and memory update; demo prep.</w:t>
            </w:r>
          </w:p>
        </w:tc>
      </w:tr>
    </w:tbl>
    <w:p>
      <w:pPr>
        <w:spacing w:after="140" w:before="0" w:line="264"/>
        <w:jc w:val="left"/>
      </w:pPr>
      <w:r>
        <w:rPr>
          <w:rFonts w:ascii="Calibri" w:cs="Calibri" w:eastAsia="Calibri" w:hAnsi="Calibri"/>
          <w:b w:val="false"/>
          <w:bCs w:val="false"/>
          <w:i/>
          <w:iCs/>
          <w:color w:val="5B6472"/>
          <w:sz w:val="19"/>
          <w:szCs w:val="19"/>
        </w:rPr>
        <w:t xml:space="preserve">Milestone: end of Week 4 — a real phone call books a real appointment end-to-end, demonstrated live. Deferred at that milestone: CI/CD, full test suites, production deployment hardening, and selected advanced features.</w:t>
      </w:r>
    </w:p>
    <w:p>
      <w:pPr>
        <w:pStyle w:val="Heading3"/>
        <w:spacing w:after="100" w:before="180"/>
      </w:pPr>
      <w:r>
        <w:rPr>
          <w:rFonts w:ascii="Calibri" w:cs="Calibri" w:eastAsia="Calibri" w:hAnsi="Calibri"/>
          <w:b/>
          <w:bCs/>
          <w:i w:val="false"/>
          <w:iCs w:val="false"/>
          <w:color w:val="2455A4"/>
          <w:sz w:val="21"/>
          <w:szCs w:val="21"/>
        </w:rPr>
        <w:t xml:space="preserve">Real-estate go-to-market rollout — Phases 1-3</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2235"/>
        <w:gridCol w:w="7079"/>
      </w:tblGrid>
      <w:tr>
        <w:trPr>
          <w:tblHeader/>
        </w:trPr>
        <w:tc>
          <w:tcPr>
            <w:tcW w:type="dxa" w:w="2235"/>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Phase</w:t>
            </w:r>
          </w:p>
        </w:tc>
        <w:tc>
          <w:tcPr>
            <w:tcW w:type="dxa" w:w="7079"/>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Scope</w:t>
            </w:r>
          </w:p>
        </w:tc>
      </w:tr>
      <w:tr>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Phase 1 — NCR Launch (Week 1-10)</w:t>
            </w:r>
          </w:p>
        </w:tc>
        <w:tc>
          <w:tcPr>
            <w:tcW w:type="dxa" w:w="707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Lead Qualification Agent (outbound) · Scheduling Agent (visit booking + reminders) · Inbound Concierge Agent · CP Intelligence Agent (dedup + attribution) · LeadSquared + Sell.do integration · Hindi + Hinglish + English · TRAI DLT compliance · Basic analytics dashboard</w:t>
            </w:r>
          </w:p>
        </w:tc>
      </w:tr>
      <w:tr>
        <w:tc>
          <w:tcPr>
            <w:tcW w:type="dxa" w:w="223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Phase 2 — Depth (Month 3-6)</w:t>
            </w:r>
          </w:p>
        </w:tc>
        <w:tc>
          <w:tcPr>
            <w:tcW w:type="dxa" w:w="707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Campaign Agent (launch surges, reactivation) · Follow-Up Agent (post-visit, nurture) · WhatsApp orchestration · Pricing objection intelligence dashboard · CP performance scorecards · Punjabi language support · A/B testing framework</w:t>
            </w:r>
          </w:p>
        </w:tc>
      </w:tr>
      <w:tr>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Phase 3 — Scale (Month 6-12)</w:t>
            </w:r>
          </w:p>
        </w:tc>
        <w:tc>
          <w:tcPr>
            <w:tcW w:type="dxa" w:w="707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Pan-India expansion (Pune, Bangalore, Hyderabad, Mumbai) · Tamil, Telugu, Kannada, Marathi support · Predictive lead scoring (ML) · NRI-specific flows · Self-serve onboarding for mid-size developers · API marketplace · Vertical expansion hooks (clinic, auto dealership)</w:t>
            </w:r>
          </w:p>
        </w:tc>
      </w:tr>
    </w:tbl>
    <w:p>
      <w:pPr>
        <w:pageBreakBefore/>
        <w:spacing w:after="20" w:before="0"/>
      </w:pPr>
      <w:r>
        <w:rPr>
          <w:rFonts w:ascii="Calibri" w:cs="Calibri" w:eastAsia="Calibri" w:hAnsi="Calibri"/>
          <w:b/>
          <w:bCs/>
          <w:i w:val="false"/>
          <w:iCs w:val="false"/>
          <w:color w:val="2455A4"/>
          <w:sz w:val="18"/>
          <w:szCs w:val="18"/>
        </w:rPr>
        <w:t xml:space="preserve">PART II</w:t>
      </w:r>
    </w:p>
    <w:p>
      <w:pPr>
        <w:pStyle w:val="Heading1"/>
        <w:pBdr>
          <w:bottom w:val="single" w:color="2455A4" w:sz="14" w:space="6"/>
        </w:pBdr>
        <w:spacing w:after="220" w:before="0"/>
      </w:pPr>
      <w:r>
        <w:rPr>
          <w:rFonts w:ascii="Calibri" w:cs="Calibri" w:eastAsia="Calibri" w:hAnsi="Calibri"/>
          <w:b/>
          <w:bCs/>
          <w:i w:val="false"/>
          <w:iCs w:val="false"/>
          <w:color w:val="1B2A4A"/>
          <w:sz w:val="34"/>
          <w:szCs w:val="34"/>
        </w:rPr>
        <w:t xml:space="preserve">Part II — Eight Core Deployment Challenges</w:t>
      </w:r>
    </w:p>
    <w:p>
      <w:pPr>
        <w:spacing w:after="200" w:before="0" w:line="264"/>
        <w:jc w:val="left"/>
      </w:pPr>
      <w:r>
        <w:rPr>
          <w:rFonts w:ascii="Calibri" w:cs="Calibri" w:eastAsia="Calibri" w:hAnsi="Calibri"/>
          <w:b w:val="false"/>
          <w:bCs w:val="false"/>
          <w:i/>
          <w:iCs/>
          <w:color w:val="5B6472"/>
          <w:sz w:val="19"/>
          <w:szCs w:val="19"/>
        </w:rPr>
        <w:t xml:space="preserve">Solution Design, Cost-Efficiency Trade-offs and Implementation Sequence</w:t>
      </w:r>
    </w:p>
    <w:p>
      <w:pPr>
        <w:pBdr>
          <w:top w:val="single" w:color="2455A4" w:sz="6"/>
          <w:bottom w:val="single" w:color="2455A4" w:sz="6"/>
          <w:left w:val="single" w:color="2455A4" w:sz="6"/>
          <w:right w:val="single" w:color="2455A4" w:sz="6"/>
        </w:pBdr>
        <w:shd w:fill="E9EFF9" w:val="clear"/>
        <w:spacing w:after="160" w:before="100"/>
      </w:pPr>
      <w:r>
        <w:rPr>
          <w:rFonts w:ascii="Calibri" w:cs="Calibri" w:eastAsia="Calibri" w:hAnsi="Calibri"/>
          <w:b/>
          <w:bCs/>
          <w:i w:val="false"/>
          <w:iCs w:val="false"/>
          <w:color w:val="1B2A4A"/>
          <w:sz w:val="19"/>
          <w:szCs w:val="19"/>
        </w:rPr>
        <w:t xml:space="preserve">Source &amp; preservation note:  </w:t>
      </w:r>
      <w:r>
        <w:rPr>
          <w:rFonts w:ascii="Calibri" w:cs="Calibri" w:eastAsia="Calibri" w:hAnsi="Calibri"/>
          <w:b w:val="false"/>
          <w:bCs w:val="false"/>
          <w:i w:val="false"/>
          <w:iCs w:val="false"/>
          <w:color w:val="222222"/>
          <w:sz w:val="19"/>
          <w:szCs w:val="19"/>
        </w:rPr>
        <w:t xml:space="preserve">This Part reproduces, in full, the engineering team's "Voice AI Platform — Core Deployment Challenges" briefing (Internal Technical Briefing, 22 pages, market focus: NCR real estate). Every challenge, table, verdict, and risk entry from that document is carried forward here without summarization, per standing instruction that this blueprint keep all existing information from that source rather than compress it.</w:t>
      </w:r>
    </w:p>
    <w:p>
      <w:pPr>
        <w:pStyle w:val="Heading2"/>
        <w:spacing w:after="140" w:before="260"/>
      </w:pPr>
      <w:r>
        <w:rPr>
          <w:rFonts w:ascii="Calibri" w:cs="Calibri" w:eastAsia="Calibri" w:hAnsi="Calibri"/>
          <w:b/>
          <w:bCs/>
          <w:i w:val="false"/>
          <w:iCs w:val="false"/>
          <w:color w:val="1B2A4A"/>
          <w:sz w:val="25"/>
          <w:szCs w:val="25"/>
        </w:rPr>
        <w:t xml:space="preserve">2.1 Introduction &amp; Scope</w:t>
      </w:r>
    </w:p>
    <w:p>
      <w:pPr>
        <w:spacing w:after="140" w:before="0" w:line="264"/>
        <w:jc w:val="left"/>
      </w:pPr>
      <w:r>
        <w:rPr>
          <w:rFonts w:ascii="Calibri" w:cs="Calibri" w:eastAsia="Calibri" w:hAnsi="Calibri"/>
          <w:b w:val="false"/>
          <w:bCs w:val="false"/>
          <w:i w:val="false"/>
          <w:iCs w:val="false"/>
          <w:color w:val="222222"/>
          <w:sz w:val="19"/>
          <w:szCs w:val="19"/>
        </w:rPr>
        <w:t xml:space="preserve">Demand for voice AI in India is not the constraint. The Indian voice AI market was valued at approximately $153M in 2024 and is projected to reach roughly $958M by 2030 at a 35.7% CAGR, with a large share of top-tier banks already running production voice agents. The constraint is deployment reliability — the rate at which pilots fail to convert into contracts.</w:t>
      </w:r>
    </w:p>
    <w:p>
      <w:pPr>
        <w:spacing w:after="140" w:before="0" w:line="264"/>
        <w:jc w:val="left"/>
      </w:pPr>
      <w:r>
        <w:rPr>
          <w:rFonts w:ascii="Calibri" w:cs="Calibri" w:eastAsia="Calibri" w:hAnsi="Calibri"/>
          <w:b w:val="false"/>
          <w:bCs w:val="false"/>
          <w:i w:val="false"/>
          <w:iCs w:val="false"/>
          <w:color w:val="222222"/>
          <w:sz w:val="19"/>
          <w:szCs w:val="19"/>
        </w:rPr>
        <w:t xml:space="preserve">That distinction matters for how we allocate engineering effort. If demand were the problem, we would invest in market development. Because reliability is the problem, we invest in the operational layers that determine whether a pilot survives: data quality, latency on Indian cellular networks, answer accuracy, graceful failure, regulatory posture, and organisational adoption inside the customer.</w:t>
      </w:r>
    </w:p>
    <w:p>
      <w:pPr>
        <w:spacing w:after="140" w:before="0" w:line="264"/>
        <w:jc w:val="left"/>
      </w:pPr>
      <w:r>
        <w:rPr>
          <w:rFonts w:ascii="Calibri" w:cs="Calibri" w:eastAsia="Calibri" w:hAnsi="Calibri"/>
          <w:b w:val="false"/>
          <w:bCs w:val="false"/>
          <w:i w:val="false"/>
          <w:iCs w:val="false"/>
          <w:color w:val="222222"/>
          <w:sz w:val="19"/>
          <w:szCs w:val="19"/>
        </w:rPr>
        <w:t xml:space="preserve">This document sets out eight challenges that determine that outcome, and for each one a solution designed against a hard commercial constraint: the fix must be effective, and it must not inflate our per-minute cost of delivery beyond what the market will pay.</w:t>
      </w:r>
    </w:p>
    <w:p>
      <w:pPr>
        <w:pStyle w:val="Heading3"/>
        <w:spacing w:after="100" w:before="180"/>
      </w:pPr>
      <w:r>
        <w:rPr>
          <w:rFonts w:ascii="Calibri" w:cs="Calibri" w:eastAsia="Calibri" w:hAnsi="Calibri"/>
          <w:b/>
          <w:bCs/>
          <w:i w:val="false"/>
          <w:iCs w:val="false"/>
          <w:color w:val="2455A4"/>
          <w:sz w:val="21"/>
          <w:szCs w:val="21"/>
        </w:rPr>
        <w:t xml:space="preserve">In scope</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Outbound and inbound presales voice agents for residential real estate; lead qualification, site-visit scheduling, follow-up, and inbound concierge flows.</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The technical architecture, unit economics, and commercial packaging decisions that follow from each challenge.</w:t>
      </w:r>
    </w:p>
    <w:p>
      <w:pPr>
        <w:pStyle w:val="Heading3"/>
        <w:spacing w:after="100" w:before="180"/>
      </w:pPr>
      <w:r>
        <w:rPr>
          <w:rFonts w:ascii="Calibri" w:cs="Calibri" w:eastAsia="Calibri" w:hAnsi="Calibri"/>
          <w:b/>
          <w:bCs/>
          <w:i w:val="false"/>
          <w:iCs w:val="false"/>
          <w:color w:val="2455A4"/>
          <w:sz w:val="21"/>
          <w:szCs w:val="21"/>
        </w:rPr>
        <w:t xml:space="preserve">Out of scope</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Vendor selection and final pricing negotiation; detailed vendor rate cards to be confirmed separately before financial modelling.</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Post-sale customer service and collections flows, which sit in a later phase.</w:t>
      </w:r>
    </w:p>
    <w:p>
      <w:pPr>
        <w:pStyle w:val="Heading2"/>
        <w:spacing w:after="140" w:before="260"/>
      </w:pPr>
      <w:r>
        <w:rPr>
          <w:rFonts w:ascii="Calibri" w:cs="Calibri" w:eastAsia="Calibri" w:hAnsi="Calibri"/>
          <w:b/>
          <w:bCs/>
          <w:i w:val="false"/>
          <w:iCs w:val="false"/>
          <w:color w:val="1B2A4A"/>
          <w:sz w:val="25"/>
          <w:szCs w:val="25"/>
        </w:rPr>
        <w:t xml:space="preserve">2.2 Cost Model and Architectural Foundations</w:t>
      </w:r>
    </w:p>
    <w:p>
      <w:pPr>
        <w:spacing w:after="140" w:before="0" w:line="264"/>
        <w:jc w:val="left"/>
      </w:pPr>
      <w:r>
        <w:rPr>
          <w:rFonts w:ascii="Calibri" w:cs="Calibri" w:eastAsia="Calibri" w:hAnsi="Calibri"/>
          <w:b w:val="false"/>
          <w:bCs w:val="false"/>
          <w:i w:val="false"/>
          <w:iCs w:val="false"/>
          <w:color w:val="222222"/>
          <w:sz w:val="19"/>
          <w:szCs w:val="19"/>
        </w:rPr>
        <w:t xml:space="preserve">Before addressing individual challenges, it is worth stating plainly where the money goes, because that determines which solutions are affordable.</w:t>
      </w:r>
    </w:p>
    <w:p>
      <w:pPr>
        <w:pStyle w:val="Heading3"/>
        <w:spacing w:after="100" w:before="180"/>
      </w:pPr>
      <w:r>
        <w:rPr>
          <w:rFonts w:ascii="Calibri" w:cs="Calibri" w:eastAsia="Calibri" w:hAnsi="Calibri"/>
          <w:b/>
          <w:bCs/>
          <w:i w:val="false"/>
          <w:iCs w:val="false"/>
          <w:color w:val="2455A4"/>
          <w:sz w:val="21"/>
          <w:szCs w:val="21"/>
        </w:rPr>
        <w:t xml:space="preserve">Where cost accumulates (marginal cost, per minute of call)</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2049"/>
        <w:gridCol w:w="7265"/>
      </w:tblGrid>
      <w:tr>
        <w:trPr>
          <w:tblHeader/>
        </w:trPr>
        <w:tc>
          <w:tcPr>
            <w:tcW w:type="dxa" w:w="2049"/>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Component</w:t>
            </w:r>
          </w:p>
        </w:tc>
        <w:tc>
          <w:tcPr>
            <w:tcW w:type="dxa" w:w="7265"/>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Notes</w:t>
            </w:r>
          </w:p>
        </w:tc>
      </w:tr>
      <w:tr>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Telephony</w:t>
            </w:r>
          </w:p>
        </w:tc>
        <w:tc>
          <w:tcPr>
            <w:tcW w:type="dxa" w:w="726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SIP trunk and per-minute carrier charges. Largely fixed by the carrier; the only lever is calling fewer bad numbers.</w:t>
            </w:r>
          </w:p>
        </w:tc>
      </w:tr>
      <w:tr>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Speech-to-text (STT)</w:t>
            </w:r>
          </w:p>
        </w:tc>
        <w:tc>
          <w:tcPr>
            <w:tcW w:type="dxa" w:w="726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Charged per minute of audio processed. Scales linearly with call duration.</w:t>
            </w:r>
          </w:p>
        </w:tc>
      </w:tr>
      <w:tr>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LLM inference</w:t>
            </w:r>
          </w:p>
        </w:tc>
        <w:tc>
          <w:tcPr>
            <w:tcW w:type="dxa" w:w="726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Charged per token. The component with the widest variance and therefore the largest optimisation opportunity.</w:t>
            </w:r>
          </w:p>
        </w:tc>
      </w:tr>
      <w:tr>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Text-to-speech (TTS)</w:t>
            </w:r>
          </w:p>
        </w:tc>
        <w:tc>
          <w:tcPr>
            <w:tcW w:type="dxa" w:w="726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Charged per character or per second of audio generated. Highly compressible through caching.</w:t>
            </w:r>
          </w:p>
        </w:tc>
      </w:tr>
    </w:tbl>
    <w:p>
      <w:pPr>
        <w:spacing w:after="140" w:before="0" w:line="264"/>
        <w:jc w:val="left"/>
      </w:pPr>
      <w:r>
        <w:rPr>
          <w:rFonts w:ascii="Calibri" w:cs="Calibri" w:eastAsia="Calibri" w:hAnsi="Calibri"/>
          <w:b w:val="false"/>
          <w:bCs w:val="false"/>
          <w:i w:val="false"/>
          <w:iCs w:val="false"/>
          <w:color w:val="222222"/>
          <w:sz w:val="19"/>
          <w:szCs w:val="19"/>
        </w:rPr>
        <w:t xml:space="preserve">LLM inference and TTS — the two most controllable components — are also the two where naive implementations waste the most. A system that sends every conversational turn to a frontier model and synthesises every sentence fresh is paying full price for work that is, in a presales script, highly repetitive.</w:t>
      </w:r>
    </w:p>
    <w:p>
      <w:pPr>
        <w:pStyle w:val="Heading3"/>
        <w:spacing w:after="100" w:before="180"/>
      </w:pPr>
      <w:r>
        <w:rPr>
          <w:rFonts w:ascii="Calibri" w:cs="Calibri" w:eastAsia="Calibri" w:hAnsi="Calibri"/>
          <w:b/>
          <w:bCs/>
          <w:i w:val="false"/>
          <w:iCs w:val="false"/>
          <w:color w:val="2455A4"/>
          <w:sz w:val="21"/>
          <w:szCs w:val="21"/>
        </w:rPr>
        <w:t xml:space="preserve">The governing principle: tier everything</w:t>
      </w:r>
    </w:p>
    <w:p>
      <w:pPr>
        <w:spacing w:after="140" w:before="0" w:line="264"/>
        <w:jc w:val="left"/>
      </w:pPr>
      <w:r>
        <w:rPr>
          <w:rFonts w:ascii="Calibri" w:cs="Calibri" w:eastAsia="Calibri" w:hAnsi="Calibri"/>
          <w:b w:val="false"/>
          <w:bCs w:val="false"/>
          <w:i w:val="false"/>
          <w:iCs w:val="false"/>
          <w:color w:val="222222"/>
          <w:sz w:val="19"/>
          <w:szCs w:val="19"/>
        </w:rPr>
        <w:t xml:space="preserve">The single most effective cost control available is not a cheaper vendor. It is routing each unit of work to the cheapest tier capable of handling it. Applied to conversational turns, this produces a three-tier router:</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2235"/>
        <w:gridCol w:w="4471"/>
        <w:gridCol w:w="1304"/>
        <w:gridCol w:w="1304"/>
      </w:tblGrid>
      <w:tr>
        <w:trPr>
          <w:tblHeader/>
        </w:trPr>
        <w:tc>
          <w:tcPr>
            <w:tcW w:type="dxa" w:w="2235"/>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Tier</w:t>
            </w:r>
          </w:p>
        </w:tc>
        <w:tc>
          <w:tcPr>
            <w:tcW w:type="dxa" w:w="4471"/>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What It Handles</w:t>
            </w:r>
          </w:p>
        </w:tc>
        <w:tc>
          <w:tcPr>
            <w:tcW w:type="dxa" w:w="1304"/>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Approx. Share of Turns</w:t>
            </w:r>
          </w:p>
        </w:tc>
        <w:tc>
          <w:tcPr>
            <w:tcW w:type="dxa" w:w="1304"/>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Marginal Cost</w:t>
            </w:r>
          </w:p>
        </w:tc>
      </w:tr>
      <w:tr>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T0 — Deterministic state machine (no model call)</w:t>
            </w:r>
          </w:p>
        </w:tc>
        <w:tc>
          <w:tcPr>
            <w:tcW w:type="dxa" w:w="447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Greeting, AI disclosure, consent capture, opt-out handling, slot confirmation, closing lines</w:t>
            </w:r>
          </w:p>
        </w:tc>
        <w:tc>
          <w:tcPr>
            <w:tcW w:type="dxa" w:w="130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High</w:t>
            </w:r>
          </w:p>
        </w:tc>
        <w:tc>
          <w:tcPr>
            <w:tcW w:type="dxa" w:w="130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Effectively zero</w:t>
            </w:r>
          </w:p>
        </w:tc>
      </w:tr>
      <w:tr>
        <w:tc>
          <w:tcPr>
            <w:tcW w:type="dxa" w:w="223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T1 — Small / fast model</w:t>
            </w:r>
          </w:p>
        </w:tc>
        <w:tc>
          <w:tcPr>
            <w:tcW w:type="dxa" w:w="447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Slot extraction, structured FAQ answers, intent classification, simple confirmations</w:t>
            </w:r>
          </w:p>
        </w:tc>
        <w:tc>
          <w:tcPr>
            <w:tcW w:type="dxa" w:w="1304"/>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Moderate</w:t>
            </w:r>
          </w:p>
        </w:tc>
        <w:tc>
          <w:tcPr>
            <w:tcW w:type="dxa" w:w="1304"/>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Low</w:t>
            </w:r>
          </w:p>
        </w:tc>
      </w:tr>
      <w:tr>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T2 — Frontier model</w:t>
            </w:r>
          </w:p>
        </w:tc>
        <w:tc>
          <w:tcPr>
            <w:tcW w:type="dxa" w:w="447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Objection handling, confused/off-script callers, NRI and financing edge cases, negotiation-adjacent turns</w:t>
            </w:r>
          </w:p>
        </w:tc>
        <w:tc>
          <w:tcPr>
            <w:tcW w:type="dxa" w:w="130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Low</w:t>
            </w:r>
          </w:p>
        </w:tc>
        <w:tc>
          <w:tcPr>
            <w:tcW w:type="dxa" w:w="130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High</w:t>
            </w:r>
          </w:p>
        </w:tc>
      </w:tr>
    </w:tbl>
    <w:p>
      <w:pPr>
        <w:pBdr>
          <w:top w:val="single" w:color="2455A4" w:sz="6"/>
          <w:bottom w:val="single" w:color="2455A4" w:sz="6"/>
          <w:left w:val="single" w:color="2455A4" w:sz="6"/>
          <w:right w:val="single" w:color="2455A4" w:sz="6"/>
        </w:pBdr>
        <w:shd w:fill="E9EFF9" w:val="clear"/>
        <w:spacing w:after="160" w:before="100"/>
      </w:pPr>
      <w:r>
        <w:rPr>
          <w:rFonts w:ascii="Calibri" w:cs="Calibri" w:eastAsia="Calibri" w:hAnsi="Calibri"/>
          <w:b/>
          <w:bCs/>
          <w:i w:val="false"/>
          <w:iCs w:val="false"/>
          <w:color w:val="1B2A4A"/>
          <w:sz w:val="19"/>
          <w:szCs w:val="19"/>
        </w:rPr>
        <w:t xml:space="preserve">Assumption to validate:  </w:t>
      </w:r>
      <w:r>
        <w:rPr>
          <w:rFonts w:ascii="Calibri" w:cs="Calibri" w:eastAsia="Calibri" w:hAnsi="Calibri"/>
          <w:b w:val="false"/>
          <w:bCs w:val="false"/>
          <w:i w:val="false"/>
          <w:iCs w:val="false"/>
          <w:color w:val="222222"/>
          <w:sz w:val="19"/>
          <w:szCs w:val="19"/>
        </w:rPr>
        <w:t xml:space="preserve">the tier distribution above is our working hypothesis based on the shape of a presales script, not a measured result. It must be verified against a real call sample before we commit to a price point. If T2 turns out to carry a materially larger share of turns, our per-minute cost assumption changes and the commercial model needs revisiting.</w:t>
      </w:r>
    </w:p>
    <w:p>
      <w:pPr>
        <w:spacing w:after="140" w:before="0" w:line="264"/>
        <w:jc w:val="left"/>
      </w:pPr>
      <w:r>
        <w:rPr>
          <w:rFonts w:ascii="Calibri" w:cs="Calibri" w:eastAsia="Calibri" w:hAnsi="Calibri"/>
          <w:b w:val="false"/>
          <w:bCs w:val="false"/>
          <w:i w:val="false"/>
          <w:iCs w:val="false"/>
          <w:color w:val="222222"/>
          <w:sz w:val="19"/>
          <w:szCs w:val="19"/>
        </w:rPr>
        <w:t xml:space="preserve">Routing is decided on intent confidence and turn type. Architecturally this fits our existing modular monolith cleanly — tier selection is a field on the configuration profile, not a new service, so it adds no operational surface area.</w:t>
      </w:r>
    </w:p>
    <w:p>
      <w:pPr>
        <w:pStyle w:val="Heading3"/>
        <w:spacing w:after="100" w:before="180"/>
      </w:pPr>
      <w:r>
        <w:rPr>
          <w:rFonts w:ascii="Calibri" w:cs="Calibri" w:eastAsia="Calibri" w:hAnsi="Calibri"/>
          <w:b/>
          <w:bCs/>
          <w:i w:val="false"/>
          <w:iCs w:val="false"/>
          <w:color w:val="2455A4"/>
          <w:sz w:val="21"/>
          <w:szCs w:val="21"/>
        </w:rPr>
        <w:t xml:space="preserve">Four supporting mechanisms</w:t>
      </w:r>
    </w:p>
    <w:p>
      <w:pPr>
        <w:spacing w:after="100"/>
      </w:pPr>
      <w:r>
        <w:rPr>
          <w:rFonts w:ascii="Calibri" w:cs="Calibri" w:eastAsia="Calibri" w:hAnsi="Calibri"/>
          <w:b/>
          <w:bCs/>
          <w:i w:val="false"/>
          <w:iCs w:val="false"/>
          <w:color w:val="1B2A4A"/>
          <w:sz w:val="19"/>
          <w:szCs w:val="19"/>
        </w:rPr>
        <w:t xml:space="preserve">(a) Pre-rendered TTS cache  </w:t>
      </w:r>
      <w:r>
        <w:rPr>
          <w:rFonts w:ascii="Calibri" w:cs="Calibri" w:eastAsia="Calibri" w:hAnsi="Calibri"/>
          <w:b w:val="false"/>
          <w:bCs w:val="false"/>
          <w:i w:val="false"/>
          <w:iCs w:val="false"/>
          <w:color w:val="222222"/>
          <w:sz w:val="19"/>
          <w:szCs w:val="19"/>
        </w:rPr>
        <w:t xml:space="preserve"/>
      </w:r>
    </w:p>
    <w:p>
      <w:pPr>
        <w:spacing w:after="160" w:before="0" w:line="264"/>
        <w:jc w:val="left"/>
      </w:pPr>
      <w:r>
        <w:rPr>
          <w:rFonts w:ascii="Calibri" w:cs="Calibri" w:eastAsia="Calibri" w:hAnsi="Calibri"/>
          <w:b w:val="false"/>
          <w:bCs w:val="false"/>
          <w:i w:val="false"/>
          <w:iCs w:val="false"/>
          <w:color w:val="222222"/>
          <w:sz w:val="19"/>
          <w:szCs w:val="19"/>
        </w:rPr>
        <w:t xml:space="preserve">A large share of what the agent says in a presales call is fixed text: the disclosure line, project name, slot proposals, brochure handoff, closing lines. These are rendered to audio once per project, stored, and spliced with streaming TTS only for genuinely dynamic spans. Reduces TTS spend and drives time-to-first-audio close to zero. Trade-off: audible seams if splicing is careless — splices must occur at sentence boundaries, with identical voice settings and a short crossfade, never mid-sentence.</w:t>
      </w:r>
    </w:p>
    <w:p>
      <w:pPr>
        <w:spacing w:after="100"/>
      </w:pPr>
      <w:r>
        <w:rPr>
          <w:rFonts w:ascii="Calibri" w:cs="Calibri" w:eastAsia="Calibri" w:hAnsi="Calibri"/>
          <w:b/>
          <w:bCs/>
          <w:i w:val="false"/>
          <w:iCs w:val="false"/>
          <w:color w:val="1B2A4A"/>
          <w:sz w:val="19"/>
          <w:szCs w:val="19"/>
        </w:rPr>
        <w:t xml:space="preserve">(b) Structured facts separated from prose  </w:t>
      </w:r>
      <w:r>
        <w:rPr>
          <w:rFonts w:ascii="Calibri" w:cs="Calibri" w:eastAsia="Calibri" w:hAnsi="Calibri"/>
          <w:b w:val="false"/>
          <w:bCs w:val="false"/>
          <w:i w:val="false"/>
          <w:iCs w:val="false"/>
          <w:color w:val="222222"/>
          <w:sz w:val="19"/>
          <w:szCs w:val="19"/>
        </w:rPr>
        <w:t xml:space="preserve"/>
      </w:r>
    </w:p>
    <w:p>
      <w:pPr>
        <w:spacing w:after="160" w:before="0" w:line="264"/>
        <w:jc w:val="left"/>
      </w:pPr>
      <w:r>
        <w:rPr>
          <w:rFonts w:ascii="Calibri" w:cs="Calibri" w:eastAsia="Calibri" w:hAnsi="Calibri"/>
          <w:b w:val="false"/>
          <w:bCs w:val="false"/>
          <w:i w:val="false"/>
          <w:iCs w:val="false"/>
          <w:color w:val="222222"/>
          <w:sz w:val="19"/>
          <w:szCs w:val="19"/>
        </w:rPr>
        <w:t xml:space="preserve">Anything numeric or enumerable — price by unit type and floor, possession date, RERA number, payment plan terms, current availability — is held in a structured store and retrieved by deterministic lookup. Only narrative content is served through RAG. This is the difference between an agent confidently wrong about a price and one that is either correct or explicitly defers.</w:t>
      </w:r>
    </w:p>
    <w:p>
      <w:pPr>
        <w:spacing w:after="100"/>
      </w:pPr>
      <w:r>
        <w:rPr>
          <w:rFonts w:ascii="Calibri" w:cs="Calibri" w:eastAsia="Calibri" w:hAnsi="Calibri"/>
          <w:b/>
          <w:bCs/>
          <w:i w:val="false"/>
          <w:iCs w:val="false"/>
          <w:color w:val="1B2A4A"/>
          <w:sz w:val="19"/>
          <w:szCs w:val="19"/>
        </w:rPr>
        <w:t xml:space="preserve">(c) Pre-dial data quality gate  </w:t>
      </w:r>
      <w:r>
        <w:rPr>
          <w:rFonts w:ascii="Calibri" w:cs="Calibri" w:eastAsia="Calibri" w:hAnsi="Calibri"/>
          <w:b w:val="false"/>
          <w:bCs w:val="false"/>
          <w:i w:val="false"/>
          <w:iCs w:val="false"/>
          <w:color w:val="222222"/>
          <w:sz w:val="19"/>
          <w:szCs w:val="19"/>
        </w:rPr>
        <w:t xml:space="preserve"/>
      </w:r>
    </w:p>
    <w:p>
      <w:pPr>
        <w:spacing w:after="160" w:before="0" w:line="264"/>
        <w:jc w:val="left"/>
      </w:pPr>
      <w:r>
        <w:rPr>
          <w:rFonts w:ascii="Calibri" w:cs="Calibri" w:eastAsia="Calibri" w:hAnsi="Calibri"/>
          <w:b w:val="false"/>
          <w:bCs w:val="false"/>
          <w:i w:val="false"/>
          <w:iCs w:val="false"/>
          <w:color w:val="222222"/>
          <w:sz w:val="19"/>
          <w:szCs w:val="19"/>
        </w:rPr>
        <w:t xml:space="preserve">A deterministic validation stage every lead must pass before a call is placed. No model inference; costs effectively nothing to run; prevents the failure mode most likely to end a pilot early. See Challenge 3.</w:t>
      </w:r>
    </w:p>
    <w:p>
      <w:pPr>
        <w:spacing w:after="100"/>
      </w:pPr>
      <w:r>
        <w:rPr>
          <w:rFonts w:ascii="Calibri" w:cs="Calibri" w:eastAsia="Calibri" w:hAnsi="Calibri"/>
          <w:b/>
          <w:bCs/>
          <w:i w:val="false"/>
          <w:iCs w:val="false"/>
          <w:color w:val="1B2A4A"/>
          <w:sz w:val="19"/>
          <w:szCs w:val="19"/>
        </w:rPr>
        <w:t xml:space="preserve">(d) Latency budget as line items  </w:t>
      </w:r>
      <w:r>
        <w:rPr>
          <w:rFonts w:ascii="Calibri" w:cs="Calibri" w:eastAsia="Calibri" w:hAnsi="Calibri"/>
          <w:b w:val="false"/>
          <w:bCs w:val="false"/>
          <w:i w:val="false"/>
          <w:iCs w:val="false"/>
          <w:color w:val="222222"/>
          <w:sz w:val="19"/>
          <w:szCs w:val="19"/>
        </w:rPr>
        <w:t xml:space="preserve"/>
      </w:r>
    </w:p>
    <w:p>
      <w:pPr>
        <w:spacing w:after="160" w:before="0" w:line="264"/>
        <w:jc w:val="left"/>
      </w:pPr>
      <w:r>
        <w:rPr>
          <w:rFonts w:ascii="Calibri" w:cs="Calibri" w:eastAsia="Calibri" w:hAnsi="Calibri"/>
          <w:b w:val="false"/>
          <w:bCs w:val="false"/>
          <w:i w:val="false"/>
          <w:iCs w:val="false"/>
          <w:color w:val="222222"/>
          <w:sz w:val="19"/>
          <w:szCs w:val="19"/>
        </w:rPr>
        <w:t xml:space="preserve">Latency is managed as individually attributable components with individually attributable fixes, not a single number optimised by intuition. See Challenge 2.</w:t>
      </w:r>
    </w:p>
    <w:p>
      <w:pPr>
        <w:pStyle w:val="Heading2"/>
        <w:spacing w:after="140" w:before="260"/>
      </w:pPr>
      <w:r>
        <w:rPr>
          <w:rFonts w:ascii="Calibri" w:cs="Calibri" w:eastAsia="Calibri" w:hAnsi="Calibri"/>
          <w:b/>
          <w:bCs/>
          <w:i w:val="false"/>
          <w:iCs w:val="false"/>
          <w:color w:val="1B2A4A"/>
          <w:sz w:val="25"/>
          <w:szCs w:val="25"/>
        </w:rPr>
        <w:t xml:space="preserve">2.3 The Eight Core Challenges</w:t>
      </w:r>
    </w:p>
    <w:p>
      <w:pPr>
        <w:pStyle w:val="Heading3"/>
        <w:spacing w:after="100" w:before="180"/>
      </w:pPr>
      <w:r>
        <w:rPr>
          <w:rFonts w:ascii="Calibri" w:cs="Calibri" w:eastAsia="Calibri" w:hAnsi="Calibri"/>
          <w:b/>
          <w:bCs/>
          <w:i w:val="false"/>
          <w:iCs w:val="false"/>
          <w:color w:val="2455A4"/>
          <w:sz w:val="21"/>
          <w:szCs w:val="21"/>
        </w:rPr>
        <w:t xml:space="preserve">Challenge 1 — The Uncanny Valley Problem</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1490"/>
        <w:gridCol w:w="3167"/>
        <w:gridCol w:w="2235"/>
        <w:gridCol w:w="2422"/>
      </w:tblGrid>
      <w:tr>
        <w:trPr>
          <w:tblHeader/>
        </w:trPr>
        <w:tc>
          <w:tcPr>
            <w:tcW w:type="dxa" w:w="149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Risk Level</w:t>
            </w:r>
          </w:p>
        </w:tc>
        <w:tc>
          <w:tcPr>
            <w:tcW w:type="dxa" w:w="3167"/>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Root Cause Category</w:t>
            </w:r>
          </w:p>
        </w:tc>
        <w:tc>
          <w:tcPr>
            <w:tcW w:type="dxa" w:w="2235"/>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Engineering Effort</w:t>
            </w:r>
          </w:p>
        </w:tc>
        <w:tc>
          <w:tcPr>
            <w:tcW w:type="dxa" w:w="2422"/>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Impact on Runtime Cost</w:t>
            </w:r>
          </w:p>
        </w:tc>
      </w:tr>
      <w:tr>
        <w:tc>
          <w:tcPr>
            <w:tcW w:type="dxa" w:w="149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High</w:t>
            </w:r>
          </w:p>
        </w:tc>
        <w:tc>
          <w:tcPr>
            <w:tcW w:type="dxa" w:w="316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Conversation design</w:t>
            </w:r>
          </w:p>
        </w:tc>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Low</w:t>
            </w:r>
          </w:p>
        </w:tc>
        <w:tc>
          <w:tcPr>
            <w:tcW w:type="dxa" w:w="242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Neutral — no added inference</w:t>
            </w:r>
          </w:p>
        </w:tc>
      </w:tr>
    </w:tbl>
    <w:p>
      <w:pPr>
        <w:spacing w:after="100"/>
      </w:pPr>
      <w:r>
        <w:rPr>
          <w:rFonts w:ascii="Calibri" w:cs="Calibri" w:eastAsia="Calibri" w:hAnsi="Calibri"/>
          <w:b/>
          <w:bCs/>
          <w:i w:val="false"/>
          <w:iCs w:val="false"/>
          <w:color w:val="1B2A4A"/>
          <w:sz w:val="19"/>
          <w:szCs w:val="19"/>
        </w:rPr>
        <w:t xml:space="preserve">The Challenge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Callers disconnect on AI voice calls, but the reason is more specific than a general preference for humans. Voices trained toward broadcast-quality delivery — perfect enunciation, flawless grammar, no hesitation — measurably reduce trust rather than building it. A founder who tested AI calling described the first batch as a disaster precisely because the voice was too clear and too perfect; recipients identified it as synthetic immediately. The failure is compounded when the agent cannot switch naturally between Hindi and English within a sentence, which is how most NCR buyers actually speak. The moment the caller identifies the voice as artificial, their defences go up and the remainder of the call is spent managing suspicion rather than qualifying the lead.</w:t>
      </w:r>
    </w:p>
    <w:p>
      <w:pPr>
        <w:spacing w:after="100"/>
      </w:pPr>
      <w:r>
        <w:rPr>
          <w:rFonts w:ascii="Calibri" w:cs="Calibri" w:eastAsia="Calibri" w:hAnsi="Calibri"/>
          <w:b/>
          <w:bCs/>
          <w:i w:val="false"/>
          <w:iCs w:val="false"/>
          <w:color w:val="1B2A4A"/>
          <w:sz w:val="19"/>
          <w:szCs w:val="19"/>
        </w:rPr>
        <w:t xml:space="preserve">Why It Matters  </w:t>
      </w:r>
      <w:r>
        <w:rPr>
          <w:rFonts w:ascii="Calibri" w:cs="Calibri" w:eastAsia="Calibri" w:hAnsi="Calibri"/>
          <w:b w:val="false"/>
          <w:bCs w:val="false"/>
          <w:i w:val="false"/>
          <w:iCs w:val="false"/>
          <w:color w:val="222222"/>
          <w:sz w:val="19"/>
          <w:szCs w:val="19"/>
        </w:rPr>
        <w:t xml:space="preserve"/>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This is a first-impression failure, so it caps the performance of everything downstream — a lead lost in the first ten seconds never reaches qualification, scheduling or follow-up.</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It is not fixable by buying a better voice model. Improving audio fidelity moves us further into the uncanny valley, not out of it.</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It is directly measurable through early-call hang-up rate, which makes it one of the few challenges here with a fast feedback loop.</w:t>
      </w:r>
    </w:p>
    <w:p>
      <w:pPr>
        <w:spacing w:after="100"/>
      </w:pPr>
      <w:r>
        <w:rPr>
          <w:rFonts w:ascii="Calibri" w:cs="Calibri" w:eastAsia="Calibri" w:hAnsi="Calibri"/>
          <w:b/>
          <w:bCs/>
          <w:i w:val="false"/>
          <w:iCs w:val="false"/>
          <w:color w:val="1B2A4A"/>
          <w:sz w:val="19"/>
          <w:szCs w:val="19"/>
        </w:rPr>
        <w:t xml:space="preserve">Proposed Solution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Engineer imperfection deliberately. The objective is not the highest-quality voice available but the most natural one, which means introducing the specific irregularities that human speech contains and that synthetic speech lacks.</w:t>
      </w:r>
    </w:p>
    <w:p>
      <w:pPr>
        <w:spacing w:after="100"/>
      </w:pPr>
      <w:r>
        <w:rPr>
          <w:rFonts w:ascii="Calibri" w:cs="Calibri" w:eastAsia="Calibri" w:hAnsi="Calibri"/>
          <w:b/>
          <w:bCs/>
          <w:i w:val="false"/>
          <w:iCs w:val="false"/>
          <w:color w:val="1B2A4A"/>
          <w:sz w:val="19"/>
          <w:szCs w:val="19"/>
        </w:rPr>
        <w:t xml:space="preserve">Key Implementation Points  </w:t>
      </w:r>
      <w:r>
        <w:rPr>
          <w:rFonts w:ascii="Calibri" w:cs="Calibri" w:eastAsia="Calibri" w:hAnsi="Calibri"/>
          <w:b w:val="false"/>
          <w:bCs w:val="false"/>
          <w:i w:val="false"/>
          <w:iCs w:val="false"/>
          <w:color w:val="222222"/>
          <w:sz w:val="19"/>
          <w:szCs w:val="19"/>
        </w:rPr>
        <w:t xml:space="preserve"/>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Filler injection. Insert conversational fillers ("hmm", "achha", "ek second") at points where the system is waiting on a model response — humanises delivery and covers real processing latency at zero additional cost.</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Micro-pauses and breath. Short pauses at clause boundaries and an audible breath at sentence breaks. Configuration-level changes, not model changes.</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Full barge-in support. When the caller interrupts, TTS playback must stop within roughly 200ms. An agent that talks over an interrupting caller is identified as a machine faster than one with an imperfect voice.</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Native code-switching. Hindi-English mixing handled within a single utterance by a voice designed for Indian prosody, not by switching voices or languages mid-call.</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Test on real network conditions. All voice validation runs over actual Jio and Airtel cellular calls at 8kHz codec quality. WiFi and browser-based demos systematically overstate quality.</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Tone adaptation. Adjust pace and register based on detected caller state — a rushed-sounding caller gets a shorter script path.</w:t>
      </w:r>
    </w:p>
    <w:p>
      <w:pPr>
        <w:pBdr>
          <w:top w:val="single" w:color="2455A4" w:sz="6"/>
          <w:bottom w:val="single" w:color="2455A4" w:sz="6"/>
          <w:left w:val="single" w:color="2455A4" w:sz="6"/>
          <w:right w:val="single" w:color="2455A4" w:sz="6"/>
        </w:pBdr>
        <w:shd w:fill="E9EFF9" w:val="clear"/>
        <w:spacing w:after="160" w:before="100"/>
      </w:pPr>
      <w:r>
        <w:rPr>
          <w:rFonts w:ascii="Calibri" w:cs="Calibri" w:eastAsia="Calibri" w:hAnsi="Calibri"/>
          <w:b/>
          <w:bCs/>
          <w:i w:val="false"/>
          <w:iCs w:val="false"/>
          <w:color w:val="1B2A4A"/>
          <w:sz w:val="19"/>
          <w:szCs w:val="19"/>
        </w:rPr>
        <w:t xml:space="preserve">Verdict:  </w:t>
      </w:r>
      <w:r>
        <w:rPr>
          <w:rFonts w:ascii="Calibri" w:cs="Calibri" w:eastAsia="Calibri" w:hAnsi="Calibri"/>
          <w:b w:val="false"/>
          <w:bCs w:val="false"/>
          <w:i w:val="false"/>
          <w:iCs w:val="false"/>
          <w:color w:val="222222"/>
          <w:sz w:val="19"/>
          <w:szCs w:val="19"/>
        </w:rPr>
        <w:t xml:space="preserve">Do not chase perfect voice quality; chase natural voice quality. Solved through conversation design and configuration, not model spend. Effort is low and adds nothing to per-minute cost — filler audio is pre-rendered and served from cache.</w:t>
      </w:r>
    </w:p>
    <w:p>
      <w:pPr>
        <w:pStyle w:val="Heading3"/>
        <w:spacing w:after="100" w:before="180"/>
      </w:pPr>
      <w:r>
        <w:rPr>
          <w:rFonts w:ascii="Calibri" w:cs="Calibri" w:eastAsia="Calibri" w:hAnsi="Calibri"/>
          <w:b/>
          <w:bCs/>
          <w:i w:val="false"/>
          <w:iCs w:val="false"/>
          <w:color w:val="2455A4"/>
          <w:sz w:val="21"/>
          <w:szCs w:val="21"/>
        </w:rPr>
        <w:t xml:space="preserve">Challenge 2 — Latency on Indian Networks</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1490"/>
        <w:gridCol w:w="3167"/>
        <w:gridCol w:w="2235"/>
        <w:gridCol w:w="2422"/>
      </w:tblGrid>
      <w:tr>
        <w:trPr>
          <w:tblHeader/>
        </w:trPr>
        <w:tc>
          <w:tcPr>
            <w:tcW w:type="dxa" w:w="149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Risk Level</w:t>
            </w:r>
          </w:p>
        </w:tc>
        <w:tc>
          <w:tcPr>
            <w:tcW w:type="dxa" w:w="3167"/>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Root Cause Category</w:t>
            </w:r>
          </w:p>
        </w:tc>
        <w:tc>
          <w:tcPr>
            <w:tcW w:type="dxa" w:w="2235"/>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Engineering Effort</w:t>
            </w:r>
          </w:p>
        </w:tc>
        <w:tc>
          <w:tcPr>
            <w:tcW w:type="dxa" w:w="2422"/>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Impact on Runtime Cost</w:t>
            </w:r>
          </w:p>
        </w:tc>
      </w:tr>
      <w:tr>
        <w:tc>
          <w:tcPr>
            <w:tcW w:type="dxa" w:w="149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High</w:t>
            </w:r>
          </w:p>
        </w:tc>
        <w:tc>
          <w:tcPr>
            <w:tcW w:type="dxa" w:w="316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Infrastructure and pipeline design</w:t>
            </w:r>
          </w:p>
        </w:tc>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Medium</w:t>
            </w:r>
          </w:p>
        </w:tc>
        <w:tc>
          <w:tcPr>
            <w:tcW w:type="dxa" w:w="242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Positive — reduces cost</w:t>
            </w:r>
          </w:p>
        </w:tc>
      </w:tr>
    </w:tbl>
    <w:p>
      <w:pPr>
        <w:spacing w:after="100"/>
      </w:pPr>
      <w:r>
        <w:rPr>
          <w:rFonts w:ascii="Calibri" w:cs="Calibri" w:eastAsia="Calibri" w:hAnsi="Calibri"/>
          <w:b/>
          <w:bCs/>
          <w:i w:val="false"/>
          <w:iCs w:val="false"/>
          <w:color w:val="1B2A4A"/>
          <w:sz w:val="19"/>
          <w:szCs w:val="19"/>
        </w:rPr>
        <w:t xml:space="preserve">The Challenge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The voice pipeline runs STT, then LLM inference, then TTS, and each stage contributes delay. A total of around 800ms is acceptable on US broadband. On an Indian cellular connection with codec compression, that same 800ms becomes roughly 1.5 to 2 seconds — past the point at which natural conversation breaks down. Callers interpret silence as a dropped call, start speaking over the agent, or hang up. A demo with an excellent voice and a two-second gap after every sentence will fail in production regardless of how good the underlying model is. India is not a smaller version of the US market; it is a materially harder deployment environment.</w:t>
      </w:r>
    </w:p>
    <w:p>
      <w:pPr>
        <w:spacing w:after="100"/>
      </w:pPr>
      <w:r>
        <w:rPr>
          <w:rFonts w:ascii="Calibri" w:cs="Calibri" w:eastAsia="Calibri" w:hAnsi="Calibri"/>
          <w:b/>
          <w:bCs/>
          <w:i w:val="false"/>
          <w:iCs w:val="false"/>
          <w:color w:val="1B2A4A"/>
          <w:sz w:val="19"/>
          <w:szCs w:val="19"/>
        </w:rPr>
        <w:t xml:space="preserve">Why It Matters  </w:t>
      </w:r>
      <w:r>
        <w:rPr>
          <w:rFonts w:ascii="Calibri" w:cs="Calibri" w:eastAsia="Calibri" w:hAnsi="Calibri"/>
          <w:b w:val="false"/>
          <w:bCs w:val="false"/>
          <w:i w:val="false"/>
          <w:iCs w:val="false"/>
          <w:color w:val="222222"/>
          <w:sz w:val="19"/>
          <w:szCs w:val="19"/>
        </w:rPr>
        <w:t xml:space="preserve"/>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Latency is the failure mode that is easiest to miss in development and impossible to miss in production, because development happens on good networks.</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It interacts with Challenge 1 — awkward silence is one of the strongest signals that the caller is speaking to a machine.</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Several of the fixes reduce cost as well as latency, so this work pays for itself rather than competing with the cost constraint.</w:t>
      </w:r>
    </w:p>
    <w:p>
      <w:pPr>
        <w:spacing w:after="100"/>
      </w:pPr>
      <w:r>
        <w:rPr>
          <w:rFonts w:ascii="Calibri" w:cs="Calibri" w:eastAsia="Calibri" w:hAnsi="Calibri"/>
          <w:b/>
          <w:bCs/>
          <w:i w:val="false"/>
          <w:iCs w:val="false"/>
          <w:color w:val="1B2A4A"/>
          <w:sz w:val="19"/>
          <w:szCs w:val="19"/>
        </w:rPr>
        <w:t xml:space="preserve">Proposed Solution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Stop treating latency as a single number to be reduced and start treating it as a budget with named line items, each with its own owner and its own lever. Target: sub-500ms end-to-end.</w:t>
      </w:r>
    </w:p>
    <w:p>
      <w:pPr>
        <w:spacing w:after="100"/>
      </w:pPr>
      <w:r>
        <w:rPr>
          <w:rFonts w:ascii="Calibri" w:cs="Calibri" w:eastAsia="Calibri" w:hAnsi="Calibri"/>
          <w:b/>
          <w:bCs/>
          <w:i w:val="false"/>
          <w:iCs w:val="false"/>
          <w:color w:val="1B2A4A"/>
          <w:sz w:val="19"/>
          <w:szCs w:val="19"/>
        </w:rPr>
        <w:t xml:space="preserve">Latency budget by pipeline stage (target: sub-500ms end-to-end)  </w:t>
      </w:r>
      <w:r>
        <w:rPr>
          <w:rFonts w:ascii="Calibri" w:cs="Calibri" w:eastAsia="Calibri" w:hAnsi="Calibri"/>
          <w:b w:val="false"/>
          <w:bCs w:val="false"/>
          <w:i w:val="false"/>
          <w:iCs w:val="false"/>
          <w:color w:val="222222"/>
          <w:sz w:val="19"/>
          <w:szCs w:val="19"/>
        </w:rPr>
        <w:t xml:space="preserve"/>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2235"/>
        <w:gridCol w:w="3726"/>
        <w:gridCol w:w="3353"/>
      </w:tblGrid>
      <w:tr>
        <w:trPr>
          <w:tblHeader/>
        </w:trPr>
        <w:tc>
          <w:tcPr>
            <w:tcW w:type="dxa" w:w="2235"/>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Pipeline Component</w:t>
            </w:r>
          </w:p>
        </w:tc>
        <w:tc>
          <w:tcPr>
            <w:tcW w:type="dxa" w:w="3726"/>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Why It Costs Time</w:t>
            </w:r>
          </w:p>
        </w:tc>
        <w:tc>
          <w:tcPr>
            <w:tcW w:type="dxa" w:w="3353"/>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Lever</w:t>
            </w:r>
          </w:p>
        </w:tc>
      </w:tr>
      <w:tr>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Endpointing / voice activity detection</w:t>
            </w:r>
          </w:p>
        </w:tc>
        <w:tc>
          <w:tcPr>
            <w:tcW w:type="dxa" w:w="3726"/>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 fixed silence timeout waits the full duration on every turn, whether or not the caller has finished</w:t>
            </w:r>
          </w:p>
        </w:tc>
        <w:tc>
          <w:tcPr>
            <w:tcW w:type="dxa" w:w="335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Semantic turn detection instead of a fixed timer</w:t>
            </w:r>
          </w:p>
        </w:tc>
      </w:tr>
      <w:tr>
        <w:tc>
          <w:tcPr>
            <w:tcW w:type="dxa" w:w="223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STT transcription</w:t>
            </w:r>
          </w:p>
        </w:tc>
        <w:tc>
          <w:tcPr>
            <w:tcW w:type="dxa" w:w="3726"/>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Batch processing waits for the utterance to complete before starting</w:t>
            </w:r>
          </w:p>
        </w:tc>
        <w:tc>
          <w:tcPr>
            <w:tcW w:type="dxa" w:w="335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Streaming STT with partial transcripts</w:t>
            </w:r>
          </w:p>
        </w:tc>
      </w:tr>
      <w:tr>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LLM time-to-first-token</w:t>
            </w:r>
          </w:p>
        </w:tc>
        <w:tc>
          <w:tcPr>
            <w:tcW w:type="dxa" w:w="3726"/>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Long system prompts and large retrieved context must be processed before generation begins</w:t>
            </w:r>
          </w:p>
        </w:tc>
        <w:tc>
          <w:tcPr>
            <w:tcW w:type="dxa" w:w="335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Prompt caching on system prompt + KB block; retrieve top-2 chunks only</w:t>
            </w:r>
          </w:p>
        </w:tc>
      </w:tr>
      <w:tr>
        <w:tc>
          <w:tcPr>
            <w:tcW w:type="dxa" w:w="223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TTS time-to-first-byte</w:t>
            </w:r>
          </w:p>
        </w:tc>
        <w:tc>
          <w:tcPr>
            <w:tcW w:type="dxa" w:w="3726"/>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Waiting for the complete model response before synthesis begins</w:t>
            </w:r>
          </w:p>
        </w:tc>
        <w:tc>
          <w:tcPr>
            <w:tcW w:type="dxa" w:w="335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Begin synthesis at the first sentence boundary</w:t>
            </w:r>
          </w:p>
        </w:tc>
      </w:tr>
      <w:tr>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Network transit</w:t>
            </w:r>
          </w:p>
        </w:tc>
        <w:tc>
          <w:tcPr>
            <w:tcW w:type="dxa" w:w="3726"/>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Cross-region hops between telephony, model and application layers</w:t>
            </w:r>
          </w:p>
        </w:tc>
        <w:tc>
          <w:tcPr>
            <w:tcW w:type="dxa" w:w="335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Co-locate everything in the Mumbai region; keep the media path domestic</w:t>
            </w:r>
          </w:p>
        </w:tc>
      </w:tr>
      <w:tr>
        <w:tc>
          <w:tcPr>
            <w:tcW w:type="dxa" w:w="223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Perceived delay</w:t>
            </w:r>
          </w:p>
        </w:tc>
        <w:tc>
          <w:tcPr>
            <w:tcW w:type="dxa" w:w="3726"/>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Any residual gap reads to the caller as a dropped call</w:t>
            </w:r>
          </w:p>
        </w:tc>
        <w:tc>
          <w:tcPr>
            <w:tcW w:type="dxa" w:w="335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Inject a filler on escalation to the frontier model — buys roughly 800ms of real budget</w:t>
            </w:r>
          </w:p>
        </w:tc>
      </w:tr>
    </w:tbl>
    <w:p>
      <w:pPr>
        <w:spacing w:after="100"/>
      </w:pPr>
      <w:r>
        <w:rPr>
          <w:rFonts w:ascii="Calibri" w:cs="Calibri" w:eastAsia="Calibri" w:hAnsi="Calibri"/>
          <w:b/>
          <w:bCs/>
          <w:i w:val="false"/>
          <w:iCs w:val="false"/>
          <w:color w:val="1B2A4A"/>
          <w:sz w:val="19"/>
          <w:szCs w:val="19"/>
        </w:rPr>
        <w:t xml:space="preserve">Key Implementation Points  </w:t>
      </w:r>
      <w:r>
        <w:rPr>
          <w:rFonts w:ascii="Calibri" w:cs="Calibri" w:eastAsia="Calibri" w:hAnsi="Calibri"/>
          <w:b w:val="false"/>
          <w:bCs w:val="false"/>
          <w:i w:val="false"/>
          <w:iCs w:val="false"/>
          <w:color w:val="222222"/>
          <w:sz w:val="19"/>
          <w:szCs w:val="19"/>
        </w:rPr>
        <w:t xml:space="preserve"/>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Semantic endpointing. Usually the largest hidden contributor. A fixed 700ms silence timeout adds 700ms to every turn; turn-detection based on semantic completeness recovers most of that.</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Streaming, not batch. STT must emit partial transcripts continuously so downstream stages can begin work before the caller finishes speaking.</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Prompt caching. Cache the system prompt and project knowledge block — reduces time-to-first-token and cuts input token cost on every turn (a latency fix and a cost fix in the same change).</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Retrieve narrowly. Return the top two retrieved chunks, not the top ten. Retrieval breadth drives both prompt size and inference latency, and adds little accuracy on well-structured project data.</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Start TTS early. Begin synthesis at the first sentence boundary rather than waiting for the full model completion.</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Keep the media path in India. Host in the Mumbai region; audio must not leave the country mid-call.</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Buy perceived time. Where a turn genuinely requires the frontier model, play a filler while it runs — real processing budget at no cost, invisible to the caller.</w:t>
      </w:r>
    </w:p>
    <w:p>
      <w:pPr>
        <w:pBdr>
          <w:top w:val="single" w:color="2455A4" w:sz="6"/>
          <w:bottom w:val="single" w:color="2455A4" w:sz="6"/>
          <w:left w:val="single" w:color="2455A4" w:sz="6"/>
          <w:right w:val="single" w:color="2455A4" w:sz="6"/>
        </w:pBdr>
        <w:shd w:fill="E9EFF9" w:val="clear"/>
        <w:spacing w:after="160" w:before="100"/>
      </w:pPr>
      <w:r>
        <w:rPr>
          <w:rFonts w:ascii="Calibri" w:cs="Calibri" w:eastAsia="Calibri" w:hAnsi="Calibri"/>
          <w:b/>
          <w:bCs/>
          <w:i w:val="false"/>
          <w:iCs w:val="false"/>
          <w:color w:val="1B2A4A"/>
          <w:sz w:val="19"/>
          <w:szCs w:val="19"/>
        </w:rPr>
        <w:t xml:space="preserve">Verdict:  </w:t>
      </w:r>
      <w:r>
        <w:rPr>
          <w:rFonts w:ascii="Calibri" w:cs="Calibri" w:eastAsia="Calibri" w:hAnsi="Calibri"/>
          <w:b w:val="false"/>
          <w:bCs w:val="false"/>
          <w:i w:val="false"/>
          <w:iCs w:val="false"/>
          <w:color w:val="222222"/>
          <w:sz w:val="19"/>
          <w:szCs w:val="19"/>
        </w:rPr>
        <w:t xml:space="preserve">Latency is an engineering priority, not a polish item, and must be budgeted line by line. Prompt caching and narrow retrieval reduce cost while reducing latency — this is one challenge where the effective solution and the cheap solution are the same solution.</w:t>
      </w:r>
    </w:p>
    <w:p>
      <w:pPr>
        <w:pStyle w:val="Heading3"/>
        <w:spacing w:after="100" w:before="180"/>
      </w:pPr>
      <w:r>
        <w:rPr>
          <w:rFonts w:ascii="Calibri" w:cs="Calibri" w:eastAsia="Calibri" w:hAnsi="Calibri"/>
          <w:b/>
          <w:bCs/>
          <w:i w:val="false"/>
          <w:iCs w:val="false"/>
          <w:color w:val="2455A4"/>
          <w:sz w:val="21"/>
          <w:szCs w:val="21"/>
        </w:rPr>
        <w:t xml:space="preserve">Challenge 3 — Dirty Data and CRM Chaos</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1490"/>
        <w:gridCol w:w="3167"/>
        <w:gridCol w:w="2235"/>
        <w:gridCol w:w="2422"/>
      </w:tblGrid>
      <w:tr>
        <w:trPr>
          <w:tblHeader/>
        </w:trPr>
        <w:tc>
          <w:tcPr>
            <w:tcW w:type="dxa" w:w="149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Risk Level</w:t>
            </w:r>
          </w:p>
        </w:tc>
        <w:tc>
          <w:tcPr>
            <w:tcW w:type="dxa" w:w="3167"/>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Root Cause Category</w:t>
            </w:r>
          </w:p>
        </w:tc>
        <w:tc>
          <w:tcPr>
            <w:tcW w:type="dxa" w:w="2235"/>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Engineering Effort</w:t>
            </w:r>
          </w:p>
        </w:tc>
        <w:tc>
          <w:tcPr>
            <w:tcW w:type="dxa" w:w="2422"/>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Impact on Runtime Cost</w:t>
            </w:r>
          </w:p>
        </w:tc>
      </w:tr>
      <w:tr>
        <w:tc>
          <w:tcPr>
            <w:tcW w:type="dxa" w:w="149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Critical</w:t>
            </w:r>
          </w:p>
        </w:tc>
        <w:tc>
          <w:tcPr>
            <w:tcW w:type="dxa" w:w="316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Data quality</w:t>
            </w:r>
          </w:p>
        </w:tc>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Low</w:t>
            </w:r>
          </w:p>
        </w:tc>
        <w:tc>
          <w:tcPr>
            <w:tcW w:type="dxa" w:w="242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Positive — reduces wasted minutes</w:t>
            </w:r>
          </w:p>
        </w:tc>
      </w:tr>
    </w:tbl>
    <w:p>
      <w:pPr>
        <w:spacing w:after="100"/>
      </w:pPr>
      <w:r>
        <w:rPr>
          <w:rFonts w:ascii="Calibri" w:cs="Calibri" w:eastAsia="Calibri" w:hAnsi="Calibri"/>
          <w:b/>
          <w:bCs/>
          <w:i w:val="false"/>
          <w:iCs w:val="false"/>
          <w:color w:val="1B2A4A"/>
          <w:sz w:val="19"/>
          <w:szCs w:val="19"/>
        </w:rPr>
        <w:t xml:space="preserve">The Challenge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This challenge receives less attention than voice quality and ends more deployments. AI agents are only as good as the records they are given. In NCR real estate the data condition is consistently poor: phone numbers are wrong, the same buyer appears three times from three portals, and lead status has not been updated in weeks. The resulting failure is highly visible and highly damaging. Our agent calls a lead that was sold last month, or calls the same person three times in a day from three different source records. The developer does not conclude that their CRM is untidy — they conclude that our product is unreliable, and the pilot ends.</w:t>
      </w:r>
    </w:p>
    <w:p>
      <w:pPr>
        <w:spacing w:after="100"/>
      </w:pPr>
      <w:r>
        <w:rPr>
          <w:rFonts w:ascii="Calibri" w:cs="Calibri" w:eastAsia="Calibri" w:hAnsi="Calibri"/>
          <w:b/>
          <w:bCs/>
          <w:i w:val="false"/>
          <w:iCs w:val="false"/>
          <w:color w:val="1B2A4A"/>
          <w:sz w:val="19"/>
          <w:szCs w:val="19"/>
        </w:rPr>
        <w:t xml:space="preserve">Why It Matters  </w:t>
      </w:r>
      <w:r>
        <w:rPr>
          <w:rFonts w:ascii="Calibri" w:cs="Calibri" w:eastAsia="Calibri" w:hAnsi="Calibri"/>
          <w:b w:val="false"/>
          <w:bCs w:val="false"/>
          <w:i w:val="false"/>
          <w:iCs w:val="false"/>
          <w:color w:val="222222"/>
          <w:sz w:val="19"/>
          <w:szCs w:val="19"/>
        </w:rPr>
        <w:t xml:space="preserve"/>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It converts an internal data problem into an external product-quality perception, which is the worst possible trade.</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It wastes call minutes directly — every dial to a dead or duplicate number is telephony and STT spend with zero possible return.</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It is entirely preventable with deterministic code, which makes it the highest return-on-effort item in this document.</w:t>
      </w:r>
    </w:p>
    <w:p>
      <w:pPr>
        <w:spacing w:after="100"/>
      </w:pPr>
      <w:r>
        <w:rPr>
          <w:rFonts w:ascii="Calibri" w:cs="Calibri" w:eastAsia="Calibri" w:hAnsi="Calibri"/>
          <w:b/>
          <w:bCs/>
          <w:i w:val="false"/>
          <w:iCs w:val="false"/>
          <w:color w:val="1B2A4A"/>
          <w:sz w:val="19"/>
          <w:szCs w:val="19"/>
        </w:rPr>
        <w:t xml:space="preserve">Proposed Solution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Insert a mandatory data quality gate before the dialler. This runs as pure application logic with no model inference, so its marginal cost is effectively zero, and it must be a hard gate — no lead is dialled without a passing verdict.</w:t>
      </w:r>
    </w:p>
    <w:p>
      <w:pPr>
        <w:spacing w:after="100"/>
      </w:pPr>
      <w:r>
        <w:rPr>
          <w:rFonts w:ascii="Calibri" w:cs="Calibri" w:eastAsia="Calibri" w:hAnsi="Calibri"/>
          <w:b/>
          <w:bCs/>
          <w:i w:val="false"/>
          <w:iCs w:val="false"/>
          <w:color w:val="1B2A4A"/>
          <w:sz w:val="19"/>
          <w:szCs w:val="19"/>
        </w:rPr>
        <w:t xml:space="preserve">Key Implementation Points  </w:t>
      </w:r>
      <w:r>
        <w:rPr>
          <w:rFonts w:ascii="Calibri" w:cs="Calibri" w:eastAsia="Calibri" w:hAnsi="Calibri"/>
          <w:b w:val="false"/>
          <w:bCs w:val="false"/>
          <w:i w:val="false"/>
          <w:iCs w:val="false"/>
          <w:color w:val="222222"/>
          <w:sz w:val="19"/>
          <w:szCs w:val="19"/>
        </w:rPr>
        <w:t xml:space="preserve"/>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Normalise and validate. Convert every number to E.164 format and validate against Indian numbering series before anything else runs.</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Check reachability before dialling. A network lookup filters dead and disconnected lines before we spend call minutes on them — this single step recovers its own cost.</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Deduplicate in cost order. Run exact phone-hash matching first because it is free and catches the majority of duplicates. Apply fuzzy name/email matching only to the residual set.</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Reconcile status with the CRM. Pull current lead status immediately before dialling; maintain a suppression list covering sold, lost and recently-contacted records.</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Scrub against DND. Run the registry check on every batch and retain timestamped evidence of the check having been performed.</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Log every verdict. Write the gate decision and reasoning to the decision trace store. When a developer disputes a call, we answer with a record rather than an apology.</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Report quality back to the customer. Surface rejection statistics to the developer — reframes their data problem as our diagnostic capability and creates a reason for them to fix it.</w:t>
      </w:r>
    </w:p>
    <w:p>
      <w:pPr>
        <w:pBdr>
          <w:top w:val="single" w:color="2455A4" w:sz="6"/>
          <w:bottom w:val="single" w:color="2455A4" w:sz="6"/>
          <w:left w:val="single" w:color="2455A4" w:sz="6"/>
          <w:right w:val="single" w:color="2455A4" w:sz="6"/>
        </w:pBdr>
        <w:shd w:fill="E9EFF9" w:val="clear"/>
        <w:spacing w:after="160" w:before="100"/>
      </w:pPr>
      <w:r>
        <w:rPr>
          <w:rFonts w:ascii="Calibri" w:cs="Calibri" w:eastAsia="Calibri" w:hAnsi="Calibri"/>
          <w:b/>
          <w:bCs/>
          <w:i w:val="false"/>
          <w:iCs w:val="false"/>
          <w:color w:val="1B2A4A"/>
          <w:sz w:val="19"/>
          <w:szCs w:val="19"/>
        </w:rPr>
        <w:t xml:space="preserve">Verdict:  </w:t>
      </w:r>
      <w:r>
        <w:rPr>
          <w:rFonts w:ascii="Calibri" w:cs="Calibri" w:eastAsia="Calibri" w:hAnsi="Calibri"/>
          <w:b w:val="false"/>
          <w:bCs w:val="false"/>
          <w:i w:val="false"/>
          <w:iCs w:val="false"/>
          <w:color w:val="222222"/>
          <w:sz w:val="19"/>
          <w:szCs w:val="19"/>
        </w:rPr>
        <w:t xml:space="preserve">This is the lowest-cost and highest-return item in this document. It is unglamorous, requires no model spend, and prevents the single most common cause of pilot failure. It should be built first.</w:t>
      </w:r>
    </w:p>
    <w:p>
      <w:pPr>
        <w:pStyle w:val="Heading3"/>
        <w:spacing w:after="100" w:before="180"/>
      </w:pPr>
      <w:r>
        <w:rPr>
          <w:rFonts w:ascii="Calibri" w:cs="Calibri" w:eastAsia="Calibri" w:hAnsi="Calibri"/>
          <w:b/>
          <w:bCs/>
          <w:i w:val="false"/>
          <w:iCs w:val="false"/>
          <w:color w:val="2455A4"/>
          <w:sz w:val="21"/>
          <w:szCs w:val="21"/>
        </w:rPr>
        <w:t xml:space="preserve">Challenge 4 — Tightening Regulation</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1490"/>
        <w:gridCol w:w="3167"/>
        <w:gridCol w:w="2235"/>
        <w:gridCol w:w="2422"/>
      </w:tblGrid>
      <w:tr>
        <w:trPr>
          <w:tblHeader/>
        </w:trPr>
        <w:tc>
          <w:tcPr>
            <w:tcW w:type="dxa" w:w="149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Risk Level</w:t>
            </w:r>
          </w:p>
        </w:tc>
        <w:tc>
          <w:tcPr>
            <w:tcW w:type="dxa" w:w="3167"/>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Root Cause Category</w:t>
            </w:r>
          </w:p>
        </w:tc>
        <w:tc>
          <w:tcPr>
            <w:tcW w:type="dxa" w:w="2235"/>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Engineering Effort</w:t>
            </w:r>
          </w:p>
        </w:tc>
        <w:tc>
          <w:tcPr>
            <w:tcW w:type="dxa" w:w="2422"/>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Impact on Runtime Cost</w:t>
            </w:r>
          </w:p>
        </w:tc>
      </w:tr>
      <w:tr>
        <w:tc>
          <w:tcPr>
            <w:tcW w:type="dxa" w:w="149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High</w:t>
            </w:r>
          </w:p>
        </w:tc>
        <w:tc>
          <w:tcPr>
            <w:tcW w:type="dxa" w:w="316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Compliance and positioning</w:t>
            </w:r>
          </w:p>
        </w:tc>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Low</w:t>
            </w:r>
          </w:p>
        </w:tc>
        <w:tc>
          <w:tcPr>
            <w:tcW w:type="dxa" w:w="242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Neutral</w:t>
            </w:r>
          </w:p>
        </w:tc>
      </w:tr>
    </w:tbl>
    <w:p>
      <w:pPr>
        <w:spacing w:after="100"/>
      </w:pPr>
      <w:r>
        <w:rPr>
          <w:rFonts w:ascii="Calibri" w:cs="Calibri" w:eastAsia="Calibri" w:hAnsi="Calibri"/>
          <w:b/>
          <w:bCs/>
          <w:i w:val="false"/>
          <w:iCs w:val="false"/>
          <w:color w:val="1B2A4A"/>
          <w:sz w:val="19"/>
          <w:szCs w:val="19"/>
        </w:rPr>
        <w:t xml:space="preserve">The Challenge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In 2025 TRAI strengthened anti-spam regulation — tighter rules for telemarketers, extended complaint windows, greater oversight of automated dialling. Those measures verify the origin of a call but do not tell the consumer whether they are speaking to a person or a machine. India's emerging AI governance framework places growing weight on transparency, disclosure and informed consent where AI interacts directly with consumers. The direction of travel is clear: mandatory disclosure that the caller is an AI system. If that becomes law, any product positioned on sounding indistinguishable from a human loses its core claim overnight.</w:t>
      </w:r>
    </w:p>
    <w:p>
      <w:pPr>
        <w:spacing w:after="100"/>
      </w:pPr>
      <w:r>
        <w:rPr>
          <w:rFonts w:ascii="Calibri" w:cs="Calibri" w:eastAsia="Calibri" w:hAnsi="Calibri"/>
          <w:b/>
          <w:bCs/>
          <w:i w:val="false"/>
          <w:iCs w:val="false"/>
          <w:color w:val="1B2A4A"/>
          <w:sz w:val="19"/>
          <w:szCs w:val="19"/>
        </w:rPr>
        <w:t xml:space="preserve">Why It Matters  </w:t>
      </w:r>
      <w:r>
        <w:rPr>
          <w:rFonts w:ascii="Calibri" w:cs="Calibri" w:eastAsia="Calibri" w:hAnsi="Calibri"/>
          <w:b w:val="false"/>
          <w:bCs w:val="false"/>
          <w:i w:val="false"/>
          <w:iCs w:val="false"/>
          <w:color w:val="222222"/>
          <w:sz w:val="19"/>
          <w:szCs w:val="19"/>
        </w:rPr>
        <w:t xml:space="preserve"/>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It is a positioning risk before it is a compliance risk. A product whose value depends on concealment is one regulation away from being unsellable.</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Enterprise developers will begin asking about AI disclosure and data handling during procurement, ahead of any legal requirement. Being ready is a sales advantage.</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Retrofitting consent and audit trails into a live system is significantly more expensive than building them in now.</w:t>
      </w:r>
    </w:p>
    <w:p>
      <w:pPr>
        <w:spacing w:after="100"/>
      </w:pPr>
      <w:r>
        <w:rPr>
          <w:rFonts w:ascii="Calibri" w:cs="Calibri" w:eastAsia="Calibri" w:hAnsi="Calibri"/>
          <w:b/>
          <w:bCs/>
          <w:i w:val="false"/>
          <w:iCs w:val="false"/>
          <w:color w:val="1B2A4A"/>
          <w:sz w:val="19"/>
          <w:szCs w:val="19"/>
        </w:rPr>
        <w:t xml:space="preserve">Proposed Solution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Build disclosure in from the first call and treat it as a trust-building feature rather than a compliance tax. An agent that announces itself and then demonstrates precise knowledge of the project generates more confidence than one caught pretending.</w:t>
      </w:r>
    </w:p>
    <w:p>
      <w:pPr>
        <w:spacing w:after="100"/>
      </w:pPr>
      <w:r>
        <w:rPr>
          <w:rFonts w:ascii="Calibri" w:cs="Calibri" w:eastAsia="Calibri" w:hAnsi="Calibri"/>
          <w:b/>
          <w:bCs/>
          <w:i w:val="false"/>
          <w:iCs w:val="false"/>
          <w:color w:val="1B2A4A"/>
          <w:sz w:val="19"/>
          <w:szCs w:val="19"/>
        </w:rPr>
        <w:t xml:space="preserve">Key Implementation Points  </w:t>
      </w:r>
      <w:r>
        <w:rPr>
          <w:rFonts w:ascii="Calibri" w:cs="Calibri" w:eastAsia="Calibri" w:hAnsi="Calibri"/>
          <w:b w:val="false"/>
          <w:bCs w:val="false"/>
          <w:i w:val="false"/>
          <w:iCs w:val="false"/>
          <w:color w:val="222222"/>
          <w:sz w:val="19"/>
          <w:szCs w:val="19"/>
        </w:rPr>
        <w:t xml:space="preserve"/>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Pre-rendered disclosure. The opening disclosure line is fixed audio played deterministically at call start — cannot be paraphrased away by a model, costs nothing at runtime, identical on every call (auditable).</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Opt-out without model involvement. Detect opt-out phrases by keyword spotting on partial STT transcripts. No LLM sits in this path, so the response is immediate and cannot be reasoned around.</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Maintain a consent ledger. Record timestamp, DLT template reference, confirmation disclosure played, opt-out status, and retention window for every call.</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Align with DPDP principles. Purpose limitation, a defined retention period, and a working deletion-on-request path — these are procurement questions we will be asked.</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Shift the value proposition. We do not sell an agent that sounds human. We sell an agent that answers project questions accurately at 9pm on a Sunday. That claim is regulation-proof.</w:t>
      </w:r>
    </w:p>
    <w:p>
      <w:pPr>
        <w:pBdr>
          <w:top w:val="single" w:color="2455A4" w:sz="6"/>
          <w:bottom w:val="single" w:color="2455A4" w:sz="6"/>
          <w:left w:val="single" w:color="2455A4" w:sz="6"/>
          <w:right w:val="single" w:color="2455A4" w:sz="6"/>
        </w:pBdr>
        <w:shd w:fill="E9EFF9" w:val="clear"/>
        <w:spacing w:after="160" w:before="100"/>
      </w:pPr>
      <w:r>
        <w:rPr>
          <w:rFonts w:ascii="Calibri" w:cs="Calibri" w:eastAsia="Calibri" w:hAnsi="Calibri"/>
          <w:b/>
          <w:bCs/>
          <w:i w:val="false"/>
          <w:iCs w:val="false"/>
          <w:color w:val="1B2A4A"/>
          <w:sz w:val="19"/>
          <w:szCs w:val="19"/>
        </w:rPr>
        <w:t xml:space="preserve">Verdict:  </w:t>
      </w:r>
      <w:r>
        <w:rPr>
          <w:rFonts w:ascii="Calibri" w:cs="Calibri" w:eastAsia="Calibri" w:hAnsi="Calibri"/>
          <w:b w:val="false"/>
          <w:bCs w:val="false"/>
          <w:i w:val="false"/>
          <w:iCs w:val="false"/>
          <w:color w:val="222222"/>
          <w:sz w:val="19"/>
          <w:szCs w:val="19"/>
        </w:rPr>
        <w:t xml:space="preserve">Roughly one day of engineering removes an entire category of regulatory exposure and converts a looming threat into a differentiator. Do it now rather than when it becomes mandatory.</w:t>
      </w:r>
    </w:p>
    <w:p>
      <w:pPr>
        <w:pStyle w:val="Heading3"/>
        <w:spacing w:after="100" w:before="180"/>
      </w:pPr>
      <w:r>
        <w:rPr>
          <w:rFonts w:ascii="Calibri" w:cs="Calibri" w:eastAsia="Calibri" w:hAnsi="Calibri"/>
          <w:b/>
          <w:bCs/>
          <w:i w:val="false"/>
          <w:iCs w:val="false"/>
          <w:color w:val="2455A4"/>
          <w:sz w:val="21"/>
          <w:szCs w:val="21"/>
        </w:rPr>
        <w:t xml:space="preserve">Challenge 5 — The First Thirty Seconds</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1490"/>
        <w:gridCol w:w="3167"/>
        <w:gridCol w:w="2235"/>
        <w:gridCol w:w="2422"/>
      </w:tblGrid>
      <w:tr>
        <w:trPr>
          <w:tblHeader/>
        </w:trPr>
        <w:tc>
          <w:tcPr>
            <w:tcW w:type="dxa" w:w="149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Risk Level</w:t>
            </w:r>
          </w:p>
        </w:tc>
        <w:tc>
          <w:tcPr>
            <w:tcW w:type="dxa" w:w="3167"/>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Root Cause Category</w:t>
            </w:r>
          </w:p>
        </w:tc>
        <w:tc>
          <w:tcPr>
            <w:tcW w:type="dxa" w:w="2235"/>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Engineering Effort</w:t>
            </w:r>
          </w:p>
        </w:tc>
        <w:tc>
          <w:tcPr>
            <w:tcW w:type="dxa" w:w="2422"/>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Impact on Runtime Cost</w:t>
            </w:r>
          </w:p>
        </w:tc>
      </w:tr>
      <w:tr>
        <w:tc>
          <w:tcPr>
            <w:tcW w:type="dxa" w:w="149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Critical</w:t>
            </w:r>
          </w:p>
        </w:tc>
        <w:tc>
          <w:tcPr>
            <w:tcW w:type="dxa" w:w="316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Knowledge architecture</w:t>
            </w:r>
          </w:p>
        </w:tc>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Medium</w:t>
            </w:r>
          </w:p>
        </w:tc>
        <w:tc>
          <w:tcPr>
            <w:tcW w:type="dxa" w:w="242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Positive — structured lookup is cheaper than retrieval</w:t>
            </w:r>
          </w:p>
        </w:tc>
      </w:tr>
    </w:tbl>
    <w:p>
      <w:pPr>
        <w:spacing w:after="100"/>
      </w:pPr>
      <w:r>
        <w:rPr>
          <w:rFonts w:ascii="Calibri" w:cs="Calibri" w:eastAsia="Calibri" w:hAnsi="Calibri"/>
          <w:b/>
          <w:bCs/>
          <w:i w:val="false"/>
          <w:iCs w:val="false"/>
          <w:color w:val="1B2A4A"/>
          <w:sz w:val="19"/>
          <w:szCs w:val="19"/>
        </w:rPr>
        <w:t xml:space="preserve">The Challenge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This is the real-estate-specific form of the hang-up problem. Property is a high-value, high-emotion purchase, and buyers expect precise answers. An agent that stumbles on a basic question, gives a vague response, or states a wrong figure loses the lead permanently — and the buyer's negative impression attaches to the developer's brand, not just to us. The concrete failure: a buyer asks "3BHK ka price kya hai 12th floor pe?" and receives an approximate or incorrect answer. That lead is gone, and the developer now has a reason to end the pilot. A generic answer to a specific question is worse than no call at all.</w:t>
      </w:r>
    </w:p>
    <w:p>
      <w:pPr>
        <w:spacing w:after="100"/>
      </w:pPr>
      <w:r>
        <w:rPr>
          <w:rFonts w:ascii="Calibri" w:cs="Calibri" w:eastAsia="Calibri" w:hAnsi="Calibri"/>
          <w:b/>
          <w:bCs/>
          <w:i w:val="false"/>
          <w:iCs w:val="false"/>
          <w:color w:val="1B2A4A"/>
          <w:sz w:val="19"/>
          <w:szCs w:val="19"/>
        </w:rPr>
        <w:t xml:space="preserve">Why It Matters  </w:t>
      </w:r>
      <w:r>
        <w:rPr>
          <w:rFonts w:ascii="Calibri" w:cs="Calibri" w:eastAsia="Calibri" w:hAnsi="Calibri"/>
          <w:b w:val="false"/>
          <w:bCs w:val="false"/>
          <w:i w:val="false"/>
          <w:iCs w:val="false"/>
          <w:color w:val="222222"/>
          <w:sz w:val="19"/>
          <w:szCs w:val="19"/>
        </w:rPr>
        <w:t xml:space="preserve"/>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Accuracy on project specifics is the difference between an AI receptionist and an AI salesperson. It is our primary defensible advantage over generic voice platforms.</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The most damaging failure mode is confident incorrectness, which is exactly what unstructured retrieval over a brochure produces when asked for a number.</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Knowledge base quality is the input that most directly determines conversion, so it justifies proportionally more attention than voice tuning.</w:t>
      </w:r>
    </w:p>
    <w:p>
      <w:pPr>
        <w:spacing w:after="100"/>
      </w:pPr>
      <w:r>
        <w:rPr>
          <w:rFonts w:ascii="Calibri" w:cs="Calibri" w:eastAsia="Calibri" w:hAnsi="Calibri"/>
          <w:b/>
          <w:bCs/>
          <w:i w:val="false"/>
          <w:iCs w:val="false"/>
          <w:color w:val="1B2A4A"/>
          <w:sz w:val="19"/>
          <w:szCs w:val="19"/>
        </w:rPr>
        <w:t xml:space="preserve">Proposed Solution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Split the knowledge base by data type and never allow retrieval to answer a numeric question. Facts that are enumerable are looked up deterministically; only narrative content passes through retrieval.</w:t>
      </w:r>
    </w:p>
    <w:p>
      <w:pPr>
        <w:spacing w:after="100"/>
      </w:pPr>
      <w:r>
        <w:rPr>
          <w:rFonts w:ascii="Calibri" w:cs="Calibri" w:eastAsia="Calibri" w:hAnsi="Calibri"/>
          <w:b/>
          <w:bCs/>
          <w:i w:val="false"/>
          <w:iCs w:val="false"/>
          <w:color w:val="1B2A4A"/>
          <w:sz w:val="19"/>
          <w:szCs w:val="19"/>
        </w:rPr>
        <w:t xml:space="preserve">Key Implementation Points  </w:t>
      </w:r>
      <w:r>
        <w:rPr>
          <w:rFonts w:ascii="Calibri" w:cs="Calibri" w:eastAsia="Calibri" w:hAnsi="Calibri"/>
          <w:b w:val="false"/>
          <w:bCs w:val="false"/>
          <w:i w:val="false"/>
          <w:iCs w:val="false"/>
          <w:color w:val="222222"/>
          <w:sz w:val="19"/>
          <w:szCs w:val="19"/>
        </w:rPr>
        <w:t xml:space="preserve"/>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Structured facts, deterministic lookup. Price by unit type and floor, possession date, RERA number, payment plan terms, current availability and inventory status live in a structured store, retrieved by exact query. No generation step, no opportunity to be wrong.</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Prose through retrieval. Location advantages, amenity descriptions, connectivity narrative and market comparison are served through the retrieval pipeline, where approximate phrasing is acceptable.</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Explicit deferral on gaps. If a requested field is absent, the agent says so and offers a human callback. It never generates a plausible value. This rule is absolute.</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Templated onboarding. A single structured ingestion sheet per project, populated by a one-time model pass over the brochure and price list, then reviewed by a human before go-live. Onboarding cost is amortised across the project lifetime rather than paid on every call.</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Version the knowledge base. Prices and inventory change. Each project KB carries a version and an effective date; stale data triggers an alert rather than silently misinforming buyers.</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Front-load the strongest content. The first exchange should demonstrate specific project knowledge immediately — that is the moment the caller decides whether the conversation is worth continuing.</w:t>
      </w:r>
    </w:p>
    <w:p>
      <w:pPr>
        <w:pBdr>
          <w:top w:val="single" w:color="2455A4" w:sz="6"/>
          <w:bottom w:val="single" w:color="2455A4" w:sz="6"/>
          <w:left w:val="single" w:color="2455A4" w:sz="6"/>
          <w:right w:val="single" w:color="2455A4" w:sz="6"/>
        </w:pBdr>
        <w:shd w:fill="E9EFF9" w:val="clear"/>
        <w:spacing w:after="160" w:before="100"/>
      </w:pPr>
      <w:r>
        <w:rPr>
          <w:rFonts w:ascii="Calibri" w:cs="Calibri" w:eastAsia="Calibri" w:hAnsi="Calibri"/>
          <w:b/>
          <w:bCs/>
          <w:i w:val="false"/>
          <w:iCs w:val="false"/>
          <w:color w:val="1B2A4A"/>
          <w:sz w:val="19"/>
          <w:szCs w:val="19"/>
        </w:rPr>
        <w:t xml:space="preserve">Verdict:  </w:t>
      </w:r>
      <w:r>
        <w:rPr>
          <w:rFonts w:ascii="Calibri" w:cs="Calibri" w:eastAsia="Calibri" w:hAnsi="Calibri"/>
          <w:b w:val="false"/>
          <w:bCs w:val="false"/>
          <w:i w:val="false"/>
          <w:iCs w:val="false"/>
          <w:color w:val="222222"/>
          <w:sz w:val="19"/>
          <w:szCs w:val="19"/>
        </w:rPr>
        <w:t xml:space="preserve">This is our accuracy moat and should be treated as such. It is also cheaper at runtime than the alternative — a structured lookup costs nothing per query, while retrieval consumes tokens on every turn. Correctness and cost point the same direction.</w:t>
      </w:r>
    </w:p>
    <w:p>
      <w:pPr>
        <w:pStyle w:val="Heading3"/>
        <w:spacing w:after="100" w:before="180"/>
      </w:pPr>
      <w:r>
        <w:rPr>
          <w:rFonts w:ascii="Calibri" w:cs="Calibri" w:eastAsia="Calibri" w:hAnsi="Calibri"/>
          <w:b/>
          <w:bCs/>
          <w:i w:val="false"/>
          <w:iCs w:val="false"/>
          <w:color w:val="2455A4"/>
          <w:sz w:val="21"/>
          <w:szCs w:val="21"/>
        </w:rPr>
        <w:t xml:space="preserve">Challenge 6 — Multi-Turn Complexity and Edge Cases</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1490"/>
        <w:gridCol w:w="3167"/>
        <w:gridCol w:w="2235"/>
        <w:gridCol w:w="2422"/>
      </w:tblGrid>
      <w:tr>
        <w:trPr>
          <w:tblHeader/>
        </w:trPr>
        <w:tc>
          <w:tcPr>
            <w:tcW w:type="dxa" w:w="149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Risk Level</w:t>
            </w:r>
          </w:p>
        </w:tc>
        <w:tc>
          <w:tcPr>
            <w:tcW w:type="dxa" w:w="3167"/>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Root Cause Category</w:t>
            </w:r>
          </w:p>
        </w:tc>
        <w:tc>
          <w:tcPr>
            <w:tcW w:type="dxa" w:w="2235"/>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Engineering Effort</w:t>
            </w:r>
          </w:p>
        </w:tc>
        <w:tc>
          <w:tcPr>
            <w:tcW w:type="dxa" w:w="2422"/>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Impact on Runtime Cost</w:t>
            </w:r>
          </w:p>
        </w:tc>
      </w:tr>
      <w:tr>
        <w:tc>
          <w:tcPr>
            <w:tcW w:type="dxa" w:w="149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High</w:t>
            </w:r>
          </w:p>
        </w:tc>
        <w:tc>
          <w:tcPr>
            <w:tcW w:type="dxa" w:w="316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Dialogue management</w:t>
            </w:r>
          </w:p>
        </w:tc>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Medium</w:t>
            </w:r>
          </w:p>
        </w:tc>
        <w:tc>
          <w:tcPr>
            <w:tcW w:type="dxa" w:w="242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Slight increase — bounded by confidence gating</w:t>
            </w:r>
          </w:p>
        </w:tc>
      </w:tr>
    </w:tbl>
    <w:p>
      <w:pPr>
        <w:spacing w:after="100"/>
      </w:pPr>
      <w:r>
        <w:rPr>
          <w:rFonts w:ascii="Calibri" w:cs="Calibri" w:eastAsia="Calibri" w:hAnsi="Calibri"/>
          <w:b/>
          <w:bCs/>
          <w:i w:val="false"/>
          <w:iCs w:val="false"/>
          <w:color w:val="1B2A4A"/>
          <w:sz w:val="19"/>
          <w:szCs w:val="19"/>
        </w:rPr>
        <w:t xml:space="preserve">The Challenge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Real calls are disorderly. The buyer is driving, a child is crying in the background, and they move from asking about price to asking about parking to saying "ek minute hold karo." Most voice agents handle the intended path well and collapse on the first unexpected turn, falling back to a rigid decision tree that alienates the caller. The genuine test of a dialogue system is what happens when the caller interrupts mid-utterance with an unrelated question. Rigid script-bound flows fail this test, and failing it in front of a buyer making a major financial decision is expensive.</w:t>
      </w:r>
    </w:p>
    <w:p>
      <w:pPr>
        <w:spacing w:after="100"/>
      </w:pPr>
      <w:r>
        <w:rPr>
          <w:rFonts w:ascii="Calibri" w:cs="Calibri" w:eastAsia="Calibri" w:hAnsi="Calibri"/>
          <w:b/>
          <w:bCs/>
          <w:i w:val="false"/>
          <w:iCs w:val="false"/>
          <w:color w:val="1B2A4A"/>
          <w:sz w:val="19"/>
          <w:szCs w:val="19"/>
        </w:rPr>
        <w:t xml:space="preserve">Why It Matters  </w:t>
      </w:r>
      <w:r>
        <w:rPr>
          <w:rFonts w:ascii="Calibri" w:cs="Calibri" w:eastAsia="Calibri" w:hAnsi="Calibri"/>
          <w:b w:val="false"/>
          <w:bCs w:val="false"/>
          <w:i w:val="false"/>
          <w:iCs w:val="false"/>
          <w:color w:val="222222"/>
          <w:sz w:val="19"/>
          <w:szCs w:val="19"/>
        </w:rPr>
        <w:t xml:space="preserve"/>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Handling digression well is directly visible to the buyer and is the clearest differentiator against competitors running fixed flows.</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Poor handling produces loops, the most frustrating possible failure and the one most likely to be repeated back to us as evidence the product does not work.</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Edge-case behaviour cannot be validated by scripted testing, so it needs a different testing method than the rest of the system.</w:t>
      </w:r>
    </w:p>
    <w:p>
      <w:pPr>
        <w:spacing w:after="100"/>
      </w:pPr>
      <w:r>
        <w:rPr>
          <w:rFonts w:ascii="Calibri" w:cs="Calibri" w:eastAsia="Calibri" w:hAnsi="Calibri"/>
          <w:b/>
          <w:bCs/>
          <w:i w:val="false"/>
          <w:iCs w:val="false"/>
          <w:color w:val="1B2A4A"/>
          <w:sz w:val="19"/>
          <w:szCs w:val="19"/>
        </w:rPr>
        <w:t xml:space="preserve">Proposed Solution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Give the dialogue manager a digression stack and a confidence gate, then validate both against real call transcripts rather than scripted flows.</w:t>
      </w:r>
    </w:p>
    <w:p>
      <w:pPr>
        <w:spacing w:after="100"/>
      </w:pPr>
      <w:r>
        <w:rPr>
          <w:rFonts w:ascii="Calibri" w:cs="Calibri" w:eastAsia="Calibri" w:hAnsi="Calibri"/>
          <w:b/>
          <w:bCs/>
          <w:i w:val="false"/>
          <w:iCs w:val="false"/>
          <w:color w:val="1B2A4A"/>
          <w:sz w:val="19"/>
          <w:szCs w:val="19"/>
        </w:rPr>
        <w:t xml:space="preserve">Key Implementation Points  </w:t>
      </w:r>
      <w:r>
        <w:rPr>
          <w:rFonts w:ascii="Calibri" w:cs="Calibri" w:eastAsia="Calibri" w:hAnsi="Calibri"/>
          <w:b w:val="false"/>
          <w:bCs w:val="false"/>
          <w:i w:val="false"/>
          <w:iCs w:val="false"/>
          <w:color w:val="222222"/>
          <w:sz w:val="19"/>
          <w:szCs w:val="19"/>
        </w:rPr>
        <w:t xml:space="preserve"/>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Digression stack. When the caller changes topic mid-flow, push the current objective onto a stack, answer the digression, then return with a natural re-entry line ("waise, aap poochh rahe the..."). Inexpensive to implement and precisely what makes rigid competitors sound rigid.</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Confidence gating. Two consecutive low-confidence turns trigger a warm transfer to a human. Not a third attempt. Looping is a worse outcome than transferring, and this rule caps the cost of a difficult call.</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Explicit graceful fallback. A defined handoff line — offering to connect the caller with the sales team — is always available and preferred over improvisation when the agent is uncertain.</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Hold and noise handling. Recognise hold requests, tolerate background noise, handle mid-utterance interruption without losing conversational state.</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Build a golden set from real calls. Record and transcribe fifty genuine presales calls from a developer's own team. Every unusual turn becomes a regression test case — the only reliable way to find edge cases before customers do.</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Run regression in text mode. Execute the golden set as text on every change (fast and inexpensive); sample a subset for full audio evaluation rather than running audio on every iteration.</w:t>
      </w:r>
    </w:p>
    <w:p>
      <w:pPr>
        <w:pBdr>
          <w:top w:val="single" w:color="2455A4" w:sz="6"/>
          <w:bottom w:val="single" w:color="2455A4" w:sz="6"/>
          <w:left w:val="single" w:color="2455A4" w:sz="6"/>
          <w:right w:val="single" w:color="2455A4" w:sz="6"/>
        </w:pBdr>
        <w:shd w:fill="E9EFF9" w:val="clear"/>
        <w:spacing w:after="160" w:before="100"/>
      </w:pPr>
      <w:r>
        <w:rPr>
          <w:rFonts w:ascii="Calibri" w:cs="Calibri" w:eastAsia="Calibri" w:hAnsi="Calibri"/>
          <w:b/>
          <w:bCs/>
          <w:i w:val="false"/>
          <w:iCs w:val="false"/>
          <w:color w:val="1B2A4A"/>
          <w:sz w:val="19"/>
          <w:szCs w:val="19"/>
        </w:rPr>
        <w:t xml:space="preserve">Verdict:  </w:t>
      </w:r>
      <w:r>
        <w:rPr>
          <w:rFonts w:ascii="Calibri" w:cs="Calibri" w:eastAsia="Calibri" w:hAnsi="Calibri"/>
          <w:b w:val="false"/>
          <w:bCs w:val="false"/>
          <w:i w:val="false"/>
          <w:iCs w:val="false"/>
          <w:color w:val="222222"/>
          <w:sz w:val="19"/>
          <w:szCs w:val="19"/>
        </w:rPr>
        <w:t xml:space="preserve">Test against real conversational mess, not against our own scripts. The digression stack is the visible differentiator; the confidence gate is what keeps a difficult call from becoming an expensive one.</w:t>
      </w:r>
    </w:p>
    <w:p>
      <w:pPr>
        <w:pStyle w:val="Heading3"/>
        <w:spacing w:after="100" w:before="180"/>
      </w:pPr>
      <w:r>
        <w:rPr>
          <w:rFonts w:ascii="Calibri" w:cs="Calibri" w:eastAsia="Calibri" w:hAnsi="Calibri"/>
          <w:b/>
          <w:bCs/>
          <w:i w:val="false"/>
          <w:iCs w:val="false"/>
          <w:color w:val="2455A4"/>
          <w:sz w:val="21"/>
          <w:szCs w:val="21"/>
        </w:rPr>
        <w:t xml:space="preserve">Challenge 7 — The Adoption Gap — Buyer Is Not the User</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1490"/>
        <w:gridCol w:w="3167"/>
        <w:gridCol w:w="2235"/>
        <w:gridCol w:w="2422"/>
      </w:tblGrid>
      <w:tr>
        <w:trPr>
          <w:tblHeader/>
        </w:trPr>
        <w:tc>
          <w:tcPr>
            <w:tcW w:type="dxa" w:w="149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Risk Level</w:t>
            </w:r>
          </w:p>
        </w:tc>
        <w:tc>
          <w:tcPr>
            <w:tcW w:type="dxa" w:w="3167"/>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Root Cause Category</w:t>
            </w:r>
          </w:p>
        </w:tc>
        <w:tc>
          <w:tcPr>
            <w:tcW w:type="dxa" w:w="2235"/>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Engineering Effort</w:t>
            </w:r>
          </w:p>
        </w:tc>
        <w:tc>
          <w:tcPr>
            <w:tcW w:type="dxa" w:w="2422"/>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Impact on Runtime Cost</w:t>
            </w:r>
          </w:p>
        </w:tc>
      </w:tr>
      <w:tr>
        <w:tc>
          <w:tcPr>
            <w:tcW w:type="dxa" w:w="149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High</w:t>
            </w:r>
          </w:p>
        </w:tc>
        <w:tc>
          <w:tcPr>
            <w:tcW w:type="dxa" w:w="316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Organisational change</w:t>
            </w:r>
          </w:p>
        </w:tc>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Zero engineering</w:t>
            </w:r>
          </w:p>
        </w:tc>
        <w:tc>
          <w:tcPr>
            <w:tcW w:type="dxa" w:w="242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None</w:t>
            </w:r>
          </w:p>
        </w:tc>
      </w:tr>
    </w:tbl>
    <w:p>
      <w:pPr>
        <w:spacing w:after="100"/>
      </w:pPr>
      <w:r>
        <w:rPr>
          <w:rFonts w:ascii="Calibri" w:cs="Calibri" w:eastAsia="Calibri" w:hAnsi="Calibri"/>
          <w:b/>
          <w:bCs/>
          <w:i w:val="false"/>
          <w:iCs w:val="false"/>
          <w:color w:val="1B2A4A"/>
          <w:sz w:val="19"/>
          <w:szCs w:val="19"/>
        </w:rPr>
        <w:t xml:space="preserve">The Challenge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The person who buys our product — a VP of Sales or Marketing Head — is not the person who uses it. The presales team is. That team frequently perceives the AI as a threat to their role and undermines the pilot in ways that are difficult to attribute: CRM records go unupdated, AI-qualified leads are described as poor quality, and follow-up on AI-generated leads is slow enough that the conversion loop never closes. This is an organisational change management problem wearing the costume of a technical problem. No amount of engineering fixes it, and misdiagnosing it as a product defect leads to wasted development effort.</w:t>
      </w:r>
    </w:p>
    <w:p>
      <w:pPr>
        <w:spacing w:after="100"/>
      </w:pPr>
      <w:r>
        <w:rPr>
          <w:rFonts w:ascii="Calibri" w:cs="Calibri" w:eastAsia="Calibri" w:hAnsi="Calibri"/>
          <w:b/>
          <w:bCs/>
          <w:i w:val="false"/>
          <w:iCs w:val="false"/>
          <w:color w:val="1B2A4A"/>
          <w:sz w:val="19"/>
          <w:szCs w:val="19"/>
        </w:rPr>
        <w:t xml:space="preserve">Why It Matters  </w:t>
      </w:r>
      <w:r>
        <w:rPr>
          <w:rFonts w:ascii="Calibri" w:cs="Calibri" w:eastAsia="Calibri" w:hAnsi="Calibri"/>
          <w:b w:val="false"/>
          <w:bCs w:val="false"/>
          <w:i w:val="false"/>
          <w:iCs w:val="false"/>
          <w:color w:val="222222"/>
          <w:sz w:val="19"/>
          <w:szCs w:val="19"/>
        </w:rPr>
        <w:t xml:space="preserve"/>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A pilot can fail on adoption while the technology performs correctly, and the post-mortem will still blame the technology.</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The failure signals are indirect and easily mistaken for product issues, which makes them dangerous to our roadmap prioritisation.</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The fix costs nothing to implement, which makes ignoring it indefensible.</w:t>
      </w:r>
    </w:p>
    <w:p>
      <w:pPr>
        <w:spacing w:after="100"/>
      </w:pPr>
      <w:r>
        <w:rPr>
          <w:rFonts w:ascii="Calibri" w:cs="Calibri" w:eastAsia="Calibri" w:hAnsi="Calibri"/>
          <w:b/>
          <w:bCs/>
          <w:i w:val="false"/>
          <w:iCs w:val="false"/>
          <w:color w:val="1B2A4A"/>
          <w:sz w:val="19"/>
          <w:szCs w:val="19"/>
        </w:rPr>
        <w:t xml:space="preserve">Proposed Solution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Design the pilot so that the AI cannot reasonably be perceived as taking work away from the team, and so that it visibly makes their existing work easier.</w:t>
      </w:r>
    </w:p>
    <w:p>
      <w:pPr>
        <w:spacing w:after="100"/>
      </w:pPr>
      <w:r>
        <w:rPr>
          <w:rFonts w:ascii="Calibri" w:cs="Calibri" w:eastAsia="Calibri" w:hAnsi="Calibri"/>
          <w:b/>
          <w:bCs/>
          <w:i w:val="false"/>
          <w:iCs w:val="false"/>
          <w:color w:val="1B2A4A"/>
          <w:sz w:val="19"/>
          <w:szCs w:val="19"/>
        </w:rPr>
        <w:t xml:space="preserve">Key Implementation Points  </w:t>
      </w:r>
      <w:r>
        <w:rPr>
          <w:rFonts w:ascii="Calibri" w:cs="Calibri" w:eastAsia="Calibri" w:hAnsi="Calibri"/>
          <w:b w:val="false"/>
          <w:bCs w:val="false"/>
          <w:i w:val="false"/>
          <w:iCs w:val="false"/>
          <w:color w:val="222222"/>
          <w:sz w:val="19"/>
          <w:szCs w:val="19"/>
        </w:rPr>
        <w:t xml:space="preserve"/>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Scope the pilot to unwanted work. During the pilot, give the AI only the aged, dormant and after-hours lead pool — calls the team is not making anyway. No work to defend, no reason to resist.</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Deliver pre-call briefs. Push a short summary to the rep before they dial: budget, timeline, unit preference, stated objections. The AI arrives as something that saves them ten minutes, not something that replaces them.</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Attribute wins to the closer. Site visits sourced by the AI are credited to the representative who converts them. Make the team look effective, not redundant.</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Instrument follow-up latency. Track time between AI qualification and human follow-up as a pilot metric — turns a suspicion into a number the sponsor can manage directly.</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Position consistently. The AI handles the routine eighty percent so the team can concentrate on the high-value twenty percent — identically in the sales conversation and the internal rollout.</w:t>
      </w:r>
    </w:p>
    <w:p>
      <w:pPr>
        <w:pBdr>
          <w:top w:val="single" w:color="2455A4" w:sz="6"/>
          <w:bottom w:val="single" w:color="2455A4" w:sz="6"/>
          <w:left w:val="single" w:color="2455A4" w:sz="6"/>
          <w:right w:val="single" w:color="2455A4" w:sz="6"/>
        </w:pBdr>
        <w:shd w:fill="E9EFF9" w:val="clear"/>
        <w:spacing w:after="160" w:before="100"/>
      </w:pPr>
      <w:r>
        <w:rPr>
          <w:rFonts w:ascii="Calibri" w:cs="Calibri" w:eastAsia="Calibri" w:hAnsi="Calibri"/>
          <w:b/>
          <w:bCs/>
          <w:i w:val="false"/>
          <w:iCs w:val="false"/>
          <w:color w:val="1B2A4A"/>
          <w:sz w:val="19"/>
          <w:szCs w:val="19"/>
        </w:rPr>
        <w:t xml:space="preserve">Verdict:  </w:t>
      </w:r>
      <w:r>
        <w:rPr>
          <w:rFonts w:ascii="Calibri" w:cs="Calibri" w:eastAsia="Calibri" w:hAnsi="Calibri"/>
          <w:b w:val="false"/>
          <w:bCs w:val="false"/>
          <w:i w:val="false"/>
          <w:iCs w:val="false"/>
          <w:color w:val="222222"/>
          <w:sz w:val="19"/>
          <w:szCs w:val="19"/>
        </w:rPr>
        <w:t xml:space="preserve">This requires no engineering. It is a deployment design decision, and should be a condition of every pilot agreement rather than something we discover during the retrospective.</w:t>
      </w:r>
    </w:p>
    <w:p>
      <w:pPr>
        <w:pStyle w:val="Heading3"/>
        <w:spacing w:after="100" w:before="180"/>
      </w:pPr>
      <w:r>
        <w:rPr>
          <w:rFonts w:ascii="Calibri" w:cs="Calibri" w:eastAsia="Calibri" w:hAnsi="Calibri"/>
          <w:b/>
          <w:bCs/>
          <w:i w:val="false"/>
          <w:iCs w:val="false"/>
          <w:color w:val="2455A4"/>
          <w:sz w:val="21"/>
          <w:szCs w:val="21"/>
        </w:rPr>
        <w:t xml:space="preserve">Challenge 8 — Proving ROI Within a Short Pilot Window</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1490"/>
        <w:gridCol w:w="3167"/>
        <w:gridCol w:w="2235"/>
        <w:gridCol w:w="2422"/>
      </w:tblGrid>
      <w:tr>
        <w:trPr>
          <w:tblHeader/>
        </w:trPr>
        <w:tc>
          <w:tcPr>
            <w:tcW w:type="dxa" w:w="149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Risk Level</w:t>
            </w:r>
          </w:p>
        </w:tc>
        <w:tc>
          <w:tcPr>
            <w:tcW w:type="dxa" w:w="3167"/>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Root Cause Category</w:t>
            </w:r>
          </w:p>
        </w:tc>
        <w:tc>
          <w:tcPr>
            <w:tcW w:type="dxa" w:w="2235"/>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Engineering Effort</w:t>
            </w:r>
          </w:p>
        </w:tc>
        <w:tc>
          <w:tcPr>
            <w:tcW w:type="dxa" w:w="2422"/>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Impact on Runtime Cost</w:t>
            </w:r>
          </w:p>
        </w:tc>
      </w:tr>
      <w:tr>
        <w:tc>
          <w:tcPr>
            <w:tcW w:type="dxa" w:w="149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High</w:t>
            </w:r>
          </w:p>
        </w:tc>
        <w:tc>
          <w:tcPr>
            <w:tcW w:type="dxa" w:w="316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Commercial model</w:t>
            </w:r>
          </w:p>
        </w:tc>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Zero engineering</w:t>
            </w:r>
          </w:p>
        </w:tc>
        <w:tc>
          <w:tcPr>
            <w:tcW w:type="dxa" w:w="242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None</w:t>
            </w:r>
          </w:p>
        </w:tc>
      </w:tr>
    </w:tbl>
    <w:p>
      <w:pPr>
        <w:spacing w:after="100"/>
      </w:pPr>
      <w:r>
        <w:rPr>
          <w:rFonts w:ascii="Calibri" w:cs="Calibri" w:eastAsia="Calibri" w:hAnsi="Calibri"/>
          <w:b/>
          <w:bCs/>
          <w:i w:val="false"/>
          <w:iCs w:val="false"/>
          <w:color w:val="1B2A4A"/>
          <w:sz w:val="19"/>
          <w:szCs w:val="19"/>
        </w:rPr>
        <w:t xml:space="preserve">The Challenge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Real estate conversion cycles run long. A lead qualified today may visit in two weeks and purchase three months later. A thirty-day pilot therefore ends before any closed revenue is attributable. The developer sees calls made and visits booked, cannot yet see deals closed, and reasonably questions whether the visits were of adequate quality. Renewal conversations become difficult at exactly the moment we have the least evidence.</w:t>
      </w:r>
    </w:p>
    <w:p>
      <w:pPr>
        <w:spacing w:after="100"/>
      </w:pPr>
      <w:r>
        <w:rPr>
          <w:rFonts w:ascii="Calibri" w:cs="Calibri" w:eastAsia="Calibri" w:hAnsi="Calibri"/>
          <w:b/>
          <w:bCs/>
          <w:i w:val="false"/>
          <w:iCs w:val="false"/>
          <w:color w:val="1B2A4A"/>
          <w:sz w:val="19"/>
          <w:szCs w:val="19"/>
        </w:rPr>
        <w:t xml:space="preserve">Why It Matters  </w:t>
      </w:r>
      <w:r>
        <w:rPr>
          <w:rFonts w:ascii="Calibri" w:cs="Calibri" w:eastAsia="Calibri" w:hAnsi="Calibri"/>
          <w:b w:val="false"/>
          <w:bCs w:val="false"/>
          <w:i w:val="false"/>
          <w:iCs w:val="false"/>
          <w:color w:val="222222"/>
          <w:sz w:val="19"/>
          <w:szCs w:val="19"/>
        </w:rPr>
        <w:t xml:space="preserve"/>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This determines whether technically successful pilots convert into contracts, which makes it a revenue problem rather than a reporting problem.</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Without a comparison baseline, any result we present is arguable — the developer can always attribute the visits to their existing team or to market conditions.</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The remedy must be in place from day one of the pilot; it cannot be constructed retrospectively.</w:t>
      </w:r>
    </w:p>
    <w:p>
      <w:pPr>
        <w:spacing w:after="100"/>
      </w:pPr>
      <w:r>
        <w:rPr>
          <w:rFonts w:ascii="Calibri" w:cs="Calibri" w:eastAsia="Calibri" w:hAnsi="Calibri"/>
          <w:b/>
          <w:bCs/>
          <w:i w:val="false"/>
          <w:iCs w:val="false"/>
          <w:color w:val="1B2A4A"/>
          <w:sz w:val="19"/>
          <w:szCs w:val="19"/>
        </w:rPr>
        <w:t xml:space="preserve">Proposed Solution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Price on the outcome that is attributable inside the pilot window, and build a counterfactual from the first day so that our results are demonstrable rather than assertable.</w:t>
      </w:r>
    </w:p>
    <w:p>
      <w:pPr>
        <w:spacing w:after="100"/>
      </w:pPr>
      <w:r>
        <w:rPr>
          <w:rFonts w:ascii="Calibri" w:cs="Calibri" w:eastAsia="Calibri" w:hAnsi="Calibri"/>
          <w:b/>
          <w:bCs/>
          <w:i w:val="false"/>
          <w:iCs w:val="false"/>
          <w:color w:val="1B2A4A"/>
          <w:sz w:val="19"/>
          <w:szCs w:val="19"/>
        </w:rPr>
        <w:t xml:space="preserve">Key Implementation Points  </w:t>
      </w:r>
      <w:r>
        <w:rPr>
          <w:rFonts w:ascii="Calibri" w:cs="Calibri" w:eastAsia="Calibri" w:hAnsi="Calibri"/>
          <w:b w:val="false"/>
          <w:bCs w:val="false"/>
          <w:i w:val="false"/>
          <w:iCs w:val="false"/>
          <w:color w:val="222222"/>
          <w:sz w:val="19"/>
          <w:szCs w:val="19"/>
        </w:rPr>
        <w:t xml:space="preserve"/>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Price per qualified site visit. A visit occurs inside the pilot window and is unambiguously attributable. A closed deal is neither. The commercial unit should match the measurement window.</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Run a randomised holdout. Route twenty percent of pilot leads to the human team only, assigned at random from day zero. At renewal we present a comparison rather than a testimonial. Costs nothing; the strongest commercial asset obtainable within a pilot.</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Define visit quality up front. Agree qualification criteria with the developer before the pilot starts, so "were these good visits" is answered by a pre-agreed definition rather than argument afterwards.</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Continue tracking past pilot end. Maintain funnel tracking after the pilot concludes so delayed conversions are available as evidence at the renewal conversation.</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Report against their existing cost. Present cost per qualified visit alongside the developer's current blended cost of achieving the same outcome. Relative numbers persuade; absolute numbers invite scrutiny.</w:t>
      </w:r>
    </w:p>
    <w:p>
      <w:pPr>
        <w:pBdr>
          <w:top w:val="single" w:color="2455A4" w:sz="6"/>
          <w:bottom w:val="single" w:color="2455A4" w:sz="6"/>
          <w:left w:val="single" w:color="2455A4" w:sz="6"/>
          <w:right w:val="single" w:color="2455A4" w:sz="6"/>
        </w:pBdr>
        <w:shd w:fill="E9EFF9" w:val="clear"/>
        <w:spacing w:after="160" w:before="100"/>
      </w:pPr>
      <w:r>
        <w:rPr>
          <w:rFonts w:ascii="Calibri" w:cs="Calibri" w:eastAsia="Calibri" w:hAnsi="Calibri"/>
          <w:b/>
          <w:bCs/>
          <w:i w:val="false"/>
          <w:iCs w:val="false"/>
          <w:color w:val="1B2A4A"/>
          <w:sz w:val="19"/>
          <w:szCs w:val="19"/>
        </w:rPr>
        <w:t xml:space="preserve">Verdict:  </w:t>
      </w:r>
      <w:r>
        <w:rPr>
          <w:rFonts w:ascii="Calibri" w:cs="Calibri" w:eastAsia="Calibri" w:hAnsi="Calibri"/>
          <w:b w:val="false"/>
          <w:bCs w:val="false"/>
          <w:i w:val="false"/>
          <w:iCs w:val="false"/>
          <w:color w:val="222222"/>
          <w:sz w:val="19"/>
          <w:szCs w:val="19"/>
        </w:rPr>
        <w:t xml:space="preserve">Zero engineering cost and the single highest-leverage commercial decision available to us. The holdout in particular is rarely done by competitors and converts our pilot report from a claim into evidence.</w:t>
      </w:r>
    </w:p>
    <w:p>
      <w:pPr>
        <w:pStyle w:val="Heading2"/>
        <w:spacing w:after="140" w:before="260"/>
      </w:pPr>
      <w:r>
        <w:rPr>
          <w:rFonts w:ascii="Calibri" w:cs="Calibri" w:eastAsia="Calibri" w:hAnsi="Calibri"/>
          <w:b/>
          <w:bCs/>
          <w:i w:val="false"/>
          <w:iCs w:val="false"/>
          <w:color w:val="1B2A4A"/>
          <w:sz w:val="25"/>
          <w:szCs w:val="25"/>
        </w:rPr>
        <w:t xml:space="preserve">2.4 Summary</w:t>
      </w:r>
    </w:p>
    <w:p>
      <w:pPr>
        <w:spacing w:after="140" w:before="0" w:line="264"/>
        <w:jc w:val="left"/>
      </w:pPr>
      <w:r>
        <w:rPr>
          <w:rFonts w:ascii="Calibri" w:cs="Calibri" w:eastAsia="Calibri" w:hAnsi="Calibri"/>
          <w:b w:val="false"/>
          <w:bCs w:val="false"/>
          <w:i w:val="false"/>
          <w:iCs w:val="false"/>
          <w:color w:val="222222"/>
          <w:sz w:val="19"/>
          <w:szCs w:val="19"/>
        </w:rPr>
        <w:t xml:space="preserve">Three conclusions follow from the analysis above.</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The differentiator is not voice quality. Competitive voice synthesis for Indian languages is now widely available. The teams winning deployments are the ones that solved the unglamorous problems — data hygiene, latency on cellular networks, answer accuracy, clean handoff to humans, and adoption inside the customer organisation.</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Effectiveness and cost mostly agree. This was the central concern behind this review, and the finding is favourable. Tiered routing, prompt caching, structured fact lookup and the pre-dial gate each improve quality and reduce cost simultaneously. The genuine trade-offs are narrower than expected.</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Two of the eight challenges require no engineering at all. Adoption and ROI proof are solved by how we structure the pilot and price the product. They are also two of the most common reasons pilots fail to renew, which makes them disproportionately valuable relative to their cost.</w:t>
      </w:r>
    </w:p>
    <w:p>
      <w:pPr>
        <w:spacing w:after="140" w:before="0" w:line="264"/>
        <w:jc w:val="left"/>
      </w:pPr>
      <w:r>
        <w:rPr>
          <w:rFonts w:ascii="Calibri" w:cs="Calibri" w:eastAsia="Calibri" w:hAnsi="Calibri"/>
          <w:b w:val="false"/>
          <w:bCs w:val="false"/>
          <w:i w:val="false"/>
          <w:iCs w:val="false"/>
          <w:color w:val="222222"/>
          <w:sz w:val="19"/>
          <w:szCs w:val="19"/>
        </w:rPr>
        <w:t xml:space="preserve">The recommended position is that the first two weeks of work should go to the pre-dial data gate, the compliance layer and structured fact retrieval. These three remove the most common causes of pilot failure. Cost optimisation through tiered routing follows immediately after, because that is where gross margin is determined.</w:t>
      </w:r>
    </w:p>
    <w:p>
      <w:pPr>
        <w:pStyle w:val="Heading3"/>
        <w:spacing w:after="100" w:before="180"/>
      </w:pPr>
      <w:r>
        <w:rPr>
          <w:rFonts w:ascii="Calibri" w:cs="Calibri" w:eastAsia="Calibri" w:hAnsi="Calibri"/>
          <w:b/>
          <w:bCs/>
          <w:i w:val="false"/>
          <w:iCs w:val="false"/>
          <w:color w:val="2455A4"/>
          <w:sz w:val="21"/>
          <w:szCs w:val="21"/>
        </w:rPr>
        <w:t xml:space="preserve">Consolidated summary table</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373"/>
        <w:gridCol w:w="1304"/>
        <w:gridCol w:w="2608"/>
        <w:gridCol w:w="3167"/>
        <w:gridCol w:w="931"/>
        <w:gridCol w:w="931"/>
      </w:tblGrid>
      <w:tr>
        <w:trPr>
          <w:tblHeader/>
        </w:trPr>
        <w:tc>
          <w:tcPr>
            <w:tcW w:type="dxa" w:w="373"/>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w:t>
            </w:r>
          </w:p>
        </w:tc>
        <w:tc>
          <w:tcPr>
            <w:tcW w:type="dxa" w:w="1304"/>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Challenge</w:t>
            </w:r>
          </w:p>
        </w:tc>
        <w:tc>
          <w:tcPr>
            <w:tcW w:type="dxa" w:w="2608"/>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Core Risk If Unaddressed</w:t>
            </w:r>
          </w:p>
        </w:tc>
        <w:tc>
          <w:tcPr>
            <w:tcW w:type="dxa" w:w="3167"/>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Primary Solution</w:t>
            </w:r>
          </w:p>
        </w:tc>
        <w:tc>
          <w:tcPr>
            <w:tcW w:type="dxa" w:w="931"/>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Eng. Effort</w:t>
            </w:r>
          </w:p>
        </w:tc>
        <w:tc>
          <w:tcPr>
            <w:tcW w:type="dxa" w:w="931"/>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Runtime Cost</w:t>
            </w:r>
          </w:p>
        </w:tc>
      </w:tr>
      <w:tr>
        <w:tc>
          <w:tcPr>
            <w:tcW w:type="dxa" w:w="37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1</w:t>
            </w:r>
          </w:p>
        </w:tc>
        <w:tc>
          <w:tcPr>
            <w:tcW w:type="dxa" w:w="130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Uncanny valley</w:t>
            </w:r>
          </w:p>
        </w:tc>
        <w:tc>
          <w:tcPr>
            <w:tcW w:type="dxa" w:w="2608"/>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Early-call hang-ups cap all downstream performance</w:t>
            </w:r>
          </w:p>
        </w:tc>
        <w:tc>
          <w:tcPr>
            <w:tcW w:type="dxa" w:w="316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Engineered imperfection: fillers, micro-pauses, barge-in, real-network testing</w:t>
            </w:r>
          </w:p>
        </w:tc>
        <w:tc>
          <w:tcPr>
            <w:tcW w:type="dxa" w:w="93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Low</w:t>
            </w:r>
          </w:p>
        </w:tc>
        <w:tc>
          <w:tcPr>
            <w:tcW w:type="dxa" w:w="93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Neutral</w:t>
            </w:r>
          </w:p>
        </w:tc>
      </w:tr>
      <w:tr>
        <w:tc>
          <w:tcPr>
            <w:tcW w:type="dxa" w:w="37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2</w:t>
            </w:r>
          </w:p>
        </w:tc>
        <w:tc>
          <w:tcPr>
            <w:tcW w:type="dxa" w:w="1304"/>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Latency on Indian networks</w:t>
            </w:r>
          </w:p>
        </w:tc>
        <w:tc>
          <w:tcPr>
            <w:tcW w:type="dxa" w:w="2608"/>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Conversations break; product fails in production despite good demos</w:t>
            </w:r>
          </w:p>
        </w:tc>
        <w:tc>
          <w:tcPr>
            <w:tcW w:type="dxa" w:w="3167"/>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Itemised latency budget; semantic endpointing, streaming STT, prompt caching, Mumbai hosting</w:t>
            </w:r>
          </w:p>
        </w:tc>
        <w:tc>
          <w:tcPr>
            <w:tcW w:type="dxa" w:w="93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Medium</w:t>
            </w:r>
          </w:p>
        </w:tc>
        <w:tc>
          <w:tcPr>
            <w:tcW w:type="dxa" w:w="93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Reduces</w:t>
            </w:r>
          </w:p>
        </w:tc>
      </w:tr>
      <w:tr>
        <w:tc>
          <w:tcPr>
            <w:tcW w:type="dxa" w:w="37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3</w:t>
            </w:r>
          </w:p>
        </w:tc>
        <w:tc>
          <w:tcPr>
            <w:tcW w:type="dxa" w:w="130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Dirty data and CRM chaos</w:t>
            </w:r>
          </w:p>
        </w:tc>
        <w:tc>
          <w:tcPr>
            <w:tcW w:type="dxa" w:w="2608"/>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Visible errors blamed on our product; pilot terminated</w:t>
            </w:r>
          </w:p>
        </w:tc>
        <w:tc>
          <w:tcPr>
            <w:tcW w:type="dxa" w:w="316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Deterministic pre-dial data quality gate as a hard blocker</w:t>
            </w:r>
          </w:p>
        </w:tc>
        <w:tc>
          <w:tcPr>
            <w:tcW w:type="dxa" w:w="93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Low</w:t>
            </w:r>
          </w:p>
        </w:tc>
        <w:tc>
          <w:tcPr>
            <w:tcW w:type="dxa" w:w="93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Reduces</w:t>
            </w:r>
          </w:p>
        </w:tc>
      </w:tr>
      <w:tr>
        <w:tc>
          <w:tcPr>
            <w:tcW w:type="dxa" w:w="37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4</w:t>
            </w:r>
          </w:p>
        </w:tc>
        <w:tc>
          <w:tcPr>
            <w:tcW w:type="dxa" w:w="1304"/>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Tightening regulation</w:t>
            </w:r>
          </w:p>
        </w:tc>
        <w:tc>
          <w:tcPr>
            <w:tcW w:type="dxa" w:w="2608"/>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Core positioning invalidated by disclosure mandate</w:t>
            </w:r>
          </w:p>
        </w:tc>
        <w:tc>
          <w:tcPr>
            <w:tcW w:type="dxa" w:w="3167"/>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Disclosure-first design, keyword opt-out, consent ledger, DPDP alignment</w:t>
            </w:r>
          </w:p>
        </w:tc>
        <w:tc>
          <w:tcPr>
            <w:tcW w:type="dxa" w:w="93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Low</w:t>
            </w:r>
          </w:p>
        </w:tc>
        <w:tc>
          <w:tcPr>
            <w:tcW w:type="dxa" w:w="93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Neutral</w:t>
            </w:r>
          </w:p>
        </w:tc>
      </w:tr>
      <w:tr>
        <w:tc>
          <w:tcPr>
            <w:tcW w:type="dxa" w:w="37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5</w:t>
            </w:r>
          </w:p>
        </w:tc>
        <w:tc>
          <w:tcPr>
            <w:tcW w:type="dxa" w:w="130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First thirty seconds</w:t>
            </w:r>
          </w:p>
        </w:tc>
        <w:tc>
          <w:tcPr>
            <w:tcW w:type="dxa" w:w="2608"/>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Wrong project answers lose leads permanently and damage developer brand</w:t>
            </w:r>
          </w:p>
        </w:tc>
        <w:tc>
          <w:tcPr>
            <w:tcW w:type="dxa" w:w="316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Structured facts by deterministic lookup; retrieval restricted to prose</w:t>
            </w:r>
          </w:p>
        </w:tc>
        <w:tc>
          <w:tcPr>
            <w:tcW w:type="dxa" w:w="93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Medium</w:t>
            </w:r>
          </w:p>
        </w:tc>
        <w:tc>
          <w:tcPr>
            <w:tcW w:type="dxa" w:w="93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Reduces</w:t>
            </w:r>
          </w:p>
        </w:tc>
      </w:tr>
      <w:tr>
        <w:tc>
          <w:tcPr>
            <w:tcW w:type="dxa" w:w="37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6</w:t>
            </w:r>
          </w:p>
        </w:tc>
        <w:tc>
          <w:tcPr>
            <w:tcW w:type="dxa" w:w="1304"/>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Multi-turn complexity</w:t>
            </w:r>
          </w:p>
        </w:tc>
        <w:tc>
          <w:tcPr>
            <w:tcW w:type="dxa" w:w="2608"/>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Agent collapses on the first unexpected turn</w:t>
            </w:r>
          </w:p>
        </w:tc>
        <w:tc>
          <w:tcPr>
            <w:tcW w:type="dxa" w:w="3167"/>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Digression stack, confidence gating, golden set from fifty real calls</w:t>
            </w:r>
          </w:p>
        </w:tc>
        <w:tc>
          <w:tcPr>
            <w:tcW w:type="dxa" w:w="93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Medium</w:t>
            </w:r>
          </w:p>
        </w:tc>
        <w:tc>
          <w:tcPr>
            <w:tcW w:type="dxa" w:w="93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Slight increase</w:t>
            </w:r>
          </w:p>
        </w:tc>
      </w:tr>
      <w:tr>
        <w:tc>
          <w:tcPr>
            <w:tcW w:type="dxa" w:w="37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7</w:t>
            </w:r>
          </w:p>
        </w:tc>
        <w:tc>
          <w:tcPr>
            <w:tcW w:type="dxa" w:w="130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Adoption gap</w:t>
            </w:r>
          </w:p>
        </w:tc>
        <w:tc>
          <w:tcPr>
            <w:tcW w:type="dxa" w:w="2608"/>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Pilot fails on organisational resistance while technology performs correctly</w:t>
            </w:r>
          </w:p>
        </w:tc>
        <w:tc>
          <w:tcPr>
            <w:tcW w:type="dxa" w:w="316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Pilot scoped to unwanted lead pool; pre-call briefs; attribution to closers</w:t>
            </w:r>
          </w:p>
        </w:tc>
        <w:tc>
          <w:tcPr>
            <w:tcW w:type="dxa" w:w="93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None</w:t>
            </w:r>
          </w:p>
        </w:tc>
        <w:tc>
          <w:tcPr>
            <w:tcW w:type="dxa" w:w="93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None</w:t>
            </w:r>
          </w:p>
        </w:tc>
      </w:tr>
      <w:tr>
        <w:tc>
          <w:tcPr>
            <w:tcW w:type="dxa" w:w="37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8</w:t>
            </w:r>
          </w:p>
        </w:tc>
        <w:tc>
          <w:tcPr>
            <w:tcW w:type="dxa" w:w="1304"/>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ROI within pilot window</w:t>
            </w:r>
          </w:p>
        </w:tc>
        <w:tc>
          <w:tcPr>
            <w:tcW w:type="dxa" w:w="2608"/>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Technically successful pilots do not convert to contracts</w:t>
            </w:r>
          </w:p>
        </w:tc>
        <w:tc>
          <w:tcPr>
            <w:tcW w:type="dxa" w:w="3167"/>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Price per qualified visit; twenty percent randomised holdout from day zero</w:t>
            </w:r>
          </w:p>
        </w:tc>
        <w:tc>
          <w:tcPr>
            <w:tcW w:type="dxa" w:w="93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None</w:t>
            </w:r>
          </w:p>
        </w:tc>
        <w:tc>
          <w:tcPr>
            <w:tcW w:type="dxa" w:w="93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None</w:t>
            </w:r>
          </w:p>
        </w:tc>
      </w:tr>
    </w:tbl>
    <w:p>
      <w:pPr>
        <w:pStyle w:val="Heading2"/>
        <w:spacing w:after="140" w:before="260"/>
      </w:pPr>
      <w:r>
        <w:rPr>
          <w:rFonts w:ascii="Calibri" w:cs="Calibri" w:eastAsia="Calibri" w:hAnsi="Calibri"/>
          <w:b/>
          <w:bCs/>
          <w:i w:val="false"/>
          <w:iCs w:val="false"/>
          <w:color w:val="1B2A4A"/>
          <w:sz w:val="25"/>
          <w:szCs w:val="25"/>
        </w:rPr>
        <w:t xml:space="preserve">2.5 Cost-Efficiency Position</w:t>
      </w:r>
    </w:p>
    <w:p>
      <w:pPr>
        <w:spacing w:after="140" w:before="0" w:line="264"/>
        <w:jc w:val="left"/>
      </w:pPr>
      <w:r>
        <w:rPr>
          <w:rFonts w:ascii="Calibri" w:cs="Calibri" w:eastAsia="Calibri" w:hAnsi="Calibri"/>
          <w:b w:val="false"/>
          <w:bCs w:val="false"/>
          <w:i w:val="false"/>
          <w:iCs w:val="false"/>
          <w:color w:val="222222"/>
          <w:sz w:val="19"/>
          <w:szCs w:val="19"/>
        </w:rPr>
        <w:t xml:space="preserve">The brief for this review was that solutions must be effective without being expensive. The table below states explicitly where to spend and where not to, so the trade-off is a documented decision rather than an implicit one.</w:t>
      </w:r>
    </w:p>
    <w:p>
      <w:pPr>
        <w:pStyle w:val="Heading3"/>
        <w:spacing w:after="100" w:before="180"/>
      </w:pPr>
      <w:r>
        <w:rPr>
          <w:rFonts w:ascii="Calibri" w:cs="Calibri" w:eastAsia="Calibri" w:hAnsi="Calibri"/>
          <w:b/>
          <w:bCs/>
          <w:i w:val="false"/>
          <w:iCs w:val="false"/>
          <w:color w:val="2455A4"/>
          <w:sz w:val="21"/>
          <w:szCs w:val="21"/>
        </w:rPr>
        <w:t xml:space="preserve">Spend here</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2794"/>
        <w:gridCol w:w="6520"/>
      </w:tblGrid>
      <w:tr>
        <w:trPr>
          <w:tblHeader/>
        </w:trPr>
        <w:tc>
          <w:tcPr>
            <w:tcW w:type="dxa" w:w="2794"/>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Area</w:t>
            </w:r>
          </w:p>
        </w:tc>
        <w:tc>
          <w:tcPr>
            <w:tcW w:type="dxa" w:w="652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Rationale</w:t>
            </w:r>
          </w:p>
        </w:tc>
      </w:tr>
      <w:tr>
        <w:tc>
          <w:tcPr>
            <w:tcW w:type="dxa" w:w="279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Endpointing and turn-detection quality</w:t>
            </w:r>
          </w:p>
        </w:tc>
        <w:tc>
          <w:tcPr>
            <w:tcW w:type="dxa" w:w="652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The largest single contributor to perceived latency, and the cheapest place to recover it</w:t>
            </w:r>
          </w:p>
        </w:tc>
      </w:tr>
      <w:tr>
        <w:tc>
          <w:tcPr>
            <w:tcW w:type="dxa" w:w="2794"/>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Prompt caching and the small-model tier</w:t>
            </w:r>
          </w:p>
        </w:tc>
        <w:tc>
          <w:tcPr>
            <w:tcW w:type="dxa" w:w="652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Reduces both latency and token cost on every turn</w:t>
            </w:r>
          </w:p>
        </w:tc>
      </w:tr>
      <w:tr>
        <w:tc>
          <w:tcPr>
            <w:tcW w:type="dxa" w:w="279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Structured knowledge base per project</w:t>
            </w:r>
          </w:p>
        </w:tc>
        <w:tc>
          <w:tcPr>
            <w:tcW w:type="dxa" w:w="652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Directly determines answer accuracy, which determines conversion</w:t>
            </w:r>
          </w:p>
        </w:tc>
      </w:tr>
      <w:tr>
        <w:tc>
          <w:tcPr>
            <w:tcW w:type="dxa" w:w="2794"/>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Golden-set regression from real calls</w:t>
            </w:r>
          </w:p>
        </w:tc>
        <w:tc>
          <w:tcPr>
            <w:tcW w:type="dxa" w:w="652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The only reliable way to find edge cases before customers do</w:t>
            </w:r>
          </w:p>
        </w:tc>
      </w:tr>
      <w:tr>
        <w:tc>
          <w:tcPr>
            <w:tcW w:type="dxa" w:w="279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India-region hosting and domestic media path</w:t>
            </w:r>
          </w:p>
        </w:tc>
        <w:tc>
          <w:tcPr>
            <w:tcW w:type="dxa" w:w="652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Removes avoidable network delay that no software change can recover</w:t>
            </w:r>
          </w:p>
        </w:tc>
      </w:tr>
    </w:tbl>
    <w:p>
      <w:pPr>
        <w:pStyle w:val="Heading3"/>
        <w:spacing w:after="100" w:before="180"/>
      </w:pPr>
      <w:r>
        <w:rPr>
          <w:rFonts w:ascii="Calibri" w:cs="Calibri" w:eastAsia="Calibri" w:hAnsi="Calibri"/>
          <w:b/>
          <w:bCs/>
          <w:i w:val="false"/>
          <w:iCs w:val="false"/>
          <w:color w:val="2455A4"/>
          <w:sz w:val="21"/>
          <w:szCs w:val="21"/>
        </w:rPr>
        <w:t xml:space="preserve">Save here</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2794"/>
        <w:gridCol w:w="6520"/>
      </w:tblGrid>
      <w:tr>
        <w:trPr>
          <w:tblHeader/>
        </w:trPr>
        <w:tc>
          <w:tcPr>
            <w:tcW w:type="dxa" w:w="2794"/>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Area</w:t>
            </w:r>
          </w:p>
        </w:tc>
        <w:tc>
          <w:tcPr>
            <w:tcW w:type="dxa" w:w="652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Rationale</w:t>
            </w:r>
          </w:p>
        </w:tc>
      </w:tr>
      <w:tr>
        <w:tc>
          <w:tcPr>
            <w:tcW w:type="dxa" w:w="279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Premium voice fidelity beyond natural</w:t>
            </w:r>
          </w:p>
        </w:tc>
        <w:tc>
          <w:tcPr>
            <w:tcW w:type="dxa" w:w="652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Now table stakes; additional fidelity moves us toward the uncanny valley, not away from it</w:t>
            </w:r>
          </w:p>
        </w:tc>
      </w:tr>
      <w:tr>
        <w:tc>
          <w:tcPr>
            <w:tcW w:type="dxa" w:w="2794"/>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Frontier model on every conversational turn</w:t>
            </w:r>
          </w:p>
        </w:tc>
        <w:tc>
          <w:tcPr>
            <w:tcW w:type="dxa" w:w="652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The majority of turns are deterministic or simple; paying frontier rates for them is pure waste</w:t>
            </w:r>
          </w:p>
        </w:tc>
      </w:tr>
      <w:tr>
        <w:tc>
          <w:tcPr>
            <w:tcW w:type="dxa" w:w="279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Larger embedding models and broad retrieval</w:t>
            </w:r>
          </w:p>
        </w:tc>
        <w:tc>
          <w:tcPr>
            <w:tcW w:type="dxa" w:w="652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Adds token cost and latency without improving accuracy on structured project data</w:t>
            </w:r>
          </w:p>
        </w:tc>
      </w:tr>
      <w:tr>
        <w:tc>
          <w:tcPr>
            <w:tcW w:type="dxa" w:w="2794"/>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Full audio evaluation on every iteration</w:t>
            </w:r>
          </w:p>
        </w:tc>
        <w:tc>
          <w:tcPr>
            <w:tcW w:type="dxa" w:w="652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Text-mode regression catches most defects at a fraction of the cost; sample audio instead</w:t>
            </w:r>
          </w:p>
        </w:tc>
      </w:tr>
      <w:tr>
        <w:tc>
          <w:tcPr>
            <w:tcW w:type="dxa" w:w="279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Self-hosted speech infrastructure at current volume</w:t>
            </w:r>
          </w:p>
        </w:tc>
        <w:tc>
          <w:tcPr>
            <w:tcW w:type="dxa" w:w="652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API pricing wins below the concurrency break-even point; revisit when volume justifies it</w:t>
            </w:r>
          </w:p>
        </w:tc>
      </w:tr>
    </w:tbl>
    <w:p>
      <w:pPr>
        <w:pBdr>
          <w:top w:val="single" w:color="2455A4" w:sz="6"/>
          <w:bottom w:val="single" w:color="2455A4" w:sz="6"/>
          <w:left w:val="single" w:color="2455A4" w:sz="6"/>
          <w:right w:val="single" w:color="2455A4" w:sz="6"/>
        </w:pBdr>
        <w:shd w:fill="E9EFF9" w:val="clear"/>
        <w:spacing w:after="160" w:before="100"/>
      </w:pPr>
      <w:r>
        <w:rPr>
          <w:rFonts w:ascii="Calibri" w:cs="Calibri" w:eastAsia="Calibri" w:hAnsi="Calibri"/>
          <w:b/>
          <w:bCs/>
          <w:i w:val="false"/>
          <w:iCs w:val="false"/>
          <w:color w:val="1B2A4A"/>
          <w:sz w:val="19"/>
          <w:szCs w:val="19"/>
        </w:rPr>
        <w:t xml:space="preserve">On self-hosting speech models:  </w:t>
      </w:r>
      <w:r>
        <w:rPr>
          <w:rFonts w:ascii="Calibri" w:cs="Calibri" w:eastAsia="Calibri" w:hAnsi="Calibri"/>
          <w:b w:val="false"/>
          <w:bCs w:val="false"/>
          <w:i w:val="false"/>
          <w:iCs w:val="false"/>
          <w:color w:val="222222"/>
          <w:sz w:val="19"/>
          <w:szCs w:val="19"/>
        </w:rPr>
        <w:t xml:space="preserve">On self-hosting speech models: the break-even point is approximately hourly GPU cost divided by (API per-minute rate x 60 x utilisation rate). Below that concurrency, the API is cheaper. This calculation should be run against confirmed vendor rates before any infrastructure investment is approved.</w:t>
      </w:r>
    </w:p>
    <w:p>
      <w:pPr>
        <w:pStyle w:val="Heading2"/>
        <w:spacing w:after="140" w:before="260"/>
      </w:pPr>
      <w:r>
        <w:rPr>
          <w:rFonts w:ascii="Calibri" w:cs="Calibri" w:eastAsia="Calibri" w:hAnsi="Calibri"/>
          <w:b/>
          <w:bCs/>
          <w:i w:val="false"/>
          <w:iCs w:val="false"/>
          <w:color w:val="1B2A4A"/>
          <w:sz w:val="25"/>
          <w:szCs w:val="25"/>
        </w:rPr>
        <w:t xml:space="preserve">2.6 Implementation Sequence</w:t>
      </w:r>
    </w:p>
    <w:p>
      <w:pPr>
        <w:spacing w:after="140" w:before="0" w:line="264"/>
        <w:jc w:val="left"/>
      </w:pPr>
      <w:r>
        <w:rPr>
          <w:rFonts w:ascii="Calibri" w:cs="Calibri" w:eastAsia="Calibri" w:hAnsi="Calibri"/>
          <w:b w:val="false"/>
          <w:bCs w:val="false"/>
          <w:i w:val="false"/>
          <w:iCs w:val="false"/>
          <w:color w:val="222222"/>
          <w:sz w:val="19"/>
          <w:szCs w:val="19"/>
        </w:rPr>
        <w:t xml:space="preserve">Ordered by return on effort rather than by technical dependency, so that the earliest work removes the largest risks.</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745"/>
        <w:gridCol w:w="2794"/>
        <w:gridCol w:w="1490"/>
        <w:gridCol w:w="4284"/>
      </w:tblGrid>
      <w:tr>
        <w:trPr>
          <w:tblHeader/>
        </w:trPr>
        <w:tc>
          <w:tcPr>
            <w:tcW w:type="dxa" w:w="745"/>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Order</w:t>
            </w:r>
          </w:p>
        </w:tc>
        <w:tc>
          <w:tcPr>
            <w:tcW w:type="dxa" w:w="2794"/>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Workstream</w:t>
            </w:r>
          </w:p>
        </w:tc>
        <w:tc>
          <w:tcPr>
            <w:tcW w:type="dxa" w:w="149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Addresses</w:t>
            </w:r>
          </w:p>
        </w:tc>
        <w:tc>
          <w:tcPr>
            <w:tcW w:type="dxa" w:w="4284"/>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Rationale for Position</w:t>
            </w:r>
          </w:p>
        </w:tc>
      </w:tr>
      <w:tr>
        <w:tc>
          <w:tcPr>
            <w:tcW w:type="dxa" w:w="74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1</w:t>
            </w:r>
          </w:p>
        </w:tc>
        <w:tc>
          <w:tcPr>
            <w:tcW w:type="dxa" w:w="279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Pre-dial data quality gate</w:t>
            </w:r>
          </w:p>
        </w:tc>
        <w:tc>
          <w:tcPr>
            <w:tcW w:type="dxa" w:w="149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Challenge 3</w:t>
            </w:r>
          </w:p>
        </w:tc>
        <w:tc>
          <w:tcPr>
            <w:tcW w:type="dxa" w:w="428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Cheapest to build, prevents the most visible and most common pilot failure</w:t>
            </w:r>
          </w:p>
        </w:tc>
      </w:tr>
      <w:tr>
        <w:tc>
          <w:tcPr>
            <w:tcW w:type="dxa" w:w="74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2</w:t>
            </w:r>
          </w:p>
        </w:tc>
        <w:tc>
          <w:tcPr>
            <w:tcW w:type="dxa" w:w="2794"/>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Disclosure, opt-out and consent ledger</w:t>
            </w:r>
          </w:p>
        </w:tc>
        <w:tc>
          <w:tcPr>
            <w:tcW w:type="dxa" w:w="149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Challenge 4</w:t>
            </w:r>
          </w:p>
        </w:tc>
        <w:tc>
          <w:tcPr>
            <w:tcW w:type="dxa" w:w="4284"/>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Approximately one day of work; removes regulatory exposure entirely</w:t>
            </w:r>
          </w:p>
        </w:tc>
      </w:tr>
      <w:tr>
        <w:tc>
          <w:tcPr>
            <w:tcW w:type="dxa" w:w="74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3</w:t>
            </w:r>
          </w:p>
        </w:tc>
        <w:tc>
          <w:tcPr>
            <w:tcW w:type="dxa" w:w="279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Structured fact retrieval and KB onboarding template</w:t>
            </w:r>
          </w:p>
        </w:tc>
        <w:tc>
          <w:tcPr>
            <w:tcW w:type="dxa" w:w="149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Challenge 5</w:t>
            </w:r>
          </w:p>
        </w:tc>
        <w:tc>
          <w:tcPr>
            <w:tcW w:type="dxa" w:w="428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The accuracy moat; also reduces runtime cost relative to broad retrieval</w:t>
            </w:r>
          </w:p>
        </w:tc>
      </w:tr>
      <w:tr>
        <w:tc>
          <w:tcPr>
            <w:tcW w:type="dxa" w:w="74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4</w:t>
            </w:r>
          </w:p>
        </w:tc>
        <w:tc>
          <w:tcPr>
            <w:tcW w:type="dxa" w:w="2794"/>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Three-tier turn router and prompt caching</w:t>
            </w:r>
          </w:p>
        </w:tc>
        <w:tc>
          <w:tcPr>
            <w:tcW w:type="dxa" w:w="149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Challenges 2, 6</w:t>
            </w:r>
          </w:p>
        </w:tc>
        <w:tc>
          <w:tcPr>
            <w:tcW w:type="dxa" w:w="4284"/>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Where gross margin is determined; requires stable flows to tier against</w:t>
            </w:r>
          </w:p>
        </w:tc>
      </w:tr>
      <w:tr>
        <w:tc>
          <w:tcPr>
            <w:tcW w:type="dxa" w:w="74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5</w:t>
            </w:r>
          </w:p>
        </w:tc>
        <w:tc>
          <w:tcPr>
            <w:tcW w:type="dxa" w:w="279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Latency line items and filler injection</w:t>
            </w:r>
          </w:p>
        </w:tc>
        <w:tc>
          <w:tcPr>
            <w:tcW w:type="dxa" w:w="149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Challenges 1, 2</w:t>
            </w:r>
          </w:p>
        </w:tc>
        <w:tc>
          <w:tcPr>
            <w:tcW w:type="dxa" w:w="428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Depends on the router being in place to know where fillers are needed</w:t>
            </w:r>
          </w:p>
        </w:tc>
      </w:tr>
      <w:tr>
        <w:tc>
          <w:tcPr>
            <w:tcW w:type="dxa" w:w="74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6</w:t>
            </w:r>
          </w:p>
        </w:tc>
        <w:tc>
          <w:tcPr>
            <w:tcW w:type="dxa" w:w="2794"/>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Digression stack and confidence gating</w:t>
            </w:r>
          </w:p>
        </w:tc>
        <w:tc>
          <w:tcPr>
            <w:tcW w:type="dxa" w:w="149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Challenge 6</w:t>
            </w:r>
          </w:p>
        </w:tc>
        <w:tc>
          <w:tcPr>
            <w:tcW w:type="dxa" w:w="4284"/>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Refinement layer; needs the core dialogue flow stable first</w:t>
            </w:r>
          </w:p>
        </w:tc>
      </w:tr>
      <w:tr>
        <w:tc>
          <w:tcPr>
            <w:tcW w:type="dxa" w:w="74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7</w:t>
            </w:r>
          </w:p>
        </w:tc>
        <w:tc>
          <w:tcPr>
            <w:tcW w:type="dxa" w:w="279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Golden-set regression harness</w:t>
            </w:r>
          </w:p>
        </w:tc>
        <w:tc>
          <w:tcPr>
            <w:tcW w:type="dxa" w:w="149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Challenges 5, 6</w:t>
            </w:r>
          </w:p>
        </w:tc>
        <w:tc>
          <w:tcPr>
            <w:tcW w:type="dxa" w:w="428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Locks in everything above and protects it against future regression</w:t>
            </w:r>
          </w:p>
        </w:tc>
      </w:tr>
      <w:tr>
        <w:tc>
          <w:tcPr>
            <w:tcW w:type="dxa" w:w="74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t>
            </w:r>
          </w:p>
        </w:tc>
        <w:tc>
          <w:tcPr>
            <w:tcW w:type="dxa" w:w="2794"/>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Pilot design: lead pool scoping, holdout, pricing unit</w:t>
            </w:r>
          </w:p>
        </w:tc>
        <w:tc>
          <w:tcPr>
            <w:tcW w:type="dxa" w:w="149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Challenges 7, 8</w:t>
            </w:r>
          </w:p>
        </w:tc>
        <w:tc>
          <w:tcPr>
            <w:tcW w:type="dxa" w:w="4284"/>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No engineering dependency; must be agreed before the first pilot begins</w:t>
            </w:r>
          </w:p>
        </w:tc>
      </w:tr>
    </w:tbl>
    <w:p>
      <w:pPr>
        <w:spacing w:after="140" w:before="0" w:line="264"/>
        <w:jc w:val="left"/>
      </w:pPr>
      <w:r>
        <w:rPr>
          <w:rFonts w:ascii="Calibri" w:cs="Calibri" w:eastAsia="Calibri" w:hAnsi="Calibri"/>
          <w:b w:val="false"/>
          <w:bCs w:val="false"/>
          <w:i w:val="false"/>
          <w:iCs w:val="false"/>
          <w:color w:val="222222"/>
          <w:sz w:val="19"/>
          <w:szCs w:val="19"/>
        </w:rPr>
        <w:t xml:space="preserve">Items one through three represent approximately two weeks of work and remove the three most common causes of pilot failure. Items four and five are where our gross margin is established. Item seven and the pilot design items should be settled before the first customer engagement rather than during it.</w:t>
      </w:r>
    </w:p>
    <w:p>
      <w:pPr>
        <w:pStyle w:val="Heading2"/>
        <w:spacing w:after="140" w:before="260"/>
      </w:pPr>
      <w:r>
        <w:rPr>
          <w:rFonts w:ascii="Calibri" w:cs="Calibri" w:eastAsia="Calibri" w:hAnsi="Calibri"/>
          <w:b/>
          <w:bCs/>
          <w:i w:val="false"/>
          <w:iCs w:val="false"/>
          <w:color w:val="1B2A4A"/>
          <w:sz w:val="25"/>
          <w:szCs w:val="25"/>
        </w:rPr>
        <w:t xml:space="preserve">2.7 Risks, Assumptions and Open Questions</w:t>
      </w:r>
    </w:p>
    <w:p>
      <w:pPr>
        <w:spacing w:after="140" w:before="0" w:line="264"/>
        <w:jc w:val="left"/>
      </w:pPr>
      <w:r>
        <w:rPr>
          <w:rFonts w:ascii="Calibri" w:cs="Calibri" w:eastAsia="Calibri" w:hAnsi="Calibri"/>
          <w:b w:val="false"/>
          <w:bCs w:val="false"/>
          <w:i w:val="false"/>
          <w:iCs w:val="false"/>
          <w:color w:val="222222"/>
          <w:sz w:val="19"/>
          <w:szCs w:val="19"/>
        </w:rPr>
        <w:t xml:space="preserve">The following are stated explicitly so that they can be tested rather than carried forward as unexamined premises.</w:t>
      </w:r>
    </w:p>
    <w:p>
      <w:pPr>
        <w:pStyle w:val="Heading3"/>
        <w:spacing w:after="100" w:before="180"/>
      </w:pPr>
      <w:r>
        <w:rPr>
          <w:rFonts w:ascii="Calibri" w:cs="Calibri" w:eastAsia="Calibri" w:hAnsi="Calibri"/>
          <w:b/>
          <w:bCs/>
          <w:i w:val="false"/>
          <w:iCs w:val="false"/>
          <w:color w:val="2455A4"/>
          <w:sz w:val="21"/>
          <w:szCs w:val="21"/>
        </w:rPr>
        <w:t xml:space="preserve">Assumptions requiring validation</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Tier distribution. The share of turns handled at each tier is a hypothesis based on the structure of a presales script, not a measurement. It must be validated against a real call sample before it is used in financial modelling.</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Vendor rates. All cost reasoning in this document is relative rather than absolute. Current telephony, STT, TTS and inference rates must be confirmed before any pricing commitment.</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Sub-500ms target. This target is derived from the point at which conversation quality degrades. It should be confirmed against measured hang-up rates on our own calls once we have volume.</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Regulatory direction. Mandatory AI disclosure is our reading of the direction of policy, not present law. The disclosure-first design is defensible regardless of whether the mandate arrives.</w:t>
      </w:r>
    </w:p>
    <w:p>
      <w:pPr>
        <w:pStyle w:val="Heading3"/>
        <w:spacing w:after="100" w:before="180"/>
      </w:pPr>
      <w:r>
        <w:rPr>
          <w:rFonts w:ascii="Calibri" w:cs="Calibri" w:eastAsia="Calibri" w:hAnsi="Calibri"/>
          <w:b/>
          <w:bCs/>
          <w:i w:val="false"/>
          <w:iCs w:val="false"/>
          <w:color w:val="2455A4"/>
          <w:sz w:val="21"/>
          <w:szCs w:val="21"/>
        </w:rPr>
        <w:t xml:space="preserve">Residual risks</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3353"/>
        <w:gridCol w:w="2422"/>
        <w:gridCol w:w="3539"/>
      </w:tblGrid>
      <w:tr>
        <w:trPr>
          <w:tblHeader/>
        </w:trPr>
        <w:tc>
          <w:tcPr>
            <w:tcW w:type="dxa" w:w="3353"/>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Risk</w:t>
            </w:r>
          </w:p>
        </w:tc>
        <w:tc>
          <w:tcPr>
            <w:tcW w:type="dxa" w:w="2422"/>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Impact</w:t>
            </w:r>
          </w:p>
        </w:tc>
        <w:tc>
          <w:tcPr>
            <w:tcW w:type="dxa" w:w="3539"/>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Mitigation</w:t>
            </w:r>
          </w:p>
        </w:tc>
      </w:tr>
      <w:tr>
        <w:tc>
          <w:tcPr>
            <w:tcW w:type="dxa" w:w="335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Frontier-tier turns exceed projected share, raising per-minute cost above the price point</w:t>
            </w:r>
          </w:p>
        </w:tc>
        <w:tc>
          <w:tcPr>
            <w:tcW w:type="dxa" w:w="242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Margin compression; possible repricing</w:t>
            </w:r>
          </w:p>
        </w:tc>
        <w:tc>
          <w:tcPr>
            <w:tcW w:type="dxa" w:w="353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Instrument tier distribution from the first production call; set an alert threshold and tune routing before it becomes commercial</w:t>
            </w:r>
          </w:p>
        </w:tc>
      </w:tr>
      <w:tr>
        <w:tc>
          <w:tcPr>
            <w:tcW w:type="dxa" w:w="335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Knowledge base onboarding proves more manual than expected, limiting how fast we can add projects</w:t>
            </w:r>
          </w:p>
        </w:tc>
        <w:tc>
          <w:tcPr>
            <w:tcW w:type="dxa" w:w="2422"/>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Constrains scaling regardless of platform capability</w:t>
            </w:r>
          </w:p>
        </w:tc>
        <w:tc>
          <w:tcPr>
            <w:tcW w:type="dxa" w:w="353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Measure onboarding hours per project during the first three; templatise aggressively against actual friction points</w:t>
            </w:r>
          </w:p>
        </w:tc>
      </w:tr>
      <w:tr>
        <w:tc>
          <w:tcPr>
            <w:tcW w:type="dxa" w:w="335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Developer CRM data is poor enough that the pre-dial gate rejects most leads</w:t>
            </w:r>
          </w:p>
        </w:tc>
        <w:tc>
          <w:tcPr>
            <w:tcW w:type="dxa" w:w="242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Pilot appears to underperform through no fault of the platform</w:t>
            </w:r>
          </w:p>
        </w:tc>
        <w:tc>
          <w:tcPr>
            <w:tcW w:type="dxa" w:w="353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Report rejection statistics to the customer up front and agree remediation as a pilot precondition</w:t>
            </w:r>
          </w:p>
        </w:tc>
      </w:tr>
      <w:tr>
        <w:tc>
          <w:tcPr>
            <w:tcW w:type="dxa" w:w="335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Carrier-side spam flagging degrades connect rates independent of call quality</w:t>
            </w:r>
          </w:p>
        </w:tc>
        <w:tc>
          <w:tcPr>
            <w:tcW w:type="dxa" w:w="2422"/>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Reduced reach; harder attribution of poor results</w:t>
            </w:r>
          </w:p>
        </w:tc>
        <w:tc>
          <w:tcPr>
            <w:tcW w:type="dxa" w:w="353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Pacing controls, number rotation, and monitoring of connect rate by number as a standing metric</w:t>
            </w:r>
          </w:p>
        </w:tc>
      </w:tr>
      <w:tr>
        <w:tc>
          <w:tcPr>
            <w:tcW w:type="dxa" w:w="335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TTS splice seams are audible enough to undermine the naturalness gains</w:t>
            </w:r>
          </w:p>
        </w:tc>
        <w:tc>
          <w:tcPr>
            <w:tcW w:type="dxa" w:w="242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Partially negates the Challenge 1 work</w:t>
            </w:r>
          </w:p>
        </w:tc>
        <w:tc>
          <w:tcPr>
            <w:tcW w:type="dxa" w:w="353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Splice only at sentence boundaries with matched voice settings; validate on cellular audio before rollout</w:t>
            </w:r>
          </w:p>
        </w:tc>
      </w:tr>
    </w:tbl>
    <w:p>
      <w:pPr>
        <w:pStyle w:val="Heading3"/>
        <w:spacing w:after="100" w:before="180"/>
      </w:pPr>
      <w:r>
        <w:rPr>
          <w:rFonts w:ascii="Calibri" w:cs="Calibri" w:eastAsia="Calibri" w:hAnsi="Calibri"/>
          <w:b/>
          <w:bCs/>
          <w:i w:val="false"/>
          <w:iCs w:val="false"/>
          <w:color w:val="2455A4"/>
          <w:sz w:val="21"/>
          <w:szCs w:val="21"/>
        </w:rPr>
        <w:t xml:space="preserve">Open questions for discussion</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Is the twenty percent holdout commercially acceptable to a pilot customer, or does it need to be framed as a quality-assurance control rather than an experiment?</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Do we commit to disclosure-first now, or wait for the regulatory position to settle? The recommendation is to commit now, but it is a positioning decision rather than a purely technical one.</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What is the acceptable ceiling on cost per qualified site visit, and what does that imply for the maximum tolerable frontier-tier share?</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Should knowledge base onboarding be a chargeable professional-services line item, or absorbed as customer acquisition cost?</w:t>
      </w:r>
    </w:p>
    <w:p>
      <w:pPr>
        <w:pStyle w:val="Heading3"/>
        <w:spacing w:after="100" w:before="180"/>
      </w:pPr>
      <w:r>
        <w:rPr>
          <w:rFonts w:ascii="Calibri" w:cs="Calibri" w:eastAsia="Calibri" w:hAnsi="Calibri"/>
          <w:b/>
          <w:bCs/>
          <w:i w:val="false"/>
          <w:iCs w:val="false"/>
          <w:color w:val="2455A4"/>
          <w:sz w:val="21"/>
          <w:szCs w:val="21"/>
        </w:rPr>
        <w:t xml:space="preserve">Recommendation</w:t>
      </w:r>
    </w:p>
    <w:p>
      <w:pPr>
        <w:spacing w:after="140" w:before="0" w:line="264"/>
        <w:jc w:val="left"/>
      </w:pPr>
      <w:r>
        <w:rPr>
          <w:rFonts w:ascii="Calibri" w:cs="Calibri" w:eastAsia="Calibri" w:hAnsi="Calibri"/>
          <w:b w:val="false"/>
          <w:bCs w:val="false"/>
          <w:i w:val="false"/>
          <w:iCs w:val="false"/>
          <w:color w:val="222222"/>
          <w:sz w:val="19"/>
          <w:szCs w:val="19"/>
        </w:rPr>
        <w:t xml:space="preserve">Approve workstreams one through three for immediate development, and adopt the pilot design decisions under Challenges 7 and 8 as standard terms for every engagement. Defer the self-hosting question until the concurrency break-even calculation can be run against confirmed vendor rates. Instrument tier distribution from the first production call so that the central cost assumption in this document is validated with real data rather than carried as an estimate.</w:t>
      </w:r>
    </w:p>
    <w:p>
      <w:pPr>
        <w:pageBreakBefore/>
        <w:spacing w:after="20" w:before="0"/>
      </w:pPr>
      <w:r>
        <w:rPr>
          <w:rFonts w:ascii="Calibri" w:cs="Calibri" w:eastAsia="Calibri" w:hAnsi="Calibri"/>
          <w:b/>
          <w:bCs/>
          <w:i w:val="false"/>
          <w:iCs w:val="false"/>
          <w:color w:val="2455A4"/>
          <w:sz w:val="18"/>
          <w:szCs w:val="18"/>
        </w:rPr>
        <w:t xml:space="preserve">PART III</w:t>
      </w:r>
    </w:p>
    <w:p>
      <w:pPr>
        <w:pStyle w:val="Heading1"/>
        <w:pBdr>
          <w:bottom w:val="single" w:color="2455A4" w:sz="14" w:space="6"/>
        </w:pBdr>
        <w:spacing w:after="220" w:before="0"/>
      </w:pPr>
      <w:r>
        <w:rPr>
          <w:rFonts w:ascii="Calibri" w:cs="Calibri" w:eastAsia="Calibri" w:hAnsi="Calibri"/>
          <w:b/>
          <w:bCs/>
          <w:i w:val="false"/>
          <w:iCs w:val="false"/>
          <w:color w:val="1B2A4A"/>
          <w:sz w:val="34"/>
          <w:szCs w:val="34"/>
        </w:rPr>
        <w:t xml:space="preserve">Part III — Voice AI Competitive Landscape</w:t>
      </w:r>
    </w:p>
    <w:p>
      <w:pPr>
        <w:spacing w:after="200" w:before="0" w:line="264"/>
        <w:jc w:val="left"/>
      </w:pPr>
      <w:r>
        <w:rPr>
          <w:rFonts w:ascii="Calibri" w:cs="Calibri" w:eastAsia="Calibri" w:hAnsi="Calibri"/>
          <w:b w:val="false"/>
          <w:bCs w:val="false"/>
          <w:i/>
          <w:iCs/>
          <w:color w:val="5B6472"/>
          <w:sz w:val="19"/>
          <w:szCs w:val="19"/>
        </w:rPr>
        <w:t xml:space="preserve">Benchmarking the NCR Real Estate Voice AI Platform Architecture Against 8 Competitors Across 9 Industries</w:t>
      </w:r>
    </w:p>
    <w:p>
      <w:pPr>
        <w:pStyle w:val="Heading2"/>
        <w:spacing w:after="140" w:before="260"/>
      </w:pPr>
      <w:r>
        <w:rPr>
          <w:rFonts w:ascii="Calibri" w:cs="Calibri" w:eastAsia="Calibri" w:hAnsi="Calibri"/>
          <w:b/>
          <w:bCs/>
          <w:i w:val="false"/>
          <w:iCs w:val="false"/>
          <w:color w:val="1B2A4A"/>
          <w:sz w:val="25"/>
          <w:szCs w:val="25"/>
        </w:rPr>
        <w:t xml:space="preserve">3.1 Executive Summary</w:t>
      </w:r>
    </w:p>
    <w:p>
      <w:pPr>
        <w:spacing w:after="140" w:before="0" w:line="264"/>
        <w:jc w:val="left"/>
      </w:pPr>
      <w:r>
        <w:rPr>
          <w:rFonts w:ascii="Calibri" w:cs="Calibri" w:eastAsia="Calibri" w:hAnsi="Calibri"/>
          <w:b w:val="false"/>
          <w:bCs w:val="false"/>
          <w:i w:val="false"/>
          <w:iCs w:val="false"/>
          <w:color w:val="222222"/>
          <w:sz w:val="19"/>
          <w:szCs w:val="19"/>
        </w:rPr>
        <w:t xml:space="preserve">This benchmarks the platform architecture already specified (modular-monolith engine, config-driven Industry Packs, real-estate agent set: Lead Qualification, Scheduling, Follow-Up, Campaign, CP Intelligence, Inbound Concierge) against eight identified competitors in the Delhi NCR real estate voice AI market. Because five of those eight competitors operate across other verticals — BFSI, auto, healthcare, D2C, EdTech, and government — this analysis also surfaces features proven in those industries that are not yet present in our architecture, and translates them into a prioritized, engineering-mapped feature roadmap. Three findings drive the recommendations: (1) no competitor owns the full site-visit lifecycle or CP attribution — this remains our clearest wedge; (2) several capabilities standard elsewhere in the market — billing/usage metering, omnichannel WhatsApp/SMS as first-class channels, structured inventory lookup, and a published QA rubric — have no equivalent in our current data model or engine, and should be treated as build gaps rather than optional polish; (3) two competitor practices (AI+human hybrid outcome-buying, on-prem/BYO-CRM deployment) are lower priority for a Phase-1 NCR launch but should be tracked as enterprise/BFSI/healthcare expansion requirements.</w:t>
      </w:r>
    </w:p>
    <w:p>
      <w:pPr>
        <w:pStyle w:val="Heading2"/>
        <w:spacing w:after="140" w:before="260"/>
      </w:pPr>
      <w:r>
        <w:rPr>
          <w:rFonts w:ascii="Calibri" w:cs="Calibri" w:eastAsia="Calibri" w:hAnsi="Calibri"/>
          <w:b/>
          <w:bCs/>
          <w:i w:val="false"/>
          <w:iCs w:val="false"/>
          <w:color w:val="1B2A4A"/>
          <w:sz w:val="25"/>
          <w:szCs w:val="25"/>
        </w:rPr>
        <w:t xml:space="preserve">3.2 Company Directory — Who Else Is Building AI Voice Products</w:t>
      </w:r>
    </w:p>
    <w:p>
      <w:pPr>
        <w:spacing w:after="140" w:before="0" w:line="264"/>
        <w:jc w:val="left"/>
      </w:pPr>
      <w:r>
        <w:rPr>
          <w:rFonts w:ascii="Calibri" w:cs="Calibri" w:eastAsia="Calibri" w:hAnsi="Calibri"/>
          <w:b w:val="false"/>
          <w:bCs w:val="false"/>
          <w:i w:val="false"/>
          <w:iCs w:val="false"/>
          <w:color w:val="222222"/>
          <w:sz w:val="19"/>
          <w:szCs w:val="19"/>
        </w:rPr>
        <w:t xml:space="preserve">All eight direct competitors identified, mapped to every industry each one actually serves — not just real estate. This is the base population for the feature comparison in Section 3.3.</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1583"/>
        <w:gridCol w:w="1583"/>
        <w:gridCol w:w="2608"/>
        <w:gridCol w:w="2422"/>
        <w:gridCol w:w="1118"/>
      </w:tblGrid>
      <w:tr>
        <w:trPr>
          <w:tblHeader/>
        </w:trPr>
        <w:tc>
          <w:tcPr>
            <w:tcW w:type="dxa" w:w="1583"/>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Company</w:t>
            </w:r>
          </w:p>
        </w:tc>
        <w:tc>
          <w:tcPr>
            <w:tcW w:type="dxa" w:w="1583"/>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Website</w:t>
            </w:r>
          </w:p>
        </w:tc>
        <w:tc>
          <w:tcPr>
            <w:tcW w:type="dxa" w:w="2608"/>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Tier / Model</w:t>
            </w:r>
          </w:p>
        </w:tc>
        <w:tc>
          <w:tcPr>
            <w:tcW w:type="dxa" w:w="2422"/>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Industries Served</w:t>
            </w:r>
          </w:p>
        </w:tc>
        <w:tc>
          <w:tcPr>
            <w:tcW w:type="dxa" w:w="1118"/>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Threat</w:t>
            </w:r>
          </w:p>
        </w:tc>
      </w:tr>
      <w:tr>
        <w:tc>
          <w:tcPr>
            <w:tcW w:type="dxa" w:w="158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Thinkly AI</w:t>
            </w:r>
          </w:p>
        </w:tc>
        <w:tc>
          <w:tcPr>
            <w:tcW w:type="dxa" w:w="158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www.thinklylabs.com</w:t>
            </w:r>
          </w:p>
        </w:tc>
        <w:tc>
          <w:tcPr>
            <w:tcW w:type="dxa" w:w="2608"/>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Tier 1 — RE specialist, managed deployment</w:t>
            </w:r>
          </w:p>
        </w:tc>
        <w:tc>
          <w:tcPr>
            <w:tcW w:type="dxa" w:w="242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Real Estate, EdTech</w:t>
            </w:r>
          </w:p>
        </w:tc>
        <w:tc>
          <w:tcPr>
            <w:tcW w:type="dxa" w:w="1118"/>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High</w:t>
            </w:r>
          </w:p>
        </w:tc>
      </w:tr>
      <w:tr>
        <w:tc>
          <w:tcPr>
            <w:tcW w:type="dxa" w:w="158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ConvozenAI (NoBroker)</w:t>
            </w:r>
          </w:p>
        </w:tc>
        <w:tc>
          <w:tcPr>
            <w:tcW w:type="dxa" w:w="158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convozen.ai</w:t>
            </w:r>
          </w:p>
        </w:tc>
        <w:tc>
          <w:tcPr>
            <w:tcW w:type="dxa" w:w="2608"/>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Tier 1 — vertical-born, now horizontal SaaS</w:t>
            </w:r>
          </w:p>
        </w:tc>
        <w:tc>
          <w:tcPr>
            <w:tcW w:type="dxa" w:w="2422"/>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BFSI, EdTech, Healthcare, Auto, Real Estate, Government (citizen helpline)</w:t>
            </w:r>
          </w:p>
        </w:tc>
        <w:tc>
          <w:tcPr>
            <w:tcW w:type="dxa" w:w="1118"/>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Medium</w:t>
            </w:r>
          </w:p>
        </w:tc>
      </w:tr>
      <w:tr>
        <w:tc>
          <w:tcPr>
            <w:tcW w:type="dxa" w:w="158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HuskyVoice AI</w:t>
            </w:r>
          </w:p>
        </w:tc>
        <w:tc>
          <w:tcPr>
            <w:tcW w:type="dxa" w:w="158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www.huskyvoice.ai</w:t>
            </w:r>
          </w:p>
        </w:tc>
        <w:tc>
          <w:tcPr>
            <w:tcW w:type="dxa" w:w="2608"/>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Tier 1 — SMB "always-on front desk", inbound-first</w:t>
            </w:r>
          </w:p>
        </w:tc>
        <w:tc>
          <w:tcPr>
            <w:tcW w:type="dxa" w:w="242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Real Estate, Healthcare/Clinics, Salons, Recruiting</w:t>
            </w:r>
          </w:p>
        </w:tc>
        <w:tc>
          <w:tcPr>
            <w:tcW w:type="dxa" w:w="1118"/>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Low (mid-market)</w:t>
            </w:r>
          </w:p>
        </w:tc>
      </w:tr>
      <w:tr>
        <w:tc>
          <w:tcPr>
            <w:tcW w:type="dxa" w:w="158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Tabbly.io</w:t>
            </w:r>
          </w:p>
        </w:tc>
        <w:tc>
          <w:tcPr>
            <w:tcW w:type="dxa" w:w="158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www.tabbly.io</w:t>
            </w:r>
          </w:p>
        </w:tc>
        <w:tc>
          <w:tcPr>
            <w:tcW w:type="dxa" w:w="2608"/>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Tier 1 — self-serve SMB, 7-day go-live</w:t>
            </w:r>
          </w:p>
        </w:tc>
        <w:tc>
          <w:tcPr>
            <w:tcW w:type="dxa" w:w="2422"/>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Real Estate (SMB)</w:t>
            </w:r>
          </w:p>
        </w:tc>
        <w:tc>
          <w:tcPr>
            <w:tcW w:type="dxa" w:w="1118"/>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Low (entry-price pressure)</w:t>
            </w:r>
          </w:p>
        </w:tc>
      </w:tr>
      <w:tr>
        <w:tc>
          <w:tcPr>
            <w:tcW w:type="dxa" w:w="158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SquadStack</w:t>
            </w:r>
          </w:p>
        </w:tc>
        <w:tc>
          <w:tcPr>
            <w:tcW w:type="dxa" w:w="158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www.squadstack.ai</w:t>
            </w:r>
          </w:p>
        </w:tc>
        <w:tc>
          <w:tcPr>
            <w:tcW w:type="dxa" w:w="2608"/>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Tier 2 — AI + human hybrid calling</w:t>
            </w:r>
          </w:p>
        </w:tc>
        <w:tc>
          <w:tcPr>
            <w:tcW w:type="dxa" w:w="242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12 verticals incl. BFSI, Auto, E-commerce, EdTech, Real Estate</w:t>
            </w:r>
          </w:p>
        </w:tc>
        <w:tc>
          <w:tcPr>
            <w:tcW w:type="dxa" w:w="1118"/>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Low (mid-market); higher at enterprise</w:t>
            </w:r>
          </w:p>
        </w:tc>
      </w:tr>
      <w:tr>
        <w:tc>
          <w:tcPr>
            <w:tcW w:type="dxa" w:w="158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Haptik (Jio)</w:t>
            </w:r>
          </w:p>
        </w:tc>
        <w:tc>
          <w:tcPr>
            <w:tcW w:type="dxa" w:w="158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www.haptik.ai</w:t>
            </w:r>
          </w:p>
        </w:tc>
        <w:tc>
          <w:tcPr>
            <w:tcW w:type="dxa" w:w="2608"/>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Tier 2 — horizontal conversational AI, 100+ DMS/CRM integrations</w:t>
            </w:r>
          </w:p>
        </w:tc>
        <w:tc>
          <w:tcPr>
            <w:tcW w:type="dxa" w:w="2422"/>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Auto (dealerships) + general enterprise conversational AI</w:t>
            </w:r>
          </w:p>
        </w:tc>
        <w:tc>
          <w:tcPr>
            <w:tcW w:type="dxa" w:w="1118"/>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Low (no RE presence)</w:t>
            </w:r>
          </w:p>
        </w:tc>
      </w:tr>
      <w:tr>
        <w:tc>
          <w:tcPr>
            <w:tcW w:type="dxa" w:w="158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Bolna (YC-backed)</w:t>
            </w:r>
          </w:p>
        </w:tc>
        <w:tc>
          <w:tcPr>
            <w:tcW w:type="dxa" w:w="158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www.bolna.ai</w:t>
            </w:r>
          </w:p>
        </w:tc>
        <w:tc>
          <w:tcPr>
            <w:tcW w:type="dxa" w:w="2608"/>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Tier 3 — API/developer infrastructure (Sarvam-powered)</w:t>
            </w:r>
          </w:p>
        </w:tc>
        <w:tc>
          <w:tcPr>
            <w:tcW w:type="dxa" w:w="242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Industry-agnostic — built by developer teams on top of the API</w:t>
            </w:r>
          </w:p>
        </w:tc>
        <w:tc>
          <w:tcPr>
            <w:tcW w:type="dxa" w:w="1118"/>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None (different layer)</w:t>
            </w:r>
          </w:p>
        </w:tc>
      </w:tr>
      <w:tr>
        <w:tc>
          <w:tcPr>
            <w:tcW w:type="dxa" w:w="158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Caller Digital</w:t>
            </w:r>
          </w:p>
        </w:tc>
        <w:tc>
          <w:tcPr>
            <w:tcW w:type="dxa" w:w="158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www.caller.digital</w:t>
            </w:r>
          </w:p>
        </w:tc>
        <w:tc>
          <w:tcPr>
            <w:tcW w:type="dxa" w:w="2608"/>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Tier 3 — API + prebuilt templates (COD, EMI)</w:t>
            </w:r>
          </w:p>
        </w:tc>
        <w:tc>
          <w:tcPr>
            <w:tcW w:type="dxa" w:w="2422"/>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D2C/E-commerce, NBFC — expanding into Real Estate</w:t>
            </w:r>
          </w:p>
        </w:tc>
        <w:tc>
          <w:tcPr>
            <w:tcW w:type="dxa" w:w="1118"/>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Low today, watch quarterly</w:t>
            </w:r>
          </w:p>
        </w:tc>
      </w:tr>
    </w:tbl>
    <w:p>
      <w:pPr>
        <w:pStyle w:val="Heading3"/>
        <w:spacing w:after="100" w:before="180"/>
      </w:pPr>
      <w:r>
        <w:rPr>
          <w:rFonts w:ascii="Calibri" w:cs="Calibri" w:eastAsia="Calibri" w:hAnsi="Calibri"/>
          <w:b/>
          <w:bCs/>
          <w:i w:val="false"/>
          <w:iCs w:val="false"/>
          <w:color w:val="2455A4"/>
          <w:sz w:val="21"/>
          <w:szCs w:val="21"/>
        </w:rPr>
        <w:t xml:space="preserve">Thinkly AI  ·  Monitor closely</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2794"/>
        <w:gridCol w:w="6520"/>
      </w:tblGrid>
      <w:tr>
        <w:trPr>
          <w:tblHeader/>
        </w:trPr>
        <w:tc>
          <w:tcPr>
            <w:tcW w:type="dxa" w:w="2794"/>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Website</w:t>
            </w:r>
          </w:p>
        </w:tc>
        <w:tc>
          <w:tcPr>
            <w:tcW w:type="dxa" w:w="652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Notable Clients</w:t>
            </w:r>
          </w:p>
        </w:tc>
      </w:tr>
      <w:tr>
        <w:tc>
          <w:tcPr>
            <w:tcW w:type="dxa" w:w="279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www.thinklylabs.com</w:t>
            </w:r>
          </w:p>
        </w:tc>
        <w:tc>
          <w:tcPr>
            <w:tcW w:type="dxa" w:w="652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Indian real estate developers (early-stage, unnamed in source)</w:t>
            </w:r>
          </w:p>
        </w:tc>
      </w:tr>
    </w:tbl>
    <w:p>
      <w:pPr>
        <w:spacing w:after="100"/>
      </w:pPr>
      <w:r>
        <w:rPr>
          <w:rFonts w:ascii="Calibri" w:cs="Calibri" w:eastAsia="Calibri" w:hAnsi="Calibri"/>
          <w:b/>
          <w:bCs/>
          <w:i w:val="false"/>
          <w:iCs w:val="false"/>
          <w:color w:val="1B2A4A"/>
          <w:sz w:val="19"/>
          <w:szCs w:val="19"/>
        </w:rPr>
        <w:t xml:space="preserve">What it is: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Enterprise voice AI purpose-built for Indian real estate (and EdTech), with Hinglish-native speech models and agents trained directly on a developer's own project inventory, pricing, and possession timelines. Deployment is fully managed — their team designs the scripts and CRM integration for each client.</w:t>
      </w:r>
    </w:p>
    <w:p>
      <w:pPr>
        <w:spacing w:after="100"/>
      </w:pPr>
      <w:r>
        <w:rPr>
          <w:rFonts w:ascii="Calibri" w:cs="Calibri" w:eastAsia="Calibri" w:hAnsi="Calibri"/>
          <w:b/>
          <w:bCs/>
          <w:i w:val="false"/>
          <w:iCs w:val="false"/>
          <w:color w:val="1B2A4A"/>
          <w:sz w:val="19"/>
          <w:szCs w:val="19"/>
        </w:rPr>
        <w:t xml:space="preserve">Example: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iCs/>
          <w:color w:val="222222"/>
          <w:sz w:val="19"/>
          <w:szCs w:val="19"/>
        </w:rPr>
        <w:t xml:space="preserve">A Noida developer's Thinkly-powered agent can be asked "3BHK on floor 12, possession date?" and answers from that project's actual configured inventory, not a generic script.</w:t>
      </w:r>
    </w:p>
    <w:p>
      <w:pPr>
        <w:spacing w:after="100"/>
      </w:pPr>
      <w:r>
        <w:rPr>
          <w:rFonts w:ascii="Calibri" w:cs="Calibri" w:eastAsia="Calibri" w:hAnsi="Calibri"/>
          <w:b/>
          <w:bCs/>
          <w:i w:val="false"/>
          <w:iCs w:val="false"/>
          <w:color w:val="1B2A4A"/>
          <w:sz w:val="19"/>
          <w:szCs w:val="19"/>
        </w:rPr>
        <w:t xml:space="preserve">Why include / exclude: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The closest existing match to what we're building — same country, same vertical, same core workflow. Track their case studies and comparison content closely, but do not copy their managed-deployment sales model; our config-driven Industry Pack approach can deliver similar depth at lower cost per client. Differentiate on CP workflows and the full site-visit lifecycle, which they don't cover.</w:t>
      </w:r>
    </w:p>
    <w:p>
      <w:pPr>
        <w:pStyle w:val="Heading3"/>
        <w:spacing w:after="100" w:before="180"/>
      </w:pPr>
      <w:r>
        <w:rPr>
          <w:rFonts w:ascii="Calibri" w:cs="Calibri" w:eastAsia="Calibri" w:hAnsi="Calibri"/>
          <w:b/>
          <w:bCs/>
          <w:i w:val="false"/>
          <w:iCs w:val="false"/>
          <w:color w:val="2455A4"/>
          <w:sz w:val="21"/>
          <w:szCs w:val="21"/>
        </w:rPr>
        <w:t xml:space="preserve">ConvozenAI (NoBroker)  ·  Reference for language breadth only</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2794"/>
        <w:gridCol w:w="6520"/>
      </w:tblGrid>
      <w:tr>
        <w:trPr>
          <w:tblHeader/>
        </w:trPr>
        <w:tc>
          <w:tcPr>
            <w:tcW w:type="dxa" w:w="2794"/>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Website</w:t>
            </w:r>
          </w:p>
        </w:tc>
        <w:tc>
          <w:tcPr>
            <w:tcW w:type="dxa" w:w="652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Notable Clients</w:t>
            </w:r>
          </w:p>
        </w:tc>
      </w:tr>
      <w:tr>
        <w:tc>
          <w:tcPr>
            <w:tcW w:type="dxa" w:w="279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convozen.ai</w:t>
            </w:r>
          </w:p>
        </w:tc>
        <w:tc>
          <w:tcPr>
            <w:tcW w:type="dxa" w:w="652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Cars24, LendingKart, Tata AIG, LeapScholar, IndiaAI Mission (govt.)</w:t>
            </w:r>
          </w:p>
        </w:tc>
      </w:tr>
    </w:tbl>
    <w:p>
      <w:pPr>
        <w:spacing w:after="100"/>
      </w:pPr>
      <w:r>
        <w:rPr>
          <w:rFonts w:ascii="Calibri" w:cs="Calibri" w:eastAsia="Calibri" w:hAnsi="Calibri"/>
          <w:b/>
          <w:bCs/>
          <w:i w:val="false"/>
          <w:iCs w:val="false"/>
          <w:color w:val="1B2A4A"/>
          <w:sz w:val="19"/>
          <w:szCs w:val="19"/>
        </w:rPr>
        <w:t xml:space="preserve">What it is: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A horizontal conversational AI platform spun out of NoBroker, trained on 45,000+ hours of contact-center audio, supporting multiple Indian languages with code-switching, and selected by the Government of India for citizen-helpline monitoring.</w:t>
      </w:r>
    </w:p>
    <w:p>
      <w:pPr>
        <w:spacing w:after="100"/>
      </w:pPr>
      <w:r>
        <w:rPr>
          <w:rFonts w:ascii="Calibri" w:cs="Calibri" w:eastAsia="Calibri" w:hAnsi="Calibri"/>
          <w:b/>
          <w:bCs/>
          <w:i w:val="false"/>
          <w:iCs w:val="false"/>
          <w:color w:val="1B2A4A"/>
          <w:sz w:val="19"/>
          <w:szCs w:val="19"/>
        </w:rPr>
        <w:t xml:space="preserve">Example: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iCs/>
          <w:color w:val="222222"/>
          <w:sz w:val="19"/>
          <w:szCs w:val="19"/>
        </w:rPr>
        <w:t xml:space="preserve">The same underlying platform answers a BFSI collections call, an EdTech admissions query, and a real-estate site-visit request — real estate is one configured vertical among many, not its focus.</w:t>
      </w:r>
    </w:p>
    <w:p>
      <w:pPr>
        <w:spacing w:after="100"/>
      </w:pPr>
      <w:r>
        <w:rPr>
          <w:rFonts w:ascii="Calibri" w:cs="Calibri" w:eastAsia="Calibri" w:hAnsi="Calibri"/>
          <w:b/>
          <w:bCs/>
          <w:i w:val="false"/>
          <w:iCs w:val="false"/>
          <w:color w:val="1B2A4A"/>
          <w:sz w:val="19"/>
          <w:szCs w:val="19"/>
        </w:rPr>
        <w:t xml:space="preserve">Why include / exclude: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Include as a trust-gap lesson, not a feature lesson: developers may be wary of NoBroker's own AI touching their leads, since NoBroker is itself a competing real-estate platform. We should market our independence from any listing portal as a differentiator. Exclude their horizontal-SaaS strategy as our own approach — depth beats breadth in a vertical launch.</w:t>
      </w:r>
    </w:p>
    <w:p>
      <w:pPr>
        <w:pStyle w:val="Heading3"/>
        <w:spacing w:after="100" w:before="180"/>
      </w:pPr>
      <w:r>
        <w:rPr>
          <w:rFonts w:ascii="Calibri" w:cs="Calibri" w:eastAsia="Calibri" w:hAnsi="Calibri"/>
          <w:b/>
          <w:bCs/>
          <w:i w:val="false"/>
          <w:iCs w:val="false"/>
          <w:color w:val="2455A4"/>
          <w:sz w:val="21"/>
          <w:szCs w:val="21"/>
        </w:rPr>
        <w:t xml:space="preserve">HuskyVoice AI  ·  Useful pattern for a future SMB tier</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2794"/>
        <w:gridCol w:w="6520"/>
      </w:tblGrid>
      <w:tr>
        <w:trPr>
          <w:tblHeader/>
        </w:trPr>
        <w:tc>
          <w:tcPr>
            <w:tcW w:type="dxa" w:w="2794"/>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Website</w:t>
            </w:r>
          </w:p>
        </w:tc>
        <w:tc>
          <w:tcPr>
            <w:tcW w:type="dxa" w:w="652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Notable Clients</w:t>
            </w:r>
          </w:p>
        </w:tc>
      </w:tr>
      <w:tr>
        <w:tc>
          <w:tcPr>
            <w:tcW w:type="dxa" w:w="279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www.huskyvoice.ai</w:t>
            </w:r>
          </w:p>
        </w:tc>
        <w:tc>
          <w:tcPr>
            <w:tcW w:type="dxa" w:w="652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Porur Pediatric, MedPlus, Beyond Smiles Dental, Acquist Realty</w:t>
            </w:r>
          </w:p>
        </w:tc>
      </w:tr>
    </w:tbl>
    <w:p>
      <w:pPr>
        <w:spacing w:after="100"/>
      </w:pPr>
      <w:r>
        <w:rPr>
          <w:rFonts w:ascii="Calibri" w:cs="Calibri" w:eastAsia="Calibri" w:hAnsi="Calibri"/>
          <w:b/>
          <w:bCs/>
          <w:i w:val="false"/>
          <w:iCs w:val="false"/>
          <w:color w:val="1B2A4A"/>
          <w:sz w:val="19"/>
          <w:szCs w:val="19"/>
        </w:rPr>
        <w:t xml:space="preserve">What it is: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A low-cost (from Rs 1,999/month), inbound-first, no-code voice AI positioned as an "always-on front desk" across appointment-heavy SMBs — clinics, salons, recruiters, and single-project real estate brokers.</w:t>
      </w:r>
    </w:p>
    <w:p>
      <w:pPr>
        <w:spacing w:after="100"/>
      </w:pPr>
      <w:r>
        <w:rPr>
          <w:rFonts w:ascii="Calibri" w:cs="Calibri" w:eastAsia="Calibri" w:hAnsi="Calibri"/>
          <w:b/>
          <w:bCs/>
          <w:i w:val="false"/>
          <w:iCs w:val="false"/>
          <w:color w:val="1B2A4A"/>
          <w:sz w:val="19"/>
          <w:szCs w:val="19"/>
        </w:rPr>
        <w:t xml:space="preserve">Example: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iCs/>
          <w:color w:val="222222"/>
          <w:sz w:val="19"/>
          <w:szCs w:val="19"/>
        </w:rPr>
        <w:t xml:space="preserve">A small broker connects one phone number and their calendar, and the system answers after-hours listing calls the same day, with no CRM or developer integration required.</w:t>
      </w:r>
    </w:p>
    <w:p>
      <w:pPr>
        <w:spacing w:after="100"/>
      </w:pPr>
      <w:r>
        <w:rPr>
          <w:rFonts w:ascii="Calibri" w:cs="Calibri" w:eastAsia="Calibri" w:hAnsi="Calibri"/>
          <w:b/>
          <w:bCs/>
          <w:i w:val="false"/>
          <w:iCs w:val="false"/>
          <w:color w:val="1B2A4A"/>
          <w:sz w:val="19"/>
          <w:szCs w:val="19"/>
        </w:rPr>
        <w:t xml:space="preserve">Why include / exclude: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Include the SMB/self-serve pattern as inspiration for a future lightweight onboarding tier — it proves a real, price-sensitive segment exists below our enterprise/mid-market target. Exclude their inbound-only design as our core model: NCR lead qualification is fundamentally outbound (calling portal leads), which is exactly their gap.</w:t>
      </w:r>
    </w:p>
    <w:p>
      <w:pPr>
        <w:pStyle w:val="Heading3"/>
        <w:spacing w:after="100" w:before="180"/>
      </w:pPr>
      <w:r>
        <w:rPr>
          <w:rFonts w:ascii="Calibri" w:cs="Calibri" w:eastAsia="Calibri" w:hAnsi="Calibri"/>
          <w:b/>
          <w:bCs/>
          <w:i w:val="false"/>
          <w:iCs w:val="false"/>
          <w:color w:val="2455A4"/>
          <w:sz w:val="21"/>
          <w:szCs w:val="21"/>
        </w:rPr>
        <w:t xml:space="preserve">Tabbly.io  ·  Pricing data point only</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2794"/>
        <w:gridCol w:w="6520"/>
      </w:tblGrid>
      <w:tr>
        <w:trPr>
          <w:tblHeader/>
        </w:trPr>
        <w:tc>
          <w:tcPr>
            <w:tcW w:type="dxa" w:w="2794"/>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Website</w:t>
            </w:r>
          </w:p>
        </w:tc>
        <w:tc>
          <w:tcPr>
            <w:tcW w:type="dxa" w:w="652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Notable Clients</w:t>
            </w:r>
          </w:p>
        </w:tc>
      </w:tr>
      <w:tr>
        <w:tc>
          <w:tcPr>
            <w:tcW w:type="dxa" w:w="279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www.tabbly.io</w:t>
            </w:r>
          </w:p>
        </w:tc>
        <w:tc>
          <w:tcPr>
            <w:tcW w:type="dxa" w:w="652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NoBroker (case study claimed)</w:t>
            </w:r>
          </w:p>
        </w:tc>
      </w:tr>
    </w:tbl>
    <w:p>
      <w:pPr>
        <w:spacing w:after="100"/>
      </w:pPr>
      <w:r>
        <w:rPr>
          <w:rFonts w:ascii="Calibri" w:cs="Calibri" w:eastAsia="Calibri" w:hAnsi="Calibri"/>
          <w:b/>
          <w:bCs/>
          <w:i w:val="false"/>
          <w:iCs w:val="false"/>
          <w:color w:val="1B2A4A"/>
          <w:sz w:val="19"/>
          <w:szCs w:val="19"/>
        </w:rPr>
        <w:t xml:space="preserve">What it is: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A self-serve, per-minute (~$0.03/min) Hindi voice AI for real estate lead qualification, with a 7-day go-live and a 500-minute free trial, aimed at small-to-mid developers.</w:t>
      </w:r>
    </w:p>
    <w:p>
      <w:pPr>
        <w:spacing w:after="100"/>
      </w:pPr>
      <w:r>
        <w:rPr>
          <w:rFonts w:ascii="Calibri" w:cs="Calibri" w:eastAsia="Calibri" w:hAnsi="Calibri"/>
          <w:b/>
          <w:bCs/>
          <w:i w:val="false"/>
          <w:iCs w:val="false"/>
          <w:color w:val="1B2A4A"/>
          <w:sz w:val="19"/>
          <w:szCs w:val="19"/>
        </w:rPr>
        <w:t xml:space="preserve">Example: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iCs/>
          <w:color w:val="222222"/>
          <w:sz w:val="19"/>
          <w:szCs w:val="19"/>
        </w:rPr>
        <w:t xml:space="preserve">A small developer signs up, uploads a lead list, and starts outbound calls within a week without any sales conversation with Tabbly staff.</w:t>
      </w:r>
    </w:p>
    <w:p>
      <w:pPr>
        <w:spacing w:after="100"/>
      </w:pPr>
      <w:r>
        <w:rPr>
          <w:rFonts w:ascii="Calibri" w:cs="Calibri" w:eastAsia="Calibri" w:hAnsi="Calibri"/>
          <w:b/>
          <w:bCs/>
          <w:i w:val="false"/>
          <w:iCs w:val="false"/>
          <w:color w:val="1B2A4A"/>
          <w:sz w:val="19"/>
          <w:szCs w:val="19"/>
        </w:rPr>
        <w:t xml:space="preserve">Why include / exclude: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Include as a pricing-model data point — usage-based, low-commitment pricing is a proven entry mechanic in this market. Exclude as a workflow model: weakest enterprise depth among the eight, so it cannot be our template for CP workflows, site-visit lifecycle, or CRM depth.</w:t>
      </w:r>
    </w:p>
    <w:p>
      <w:pPr>
        <w:pStyle w:val="Heading3"/>
        <w:spacing w:after="100" w:before="180"/>
      </w:pPr>
      <w:r>
        <w:rPr>
          <w:rFonts w:ascii="Calibri" w:cs="Calibri" w:eastAsia="Calibri" w:hAnsi="Calibri"/>
          <w:b/>
          <w:bCs/>
          <w:i w:val="false"/>
          <w:iCs w:val="false"/>
          <w:color w:val="2455A4"/>
          <w:sz w:val="21"/>
          <w:szCs w:val="21"/>
        </w:rPr>
        <w:t xml:space="preserve">SquadStack  ·  Not a near-term threat; watch for enterprise deals</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2794"/>
        <w:gridCol w:w="6520"/>
      </w:tblGrid>
      <w:tr>
        <w:trPr>
          <w:tblHeader/>
        </w:trPr>
        <w:tc>
          <w:tcPr>
            <w:tcW w:type="dxa" w:w="2794"/>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Website</w:t>
            </w:r>
          </w:p>
        </w:tc>
        <w:tc>
          <w:tcPr>
            <w:tcW w:type="dxa" w:w="652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Notable Clients</w:t>
            </w:r>
          </w:p>
        </w:tc>
      </w:tr>
      <w:tr>
        <w:tc>
          <w:tcPr>
            <w:tcW w:type="dxa" w:w="279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www.squadstack.ai</w:t>
            </w:r>
          </w:p>
        </w:tc>
        <w:tc>
          <w:tcPr>
            <w:tcW w:type="dxa" w:w="652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Tata Digital, PhonePe, HDFC Life, CarDekho</w:t>
            </w:r>
          </w:p>
        </w:tc>
      </w:tr>
    </w:tbl>
    <w:p>
      <w:pPr>
        <w:spacing w:after="100"/>
      </w:pPr>
      <w:r>
        <w:rPr>
          <w:rFonts w:ascii="Calibri" w:cs="Calibri" w:eastAsia="Calibri" w:hAnsi="Calibri"/>
          <w:b/>
          <w:bCs/>
          <w:i w:val="false"/>
          <w:iCs w:val="false"/>
          <w:color w:val="1B2A4A"/>
          <w:sz w:val="19"/>
          <w:szCs w:val="19"/>
        </w:rPr>
        <w:t xml:space="preserve">What it is: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India's largest AI+human hybrid calling platform (862 employees, $17M raised, 4M+ calls/day), where clients buy outcomes ("qualify these 10,000 leads") and SquadStack decides whether AI or a human telecaller handles each call. Real estate is 1 of 12 verticals served.</w:t>
      </w:r>
    </w:p>
    <w:p>
      <w:pPr>
        <w:spacing w:after="100"/>
      </w:pPr>
      <w:r>
        <w:rPr>
          <w:rFonts w:ascii="Calibri" w:cs="Calibri" w:eastAsia="Calibri" w:hAnsi="Calibri"/>
          <w:b/>
          <w:bCs/>
          <w:i w:val="false"/>
          <w:iCs w:val="false"/>
          <w:color w:val="1B2A4A"/>
          <w:sz w:val="19"/>
          <w:szCs w:val="19"/>
        </w:rPr>
        <w:t xml:space="preserve">Example: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iCs/>
          <w:color w:val="222222"/>
          <w:sz w:val="19"/>
          <w:szCs w:val="19"/>
        </w:rPr>
        <w:t xml:space="preserve">A large NBFC client hands SquadStack a batch of loan leads; SquadStack routes the straightforward ones to AI and the ambiguous, high-value ones to a human telecaller, billing per connected call or outcome.</w:t>
      </w:r>
    </w:p>
    <w:p>
      <w:pPr>
        <w:spacing w:after="100"/>
      </w:pPr>
      <w:r>
        <w:rPr>
          <w:rFonts w:ascii="Calibri" w:cs="Calibri" w:eastAsia="Calibri" w:hAnsi="Calibri"/>
          <w:b/>
          <w:bCs/>
          <w:i w:val="false"/>
          <w:iCs w:val="false"/>
          <w:color w:val="1B2A4A"/>
          <w:sz w:val="19"/>
          <w:szCs w:val="19"/>
        </w:rPr>
        <w:t xml:space="preserve">Why include / exclude: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Include their compliance certification bar (ISO 27001, ISO 27701, SOC 2 Type II) as a future target for enterprise/BFSI deals. Exclude the human-in-loop hybrid model for our Phase 1-2 launch — it triples-to-quintuples per-call cost and reintroduces the "black box, we don't own the agent" complaint mid-market developers dislike.</w:t>
      </w:r>
    </w:p>
    <w:p>
      <w:pPr>
        <w:pStyle w:val="Heading3"/>
        <w:spacing w:after="100" w:before="180"/>
      </w:pPr>
      <w:r>
        <w:rPr>
          <w:rFonts w:ascii="Calibri" w:cs="Calibri" w:eastAsia="Calibri" w:hAnsi="Calibri"/>
          <w:b/>
          <w:bCs/>
          <w:i w:val="false"/>
          <w:iCs w:val="false"/>
          <w:color w:val="2455A4"/>
          <w:sz w:val="21"/>
          <w:szCs w:val="21"/>
        </w:rPr>
        <w:t xml:space="preserve">Haptik (Jio)  ·  Pattern library, not a competitor</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2794"/>
        <w:gridCol w:w="6520"/>
      </w:tblGrid>
      <w:tr>
        <w:trPr>
          <w:tblHeader/>
        </w:trPr>
        <w:tc>
          <w:tcPr>
            <w:tcW w:type="dxa" w:w="2794"/>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Website</w:t>
            </w:r>
          </w:p>
        </w:tc>
        <w:tc>
          <w:tcPr>
            <w:tcW w:type="dxa" w:w="652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Notable Clients</w:t>
            </w:r>
          </w:p>
        </w:tc>
      </w:tr>
      <w:tr>
        <w:tc>
          <w:tcPr>
            <w:tcW w:type="dxa" w:w="279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www.haptik.ai</w:t>
            </w:r>
          </w:p>
        </w:tc>
        <w:tc>
          <w:tcPr>
            <w:tcW w:type="dxa" w:w="652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Maruti Arena, Tata Motors</w:t>
            </w:r>
          </w:p>
        </w:tc>
      </w:tr>
    </w:tbl>
    <w:p>
      <w:pPr>
        <w:spacing w:after="100"/>
      </w:pPr>
      <w:r>
        <w:rPr>
          <w:rFonts w:ascii="Calibri" w:cs="Calibri" w:eastAsia="Calibri" w:hAnsi="Calibri"/>
          <w:b/>
          <w:bCs/>
          <w:i w:val="false"/>
          <w:iCs w:val="false"/>
          <w:color w:val="1B2A4A"/>
          <w:sz w:val="19"/>
          <w:szCs w:val="19"/>
        </w:rPr>
        <w:t xml:space="preserve">What it is: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India's largest conversational AI platform (12+ years of data, 100+ pre-built DMS/CRM integrations), with its deepest vertical proof point in automotive — test-drive booking, SOS breakdown assistance, and parts-inventory lookup at Maruti Arena and Tata Motors dealerships.</w:t>
      </w:r>
    </w:p>
    <w:p>
      <w:pPr>
        <w:spacing w:after="100"/>
      </w:pPr>
      <w:r>
        <w:rPr>
          <w:rFonts w:ascii="Calibri" w:cs="Calibri" w:eastAsia="Calibri" w:hAnsi="Calibri"/>
          <w:b/>
          <w:bCs/>
          <w:i w:val="false"/>
          <w:iCs w:val="false"/>
          <w:color w:val="1B2A4A"/>
          <w:sz w:val="19"/>
          <w:szCs w:val="19"/>
        </w:rPr>
        <w:t xml:space="preserve">Example: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iCs/>
          <w:color w:val="222222"/>
          <w:sz w:val="19"/>
          <w:szCs w:val="19"/>
        </w:rPr>
        <w:t xml:space="preserve">A car buyer calls a Maruti dealership after a breakdown; Haptik's agent recognizes the "SOS" intent and triggers an urgent escalation workflow distinct from a routine sales or service call.</w:t>
      </w:r>
    </w:p>
    <w:p>
      <w:pPr>
        <w:spacing w:after="100"/>
      </w:pPr>
      <w:r>
        <w:rPr>
          <w:rFonts w:ascii="Calibri" w:cs="Calibri" w:eastAsia="Calibri" w:hAnsi="Calibri"/>
          <w:b/>
          <w:bCs/>
          <w:i w:val="false"/>
          <w:iCs w:val="false"/>
          <w:color w:val="1B2A4A"/>
          <w:sz w:val="19"/>
          <w:szCs w:val="19"/>
        </w:rPr>
        <w:t xml:space="preserve">Why include / exclude: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Include two structural patterns that translate cleanly to real estate: a generic emergency-escalation tool (a legal-dispute call) and a queryable structured-inventory tool ("is unit 1204 available") — both are now on our roadmap. Exclude their 100+ connector breadth as a near-term goal; that scale of integration library is a multi-year investment we don't need yet.</w:t>
      </w:r>
    </w:p>
    <w:p>
      <w:pPr>
        <w:pStyle w:val="Heading3"/>
        <w:spacing w:after="100" w:before="180"/>
      </w:pPr>
      <w:r>
        <w:rPr>
          <w:rFonts w:ascii="Calibri" w:cs="Calibri" w:eastAsia="Calibri" w:hAnsi="Calibri"/>
          <w:b/>
          <w:bCs/>
          <w:i w:val="false"/>
          <w:iCs w:val="false"/>
          <w:color w:val="2455A4"/>
          <w:sz w:val="21"/>
          <w:szCs w:val="21"/>
        </w:rPr>
        <w:t xml:space="preserve">Bolna (YC-backed)  ·  Potential vendor, not a competitor</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2794"/>
        <w:gridCol w:w="6520"/>
      </w:tblGrid>
      <w:tr>
        <w:trPr>
          <w:tblHeader/>
        </w:trPr>
        <w:tc>
          <w:tcPr>
            <w:tcW w:type="dxa" w:w="2794"/>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Website</w:t>
            </w:r>
          </w:p>
        </w:tc>
        <w:tc>
          <w:tcPr>
            <w:tcW w:type="dxa" w:w="652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Notable Clients</w:t>
            </w:r>
          </w:p>
        </w:tc>
      </w:tr>
      <w:tr>
        <w:tc>
          <w:tcPr>
            <w:tcW w:type="dxa" w:w="279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www.bolna.ai</w:t>
            </w:r>
          </w:p>
        </w:tc>
        <w:tc>
          <w:tcPr>
            <w:tcW w:type="dxa" w:w="652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Custom builds; no named vertical clients</w:t>
            </w:r>
          </w:p>
        </w:tc>
      </w:tr>
    </w:tbl>
    <w:p>
      <w:pPr>
        <w:spacing w:after="100"/>
      </w:pPr>
      <w:r>
        <w:rPr>
          <w:rFonts w:ascii="Calibri" w:cs="Calibri" w:eastAsia="Calibri" w:hAnsi="Calibri"/>
          <w:b/>
          <w:bCs/>
          <w:i w:val="false"/>
          <w:iCs w:val="false"/>
          <w:color w:val="1B2A4A"/>
          <w:sz w:val="19"/>
          <w:szCs w:val="19"/>
        </w:rPr>
        <w:t xml:space="preserve">What it is: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A pure API/developer infrastructure platform (~Rs 5.52/min, Sarvam-powered Indic language support) for teams that want to build their own voice AI product from scratch. No templates, no dashboards, no vertical knowledge.</w:t>
      </w:r>
    </w:p>
    <w:p>
      <w:pPr>
        <w:spacing w:after="100"/>
      </w:pPr>
      <w:r>
        <w:rPr>
          <w:rFonts w:ascii="Calibri" w:cs="Calibri" w:eastAsia="Calibri" w:hAnsi="Calibri"/>
          <w:b/>
          <w:bCs/>
          <w:i w:val="false"/>
          <w:iCs w:val="false"/>
          <w:color w:val="1B2A4A"/>
          <w:sz w:val="19"/>
          <w:szCs w:val="19"/>
        </w:rPr>
        <w:t xml:space="preserve">Example: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iCs/>
          <w:color w:val="222222"/>
          <w:sz w:val="19"/>
          <w:szCs w:val="19"/>
        </w:rPr>
        <w:t xml:space="preserve">A well-funded startup uses Bolna's API as the STT/TTS/LLM plumbing and builds its own real-estate product on top — essentially our approach, but starting from infrastructure instead of a finished platform.</w:t>
      </w:r>
    </w:p>
    <w:p>
      <w:pPr>
        <w:spacing w:after="100"/>
      </w:pPr>
      <w:r>
        <w:rPr>
          <w:rFonts w:ascii="Calibri" w:cs="Calibri" w:eastAsia="Calibri" w:hAnsi="Calibri"/>
          <w:b/>
          <w:bCs/>
          <w:i w:val="false"/>
          <w:iCs w:val="false"/>
          <w:color w:val="1B2A4A"/>
          <w:sz w:val="19"/>
          <w:szCs w:val="19"/>
        </w:rPr>
        <w:t xml:space="preserve">Why include / exclude: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Exclude as a competitor to worry about — the source analysis is explicit: "don't compete, they're infrastructure." Include only as a fallback vendor option: if our provider-abstraction layer ever needs a fast Indic-language STT/TTS bundle, Bolna (or the Sarvam stack underneath it) is a viable choice.</w:t>
      </w:r>
    </w:p>
    <w:p>
      <w:pPr>
        <w:pStyle w:val="Heading3"/>
        <w:spacing w:after="100" w:before="180"/>
      </w:pPr>
      <w:r>
        <w:rPr>
          <w:rFonts w:ascii="Calibri" w:cs="Calibri" w:eastAsia="Calibri" w:hAnsi="Calibri"/>
          <w:b/>
          <w:bCs/>
          <w:i w:val="false"/>
          <w:iCs w:val="false"/>
          <w:color w:val="2455A4"/>
          <w:sz w:val="21"/>
          <w:szCs w:val="21"/>
        </w:rPr>
        <w:t xml:space="preserve">Caller Digital  ·  Re-check real-estate progress quarterly</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2794"/>
        <w:gridCol w:w="6520"/>
      </w:tblGrid>
      <w:tr>
        <w:trPr>
          <w:tblHeader/>
        </w:trPr>
        <w:tc>
          <w:tcPr>
            <w:tcW w:type="dxa" w:w="2794"/>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Website</w:t>
            </w:r>
          </w:p>
        </w:tc>
        <w:tc>
          <w:tcPr>
            <w:tcW w:type="dxa" w:w="652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Notable Clients</w:t>
            </w:r>
          </w:p>
        </w:tc>
      </w:tr>
      <w:tr>
        <w:tc>
          <w:tcPr>
            <w:tcW w:type="dxa" w:w="279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www.caller.digital</w:t>
            </w:r>
          </w:p>
        </w:tc>
        <w:tc>
          <w:tcPr>
            <w:tcW w:type="dxa" w:w="652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D2C and NBFC brands (unnamed)</w:t>
            </w:r>
          </w:p>
        </w:tc>
      </w:tr>
    </w:tbl>
    <w:p>
      <w:pPr>
        <w:spacing w:after="100"/>
      </w:pPr>
      <w:r>
        <w:rPr>
          <w:rFonts w:ascii="Calibri" w:cs="Calibri" w:eastAsia="Calibri" w:hAnsi="Calibri"/>
          <w:b/>
          <w:bCs/>
          <w:i w:val="false"/>
          <w:iCs w:val="false"/>
          <w:color w:val="1B2A4A"/>
          <w:sz w:val="19"/>
          <w:szCs w:val="19"/>
        </w:rPr>
        <w:t xml:space="preserve">What it is: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Outbound AI calling for Indian D2C and NBFC businesses (13+ languages, TRAI DLT + DPDP compliance built in), with prebuilt templates for COD confirmation and EMI reminders, and native integrations with Shopify, Zoho, Shiprocket, and Delhivery. Expanding into real estate.</w:t>
      </w:r>
    </w:p>
    <w:p>
      <w:pPr>
        <w:spacing w:after="100"/>
      </w:pPr>
      <w:r>
        <w:rPr>
          <w:rFonts w:ascii="Calibri" w:cs="Calibri" w:eastAsia="Calibri" w:hAnsi="Calibri"/>
          <w:b/>
          <w:bCs/>
          <w:i w:val="false"/>
          <w:iCs w:val="false"/>
          <w:color w:val="1B2A4A"/>
          <w:sz w:val="19"/>
          <w:szCs w:val="19"/>
        </w:rPr>
        <w:t xml:space="preserve">Example: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iCs/>
          <w:color w:val="222222"/>
          <w:sz w:val="19"/>
          <w:szCs w:val="19"/>
        </w:rPr>
        <w:t xml:space="preserve">An e-commerce brand uses Caller Digital to auto-call a customer the moment a Shiprocket webhook marks an order "out for delivery," confirming the address before the courier arrives.</w:t>
      </w:r>
    </w:p>
    <w:p>
      <w:pPr>
        <w:spacing w:after="100"/>
      </w:pPr>
      <w:r>
        <w:rPr>
          <w:rFonts w:ascii="Calibri" w:cs="Calibri" w:eastAsia="Calibri" w:hAnsi="Calibri"/>
          <w:b/>
          <w:bCs/>
          <w:i w:val="false"/>
          <w:iCs w:val="false"/>
          <w:color w:val="1B2A4A"/>
          <w:sz w:val="19"/>
          <w:szCs w:val="19"/>
        </w:rPr>
        <w:t xml:space="preserve">Why include / exclude: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Include their prebuilt-template-library pattern (ready-made reminder/confirmation scripts per use case) — it reduces time-to-value for a new tenant. Exclude their logistics-specific integrations as not relevant to real estate. Not yet a real-estate threat, but worth re-checking quarterly given their compliance and template maturity.</w:t>
      </w:r>
    </w:p>
    <w:p>
      <w:pPr>
        <w:pStyle w:val="Heading2"/>
        <w:spacing w:after="140" w:before="260"/>
      </w:pPr>
      <w:r>
        <w:rPr>
          <w:rFonts w:ascii="Calibri" w:cs="Calibri" w:eastAsia="Calibri" w:hAnsi="Calibri"/>
          <w:b/>
          <w:bCs/>
          <w:i w:val="false"/>
          <w:iCs w:val="false"/>
          <w:color w:val="1B2A4A"/>
          <w:sz w:val="25"/>
          <w:szCs w:val="25"/>
        </w:rPr>
        <w:t xml:space="preserve">3.3 Cross-Industry Feature Gap Matrix</w:t>
      </w:r>
    </w:p>
    <w:p>
      <w:pPr>
        <w:spacing w:after="140" w:before="0" w:line="264"/>
        <w:jc w:val="left"/>
      </w:pPr>
      <w:r>
        <w:rPr>
          <w:rFonts w:ascii="Calibri" w:cs="Calibri" w:eastAsia="Calibri" w:hAnsi="Calibri"/>
          <w:b w:val="false"/>
          <w:bCs w:val="false"/>
          <w:i w:val="false"/>
          <w:iCs w:val="false"/>
          <w:color w:val="222222"/>
          <w:sz w:val="19"/>
          <w:szCs w:val="19"/>
        </w:rPr>
        <w:t xml:space="preserve">Every row below is a capability confirmed to exist in a competing product, cross-checked against our own architecture (Core Engine, Tool Registry, Rule Engine, Memory Architecture, Database Design). “Partial” means the underlying schema or service exists but the customer-facing capability does not yet — this table is the direct answer to “is anyone already building this, and do we have it.”</w:t>
      </w:r>
    </w:p>
    <w:p>
      <w:pPr>
        <w:pStyle w:val="Heading3"/>
        <w:spacing w:after="100" w:before="180"/>
      </w:pPr>
      <w:r>
        <w:rPr>
          <w:rFonts w:ascii="Calibri" w:cs="Calibri" w:eastAsia="Calibri" w:hAnsi="Calibri"/>
          <w:b/>
          <w:bCs/>
          <w:i w:val="false"/>
          <w:iCs w:val="false"/>
          <w:color w:val="2455A4"/>
          <w:sz w:val="21"/>
          <w:szCs w:val="21"/>
        </w:rPr>
        <w:t xml:space="preserve">A — Channel &amp; Memory</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2235"/>
        <w:gridCol w:w="1490"/>
        <w:gridCol w:w="1863"/>
        <w:gridCol w:w="1304"/>
        <w:gridCol w:w="2422"/>
      </w:tblGrid>
      <w:tr>
        <w:trPr>
          <w:tblHeader/>
        </w:trPr>
        <w:tc>
          <w:tcPr>
            <w:tcW w:type="dxa" w:w="2235"/>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Feature / Capability</w:t>
            </w:r>
          </w:p>
        </w:tc>
        <w:tc>
          <w:tcPr>
            <w:tcW w:type="dxa" w:w="149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Seen In (Implemented By)</w:t>
            </w:r>
          </w:p>
        </w:tc>
        <w:tc>
          <w:tcPr>
            <w:tcW w:type="dxa" w:w="1863"/>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In Our Architecture?</w:t>
            </w:r>
          </w:p>
        </w:tc>
        <w:tc>
          <w:tcPr>
            <w:tcW w:type="dxa" w:w="1304"/>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Decision · Timing</w:t>
            </w:r>
          </w:p>
        </w:tc>
        <w:tc>
          <w:tcPr>
            <w:tcW w:type="dxa" w:w="2422"/>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Rationale</w:t>
            </w:r>
          </w:p>
        </w:tc>
      </w:tr>
      <w:tr>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Omnichannel persistent memory (Call + WhatsApp + SMS + In-App)</w:t>
            </w:r>
          </w:p>
        </w:tc>
        <w:tc>
          <w:tcPr>
            <w:tcW w:type="dxa" w:w="149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SquadStack (BFSI / Retail)</w:t>
            </w:r>
          </w:p>
        </w:tc>
        <w:tc>
          <w:tcPr>
            <w:tcW w:type="dxa" w:w="186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Partial — conversations.channel field exists in schema; provider adapters are not built</w:t>
            </w:r>
          </w:p>
        </w:tc>
        <w:tc>
          <w:tcPr>
            <w:tcW w:type="dxa" w:w="130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Include · Now</w:t>
            </w:r>
          </w:p>
        </w:tc>
        <w:tc>
          <w:tcPr>
            <w:tcW w:type="dxa" w:w="242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NCR buyers live on WhatsApp; a call-only follow-up already loses to any competitor doing this. The gap is the missing adapter, not a redesign.</w:t>
            </w:r>
          </w:p>
        </w:tc>
      </w:tr>
    </w:tbl>
    <w:p>
      <w:pPr>
        <w:pStyle w:val="Heading3"/>
        <w:spacing w:after="100" w:before="180"/>
      </w:pPr>
      <w:r>
        <w:rPr>
          <w:rFonts w:ascii="Calibri" w:cs="Calibri" w:eastAsia="Calibri" w:hAnsi="Calibri"/>
          <w:b/>
          <w:bCs/>
          <w:i w:val="false"/>
          <w:iCs w:val="false"/>
          <w:color w:val="2455A4"/>
          <w:sz w:val="21"/>
          <w:szCs w:val="21"/>
        </w:rPr>
        <w:t xml:space="preserve">B — Trust, Quality &amp; Human-in-the-Loop</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2235"/>
        <w:gridCol w:w="1490"/>
        <w:gridCol w:w="1863"/>
        <w:gridCol w:w="1304"/>
        <w:gridCol w:w="2422"/>
      </w:tblGrid>
      <w:tr>
        <w:trPr>
          <w:tblHeader/>
        </w:trPr>
        <w:tc>
          <w:tcPr>
            <w:tcW w:type="dxa" w:w="2235"/>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Feature / Capability</w:t>
            </w:r>
          </w:p>
        </w:tc>
        <w:tc>
          <w:tcPr>
            <w:tcW w:type="dxa" w:w="149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Seen In (Implemented By)</w:t>
            </w:r>
          </w:p>
        </w:tc>
        <w:tc>
          <w:tcPr>
            <w:tcW w:type="dxa" w:w="1863"/>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In Our Architecture?</w:t>
            </w:r>
          </w:p>
        </w:tc>
        <w:tc>
          <w:tcPr>
            <w:tcW w:type="dxa" w:w="1304"/>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Decision · Timing</w:t>
            </w:r>
          </w:p>
        </w:tc>
        <w:tc>
          <w:tcPr>
            <w:tcW w:type="dxa" w:w="2422"/>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Rationale</w:t>
            </w:r>
          </w:p>
        </w:tc>
      </w:tr>
      <w:tr>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AI + human hybrid outcome-buying ("qualify these 10,000 leads", platform decides AI vs. human)</w:t>
            </w:r>
          </w:p>
        </w:tc>
        <w:tc>
          <w:tcPr>
            <w:tcW w:type="dxa" w:w="149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SquadStack (BFSI / Auto / Retail)</w:t>
            </w:r>
          </w:p>
        </w:tc>
        <w:tc>
          <w:tcPr>
            <w:tcW w:type="dxa" w:w="186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No — Our escalation model is one-directional (AI → human); no blended routing or outcome-pricing engine</w:t>
            </w:r>
          </w:p>
        </w:tc>
        <w:tc>
          <w:tcPr>
            <w:tcW w:type="dxa" w:w="130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Exclude · Later</w:t>
            </w:r>
          </w:p>
        </w:tc>
        <w:tc>
          <w:tcPr>
            <w:tcW w:type="dxa" w:w="242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Roughly triples-to-quintuples cost per call and reintroduces a "black box" complaint mid-market developers already dislike. Also requires human-vendor management we don't have. Revisit only if a large enterprise/BFSI account specifically demands it.</w:t>
            </w:r>
          </w:p>
        </w:tc>
      </w:tr>
      <w:tr>
        <w:tc>
          <w:tcPr>
            <w:tcW w:type="dxa" w:w="223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Published multi-parameter QA audit rubric (23 parameters)</w:t>
            </w:r>
          </w:p>
        </w:tc>
        <w:tc>
          <w:tcPr>
            <w:tcW w:type="dxa" w:w="149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SquadStack (Cross-vertical)</w:t>
            </w:r>
          </w:p>
        </w:tc>
        <w:tc>
          <w:tcPr>
            <w:tcW w:type="dxa" w:w="186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Partial — decision_traces + call-quality scoring exist internally but are not customer-facing or numbered</w:t>
            </w:r>
          </w:p>
        </w:tc>
        <w:tc>
          <w:tcPr>
            <w:tcW w:type="dxa" w:w="1304"/>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Include · Next</w:t>
            </w:r>
          </w:p>
        </w:tc>
        <w:tc>
          <w:tcPr>
            <w:tcW w:type="dxa" w:w="2422"/>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We already compute the raw ingredients — this is a packaging exercise, not new engineering, and answers a common enterprise-buyer question: how do you know the AI did its job?</w:t>
            </w:r>
          </w:p>
        </w:tc>
      </w:tr>
      <w:tr>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Managed continuous-improvement SLA ("month 3 agent beats month 1")</w:t>
            </w:r>
          </w:p>
        </w:tc>
        <w:tc>
          <w:tcPr>
            <w:tcW w:type="dxa" w:w="149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Thinkly AI (Real Estate)</w:t>
            </w:r>
          </w:p>
        </w:tc>
        <w:tc>
          <w:tcPr>
            <w:tcW w:type="dxa" w:w="186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Partial — Golden-set regression testing exists internally; not packaged as a customer-facing monthly review</w:t>
            </w:r>
          </w:p>
        </w:tc>
        <w:tc>
          <w:tcPr>
            <w:tcW w:type="dxa" w:w="130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Include · Next</w:t>
            </w:r>
          </w:p>
        </w:tc>
        <w:tc>
          <w:tcPr>
            <w:tcW w:type="dxa" w:w="242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We already have the golden-set regression machinery internally. Converts an internal safety practice into a customer-facing trust deliverable at near-zero extra engineering cost.</w:t>
            </w:r>
          </w:p>
        </w:tc>
      </w:tr>
      <w:tr>
        <w:tc>
          <w:tcPr>
            <w:tcW w:type="dxa" w:w="223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In-house STT/LLM trained on 45,000+ hrs, 9-language code-switching</w:t>
            </w:r>
          </w:p>
        </w:tc>
        <w:tc>
          <w:tcPr>
            <w:tcW w:type="dxa" w:w="149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ConvozenAI (Cross-vertical)</w:t>
            </w:r>
          </w:p>
        </w:tc>
        <w:tc>
          <w:tcPr>
            <w:tcW w:type="dxa" w:w="186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Partial — Provider abstraction supports swapping vendors; there is no in-house model training programme</w:t>
            </w:r>
          </w:p>
        </w:tc>
        <w:tc>
          <w:tcPr>
            <w:tcW w:type="dxa" w:w="1304"/>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Exclude · —</w:t>
            </w:r>
          </w:p>
        </w:tc>
        <w:tc>
          <w:tcPr>
            <w:tcW w:type="dxa" w:w="2422"/>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Building an in-house model programme requires data scale and ML research investment far beyond a Phase 1-2 NCR launch. Our provider-abstraction layer already lets us swap STT/TTS vendors without redesigning the engine — revisit only if provider quality becomes a proven blocker in production.</w:t>
            </w:r>
          </w:p>
        </w:tc>
      </w:tr>
      <w:tr>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Third-party security certifications (ISO 27001, ISO 27701, SOC 2 Type II, GDPR)</w:t>
            </w:r>
          </w:p>
        </w:tc>
        <w:tc>
          <w:tcPr>
            <w:tcW w:type="dxa" w:w="149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SquadStack, HuskyVoice AI (Cross-vertical)</w:t>
            </w:r>
          </w:p>
        </w:tc>
        <w:tc>
          <w:tcPr>
            <w:tcW w:type="dxa" w:w="186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Partial — DPDP/TRAI mechanisms exist; formal certification programme is not in scope</w:t>
            </w:r>
          </w:p>
        </w:tc>
        <w:tc>
          <w:tcPr>
            <w:tcW w:type="dxa" w:w="130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Include · Later</w:t>
            </w:r>
          </w:p>
        </w:tc>
        <w:tc>
          <w:tcPr>
            <w:tcW w:type="dxa" w:w="242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Certification is a multi-quarter, org-wide audit process, not a code change. Pursuing it before a concrete enterprise/BFSI deal requires it would be premature spend.</w:t>
            </w:r>
          </w:p>
        </w:tc>
      </w:tr>
    </w:tbl>
    <w:p>
      <w:pPr>
        <w:pStyle w:val="Heading3"/>
        <w:spacing w:after="100" w:before="180"/>
      </w:pPr>
      <w:r>
        <w:rPr>
          <w:rFonts w:ascii="Calibri" w:cs="Calibri" w:eastAsia="Calibri" w:hAnsi="Calibri"/>
          <w:b/>
          <w:bCs/>
          <w:i w:val="false"/>
          <w:iCs w:val="false"/>
          <w:color w:val="2455A4"/>
          <w:sz w:val="21"/>
          <w:szCs w:val="21"/>
        </w:rPr>
        <w:t xml:space="preserve">C — Integration Breadth &amp; Vertical Tooling</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2235"/>
        <w:gridCol w:w="1490"/>
        <w:gridCol w:w="1863"/>
        <w:gridCol w:w="1304"/>
        <w:gridCol w:w="2422"/>
      </w:tblGrid>
      <w:tr>
        <w:trPr>
          <w:tblHeader/>
        </w:trPr>
        <w:tc>
          <w:tcPr>
            <w:tcW w:type="dxa" w:w="2235"/>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Feature / Capability</w:t>
            </w:r>
          </w:p>
        </w:tc>
        <w:tc>
          <w:tcPr>
            <w:tcW w:type="dxa" w:w="149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Seen In (Implemented By)</w:t>
            </w:r>
          </w:p>
        </w:tc>
        <w:tc>
          <w:tcPr>
            <w:tcW w:type="dxa" w:w="1863"/>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In Our Architecture?</w:t>
            </w:r>
          </w:p>
        </w:tc>
        <w:tc>
          <w:tcPr>
            <w:tcW w:type="dxa" w:w="1304"/>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Decision · Timing</w:t>
            </w:r>
          </w:p>
        </w:tc>
        <w:tc>
          <w:tcPr>
            <w:tcW w:type="dxa" w:w="2422"/>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Rationale</w:t>
            </w:r>
          </w:p>
        </w:tc>
      </w:tr>
      <w:tr>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100+ pre-built DMS/CRM connectors</w:t>
            </w:r>
          </w:p>
        </w:tc>
        <w:tc>
          <w:tcPr>
            <w:tcW w:type="dxa" w:w="149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Haptik (Auto)</w:t>
            </w:r>
          </w:p>
        </w:tc>
        <w:tc>
          <w:tcPr>
            <w:tcW w:type="dxa" w:w="186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No — We ship 2-3 native connectors (LeadSquared, Sell.do, 360Enrich) + Salesforce/HubSpot/Zoho (generic, non-native)</w:t>
            </w:r>
          </w:p>
        </w:tc>
        <w:tc>
          <w:tcPr>
            <w:tcW w:type="dxa" w:w="130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Exclude · Later</w:t>
            </w:r>
          </w:p>
        </w:tc>
        <w:tc>
          <w:tcPr>
            <w:tcW w:type="dxa" w:w="242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Our named connectors already cover the CRMs the large majority of our target NCR developers use. Building toward "100+" connectors before proving product-market fit in real estate would be premature scope.</w:t>
            </w:r>
          </w:p>
        </w:tc>
      </w:tr>
      <w:tr>
        <w:tc>
          <w:tcPr>
            <w:tcW w:type="dxa" w:w="223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SOS / emergency escalation tool pattern (breakdown assistance)</w:t>
            </w:r>
          </w:p>
        </w:tc>
        <w:tc>
          <w:tcPr>
            <w:tcW w:type="dxa" w:w="149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Haptik (Auto)</w:t>
            </w:r>
          </w:p>
        </w:tc>
        <w:tc>
          <w:tcPr>
            <w:tcW w:type="dxa" w:w="186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No — No generic "emergency trigger" registry exists in the tool/rule model today</w:t>
            </w:r>
          </w:p>
        </w:tc>
        <w:tc>
          <w:tcPr>
            <w:tcW w:type="dxa" w:w="1304"/>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Include · Now</w:t>
            </w:r>
          </w:p>
        </w:tc>
        <w:tc>
          <w:tcPr>
            <w:tcW w:type="dxa" w:w="2422"/>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Low-effort addition to our existing tool registry and escalation rule set — no new infrastructure, just a new tool definition and a rule. Transfers directly to every future vertical (a breakdown call in auto, a triage call in healthcare).</w:t>
            </w:r>
          </w:p>
        </w:tc>
      </w:tr>
      <w:tr>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Structured parts/unit inventory lookup (queried, not retrieved)</w:t>
            </w:r>
          </w:p>
        </w:tc>
        <w:tc>
          <w:tcPr>
            <w:tcW w:type="dxa" w:w="149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Haptik (Auto)</w:t>
            </w:r>
          </w:p>
        </w:tc>
        <w:tc>
          <w:tcPr>
            <w:tcW w:type="dxa" w:w="186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No — Our factual answers rely on RAG today; no dedicated inventory table backs price/availability</w:t>
            </w:r>
          </w:p>
        </w:tc>
        <w:tc>
          <w:tcPr>
            <w:tcW w:type="dxa" w:w="130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Include · Now (highest priority)</w:t>
            </w:r>
          </w:p>
        </w:tc>
        <w:tc>
          <w:tcPr>
            <w:tcW w:type="dxa" w:w="242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Arguably the single highest-risk gap in our current design. RAG is fine for policies and FAQs, but pricing and availability change daily, and a wrong quoted price is a trust-destroying (and possibly legally awkward) failure mode. Treat as higher priority than its "Now" label alone suggests.</w:t>
            </w:r>
          </w:p>
        </w:tc>
      </w:tr>
      <w:tr>
        <w:tc>
          <w:tcPr>
            <w:tcW w:type="dxa" w:w="223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Prebuilt EMI reminder / COD confirmation call templates</w:t>
            </w:r>
          </w:p>
        </w:tc>
        <w:tc>
          <w:tcPr>
            <w:tcW w:type="dxa" w:w="149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Caller Digital (NBFC / D2C)</w:t>
            </w:r>
          </w:p>
        </w:tc>
        <w:tc>
          <w:tcPr>
            <w:tcW w:type="dxa" w:w="186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No — Reminders worker exists structurally; case-specific script templates don't ship with the platform</w:t>
            </w:r>
          </w:p>
        </w:tc>
        <w:tc>
          <w:tcPr>
            <w:tcW w:type="dxa" w:w="1304"/>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Include · Next</w:t>
            </w:r>
          </w:p>
        </w:tc>
        <w:tc>
          <w:tcPr>
            <w:tcW w:type="dxa" w:w="2422"/>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Low engineering cost — it's prompt/config content, not new code — and directly speeds up new-tenant onboarding, which matters for new NCR developers and future verticals alike.</w:t>
            </w:r>
          </w:p>
        </w:tc>
      </w:tr>
      <w:tr>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Logistics-provider integrations (Shiprocket, Delhivery)</w:t>
            </w:r>
          </w:p>
        </w:tc>
        <w:tc>
          <w:tcPr>
            <w:tcW w:type="dxa" w:w="149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Caller Digital (D2C)</w:t>
            </w:r>
          </w:p>
        </w:tc>
        <w:tc>
          <w:tcPr>
            <w:tcW w:type="dxa" w:w="186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N/A for RE — Demonstrates integration-hub pattern beyond our own vertical's CRM layer</w:t>
            </w:r>
          </w:p>
        </w:tc>
        <w:tc>
          <w:tcPr>
            <w:tcW w:type="dxa" w:w="130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Exclude · not applicable</w:t>
            </w:r>
          </w:p>
        </w:tc>
        <w:tc>
          <w:tcPr>
            <w:tcW w:type="dxa" w:w="242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Not relevant to real estate — there is no logistics-provider equivalent in our vertical. Noted only as an integration-hub breadth pattern to be aware of, not a feature to build.</w:t>
            </w:r>
          </w:p>
        </w:tc>
      </w:tr>
    </w:tbl>
    <w:p>
      <w:pPr>
        <w:pStyle w:val="Heading3"/>
        <w:spacing w:after="100" w:before="180"/>
      </w:pPr>
      <w:r>
        <w:rPr>
          <w:rFonts w:ascii="Calibri" w:cs="Calibri" w:eastAsia="Calibri" w:hAnsi="Calibri"/>
          <w:b/>
          <w:bCs/>
          <w:i w:val="false"/>
          <w:iCs w:val="false"/>
          <w:color w:val="2455A4"/>
          <w:sz w:val="21"/>
          <w:szCs w:val="21"/>
        </w:rPr>
        <w:t xml:space="preserve">D — Compliance &amp; Public Sector</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2235"/>
        <w:gridCol w:w="1490"/>
        <w:gridCol w:w="1863"/>
        <w:gridCol w:w="1304"/>
        <w:gridCol w:w="2422"/>
      </w:tblGrid>
      <w:tr>
        <w:trPr>
          <w:tblHeader/>
        </w:trPr>
        <w:tc>
          <w:tcPr>
            <w:tcW w:type="dxa" w:w="2235"/>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Feature / Capability</w:t>
            </w:r>
          </w:p>
        </w:tc>
        <w:tc>
          <w:tcPr>
            <w:tcW w:type="dxa" w:w="149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Seen In (Implemented By)</w:t>
            </w:r>
          </w:p>
        </w:tc>
        <w:tc>
          <w:tcPr>
            <w:tcW w:type="dxa" w:w="1863"/>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In Our Architecture?</w:t>
            </w:r>
          </w:p>
        </w:tc>
        <w:tc>
          <w:tcPr>
            <w:tcW w:type="dxa" w:w="1304"/>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Decision · Timing</w:t>
            </w:r>
          </w:p>
        </w:tc>
        <w:tc>
          <w:tcPr>
            <w:tcW w:type="dxa" w:w="2422"/>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Rationale</w:t>
            </w:r>
          </w:p>
        </w:tc>
      </w:tr>
      <w:tr>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Government/citizen-helpline compliance monitoring tier</w:t>
            </w:r>
          </w:p>
        </w:tc>
        <w:tc>
          <w:tcPr>
            <w:tcW w:type="dxa" w:w="149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ConvozenAI (Government)</w:t>
            </w:r>
          </w:p>
        </w:tc>
        <w:tc>
          <w:tcPr>
            <w:tcW w:type="dxa" w:w="186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No — Beyond DPDP/TRAI; no public-sector monitoring tier defined</w:t>
            </w:r>
          </w:p>
        </w:tc>
        <w:tc>
          <w:tcPr>
            <w:tcW w:type="dxa" w:w="130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Exclude · Later, vertical-dependent</w:t>
            </w:r>
          </w:p>
        </w:tc>
        <w:tc>
          <w:tcPr>
            <w:tcW w:type="dxa" w:w="242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We have no government/citizen-services vertical in our current or near-term roadmap; building this speculatively would be wasted effort. Include only if we pursue that specific vertical.</w:t>
            </w:r>
          </w:p>
        </w:tc>
      </w:tr>
    </w:tbl>
    <w:p>
      <w:pPr>
        <w:pStyle w:val="Heading3"/>
        <w:spacing w:after="100" w:before="180"/>
      </w:pPr>
      <w:r>
        <w:rPr>
          <w:rFonts w:ascii="Calibri" w:cs="Calibri" w:eastAsia="Calibri" w:hAnsi="Calibri"/>
          <w:b/>
          <w:bCs/>
          <w:i w:val="false"/>
          <w:iCs w:val="false"/>
          <w:color w:val="2455A4"/>
          <w:sz w:val="21"/>
          <w:szCs w:val="21"/>
        </w:rPr>
        <w:t xml:space="preserve">E — Business Model &amp; Pricing</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2235"/>
        <w:gridCol w:w="1490"/>
        <w:gridCol w:w="1863"/>
        <w:gridCol w:w="1304"/>
        <w:gridCol w:w="2422"/>
      </w:tblGrid>
      <w:tr>
        <w:trPr>
          <w:tblHeader/>
        </w:trPr>
        <w:tc>
          <w:tcPr>
            <w:tcW w:type="dxa" w:w="2235"/>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Feature / Capability</w:t>
            </w:r>
          </w:p>
        </w:tc>
        <w:tc>
          <w:tcPr>
            <w:tcW w:type="dxa" w:w="149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Seen In (Implemented By)</w:t>
            </w:r>
          </w:p>
        </w:tc>
        <w:tc>
          <w:tcPr>
            <w:tcW w:type="dxa" w:w="1863"/>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In Our Architecture?</w:t>
            </w:r>
          </w:p>
        </w:tc>
        <w:tc>
          <w:tcPr>
            <w:tcW w:type="dxa" w:w="1304"/>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Decision · Timing</w:t>
            </w:r>
          </w:p>
        </w:tc>
        <w:tc>
          <w:tcPr>
            <w:tcW w:type="dxa" w:w="2422"/>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Rationale</w:t>
            </w:r>
          </w:p>
        </w:tc>
      </w:tr>
      <w:tr>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No-code self-serve onboarding ("connect number + calendar, go live same day")</w:t>
            </w:r>
          </w:p>
        </w:tc>
        <w:tc>
          <w:tcPr>
            <w:tcW w:type="dxa" w:w="149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HuskyVoice AI (Real Estate / Healthcare / SMB)</w:t>
            </w:r>
          </w:p>
        </w:tc>
        <w:tc>
          <w:tcPr>
            <w:tcW w:type="dxa" w:w="186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No — Our onboarding is pack activation, a configuration exercise, not a guided wizard</w:t>
            </w:r>
          </w:p>
        </w:tc>
        <w:tc>
          <w:tcPr>
            <w:tcW w:type="dxa" w:w="130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Include · Next</w:t>
            </w:r>
          </w:p>
        </w:tc>
        <w:tc>
          <w:tcPr>
            <w:tcW w:type="dxa" w:w="242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Opens a lower price-point SMB segment our current enterprise/mid-market-only pack-activation flow doesn't serve. Must come after the billing module, or there is no way to charge these customers appropriately.</w:t>
            </w:r>
          </w:p>
        </w:tc>
      </w:tr>
      <w:tr>
        <w:tc>
          <w:tcPr>
            <w:tcW w:type="dxa" w:w="223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Flat-rate SMB subscription pricing (from Rs 1,999/month) &amp; per-minute usage-based pricing</w:t>
            </w:r>
          </w:p>
        </w:tc>
        <w:tc>
          <w:tcPr>
            <w:tcW w:type="dxa" w:w="149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HuskyVoice, Bolna, Tabbly.io (Cross-vertical)</w:t>
            </w:r>
          </w:p>
        </w:tc>
        <w:tc>
          <w:tcPr>
            <w:tcW w:type="dxa" w:w="186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No — No billing, plan, or metering table exists in the data model</w:t>
            </w:r>
          </w:p>
        </w:tc>
        <w:tc>
          <w:tcPr>
            <w:tcW w:type="dxa" w:w="1304"/>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Include · Now</w:t>
            </w:r>
          </w:p>
        </w:tc>
        <w:tc>
          <w:tcPr>
            <w:tcW w:type="dxa" w:w="2422"/>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This gap blocks every future SMB or self-serve motion, independent of which pricing model we eventually choose. Per-minute is simplest to implement first since it only needs calls.cost, already recorded, rolled into an invoice.</w:t>
            </w:r>
          </w:p>
        </w:tc>
      </w:tr>
      <w:tr>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On-prem / BYO-CRM data residency option (leads never leave client's system)</w:t>
            </w:r>
          </w:p>
        </w:tc>
        <w:tc>
          <w:tcPr>
            <w:tcW w:type="dxa" w:w="149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Industry-wide GTM practice (BFSI / Healthcare-sensitive)</w:t>
            </w:r>
          </w:p>
        </w:tc>
        <w:tc>
          <w:tcPr>
            <w:tcW w:type="dxa" w:w="186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No — Platform is multi-tenant SaaS only; no on-prem deployment mode specified</w:t>
            </w:r>
          </w:p>
        </w:tc>
        <w:tc>
          <w:tcPr>
            <w:tcW w:type="dxa" w:w="130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Exclude · Later</w:t>
            </w:r>
          </w:p>
        </w:tc>
        <w:tc>
          <w:tcPr>
            <w:tcW w:type="dxa" w:w="242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Conflicts with the multi-tenant-by-default architecture decision (AD-5) and is a significant infrastructure undertaking. Scope it only once a specific BFSI/healthcare/enterprise deal makes it a hard requirement.</w:t>
            </w:r>
          </w:p>
        </w:tc>
      </w:tr>
    </w:tbl>
    <w:p>
      <w:pPr>
        <w:pStyle w:val="Heading3"/>
        <w:spacing w:after="100" w:before="180"/>
      </w:pPr>
      <w:r>
        <w:rPr>
          <w:rFonts w:ascii="Calibri" w:cs="Calibri" w:eastAsia="Calibri" w:hAnsi="Calibri"/>
          <w:b/>
          <w:bCs/>
          <w:i w:val="false"/>
          <w:iCs w:val="false"/>
          <w:color w:val="2455A4"/>
          <w:sz w:val="21"/>
          <w:szCs w:val="21"/>
        </w:rPr>
        <w:t xml:space="preserve">F — Go-to-Market Practice</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2235"/>
        <w:gridCol w:w="1490"/>
        <w:gridCol w:w="1863"/>
        <w:gridCol w:w="1304"/>
        <w:gridCol w:w="2422"/>
      </w:tblGrid>
      <w:tr>
        <w:trPr>
          <w:tblHeader/>
        </w:trPr>
        <w:tc>
          <w:tcPr>
            <w:tcW w:type="dxa" w:w="2235"/>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Feature / Capability</w:t>
            </w:r>
          </w:p>
        </w:tc>
        <w:tc>
          <w:tcPr>
            <w:tcW w:type="dxa" w:w="149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Seen In (Implemented By)</w:t>
            </w:r>
          </w:p>
        </w:tc>
        <w:tc>
          <w:tcPr>
            <w:tcW w:type="dxa" w:w="1863"/>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In Our Architecture?</w:t>
            </w:r>
          </w:p>
        </w:tc>
        <w:tc>
          <w:tcPr>
            <w:tcW w:type="dxa" w:w="1304"/>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Decision · Timing</w:t>
            </w:r>
          </w:p>
        </w:tc>
        <w:tc>
          <w:tcPr>
            <w:tcW w:type="dxa" w:w="2422"/>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Rationale</w:t>
            </w:r>
          </w:p>
        </w:tc>
      </w:tr>
      <w:tr>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Real, unscripted carrier-network demo as the primary sales asset</w:t>
            </w:r>
          </w:p>
        </w:tc>
        <w:tc>
          <w:tcPr>
            <w:tcW w:type="dxa" w:w="149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Thinkly AI (GTM practice) (Real Estate)</w:t>
            </w:r>
          </w:p>
        </w:tc>
        <w:tc>
          <w:tcPr>
            <w:tcW w:type="dxa" w:w="186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N/A (practice, not architecture) — Worth adopting operationally rather than demoing over WiFi</w:t>
            </w:r>
          </w:p>
        </w:tc>
        <w:tc>
          <w:tcPr>
            <w:tcW w:type="dxa" w:w="130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Include · Now — practice, not engineering</w:t>
            </w:r>
          </w:p>
        </w:tc>
        <w:tc>
          <w:tcPr>
            <w:tcW w:type="dxa" w:w="242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Costs nothing to build — it's a practice, not a feature — and directly counters the most common objection to voice AI in this market: "it'll sound robotic."</w:t>
            </w:r>
          </w:p>
        </w:tc>
      </w:tr>
    </w:tbl>
    <w:p>
      <w:pPr>
        <w:pStyle w:val="Heading2"/>
        <w:spacing w:after="140" w:before="260"/>
      </w:pPr>
      <w:r>
        <w:rPr>
          <w:rFonts w:ascii="Calibri" w:cs="Calibri" w:eastAsia="Calibri" w:hAnsi="Calibri"/>
          <w:b/>
          <w:bCs/>
          <w:i w:val="false"/>
          <w:iCs w:val="false"/>
          <w:color w:val="1B2A4A"/>
          <w:sz w:val="25"/>
          <w:szCs w:val="25"/>
        </w:rPr>
        <w:t xml:space="preserve">3.4 Real-Estate-Specific Market Gaps</w:t>
      </w:r>
    </w:p>
    <w:p>
      <w:pPr>
        <w:spacing w:after="140" w:before="0" w:line="264"/>
        <w:jc w:val="left"/>
      </w:pPr>
      <w:r>
        <w:rPr>
          <w:rFonts w:ascii="Calibri" w:cs="Calibri" w:eastAsia="Calibri" w:hAnsi="Calibri"/>
          <w:b w:val="false"/>
          <w:bCs w:val="false"/>
          <w:i w:val="false"/>
          <w:iCs w:val="false"/>
          <w:color w:val="222222"/>
          <w:sz w:val="19"/>
          <w:szCs w:val="19"/>
        </w:rPr>
        <w:t xml:space="preserve">These are not competitor features to copy — they are whitespace no competitor occupies today. Established in the original competitive analysis; included here in full for completeness.</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1863"/>
        <w:gridCol w:w="2235"/>
        <w:gridCol w:w="1490"/>
        <w:gridCol w:w="3726"/>
      </w:tblGrid>
      <w:tr>
        <w:trPr>
          <w:tblHeader/>
        </w:trPr>
        <w:tc>
          <w:tcPr>
            <w:tcW w:type="dxa" w:w="1863"/>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Gap</w:t>
            </w:r>
          </w:p>
        </w:tc>
        <w:tc>
          <w:tcPr>
            <w:tcW w:type="dxa" w:w="2235"/>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Competitor Coverage</w:t>
            </w:r>
          </w:p>
        </w:tc>
        <w:tc>
          <w:tcPr>
            <w:tcW w:type="dxa" w:w="149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Decision</w:t>
            </w:r>
          </w:p>
        </w:tc>
        <w:tc>
          <w:tcPr>
            <w:tcW w:type="dxa" w:w="3726"/>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Why It Matters</w:t>
            </w:r>
          </w:p>
        </w:tc>
      </w:tr>
      <w:tr>
        <w:tc>
          <w:tcPr>
            <w:tcW w:type="dxa" w:w="186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Full site-visit lifecycle ownership</w:t>
            </w:r>
          </w:p>
        </w:tc>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Partial (Thinkly: qualify+book; HuskyVoice: remind)</w:t>
            </w:r>
          </w:p>
        </w:tc>
        <w:tc>
          <w:tcPr>
            <w:tcW w:type="dxa" w:w="149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Include — Core Positioning</w:t>
            </w:r>
          </w:p>
        </w:tc>
        <w:tc>
          <w:tcPr>
            <w:tcW w:type="dxa" w:w="3726"/>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Explicitly the market's biggest unserved gap — every competitor does a slice, none does the whole loop. Should remain the single clearest differentiator in all sales conversations; not a nice-to-have, it is the positioning.</w:t>
            </w:r>
          </w:p>
        </w:tc>
      </w:tr>
      <w:tr>
        <w:tc>
          <w:tcPr>
            <w:tcW w:type="dxa" w:w="186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Channel-partner (CP) workflows</w:t>
            </w:r>
          </w:p>
        </w:tc>
        <w:tc>
          <w:tcPr>
            <w:tcW w:type="dxa" w:w="223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None across all 8 competitors</w:t>
            </w:r>
          </w:p>
        </w:tc>
        <w:tc>
          <w:tcPr>
            <w:tcW w:type="dxa" w:w="149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Include — Day 1</w:t>
            </w:r>
          </w:p>
        </w:tc>
        <w:tc>
          <w:tcPr>
            <w:tcW w:type="dxa" w:w="3726"/>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NCR real estate is 60%+ CP-driven, and zero competitors serve this need. Also a strong door-opener with CP firms themselves (Square Yards, PropTiger), who could become a distribution channel, not just a workflow beneficiary.</w:t>
            </w:r>
          </w:p>
        </w:tc>
      </w:tr>
      <w:tr>
        <w:tc>
          <w:tcPr>
            <w:tcW w:type="dxa" w:w="186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Voice + WhatsApp as one orchestrated journey</w:t>
            </w:r>
          </w:p>
        </w:tc>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Partial (SquadStack: generic; Haptik: enterprise-only)</w:t>
            </w:r>
          </w:p>
        </w:tc>
        <w:tc>
          <w:tcPr>
            <w:tcW w:type="dxa" w:w="149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Include — After WhatsApp adapter</w:t>
            </w:r>
          </w:p>
        </w:tc>
        <w:tc>
          <w:tcPr>
            <w:tcW w:type="dxa" w:w="3726"/>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Depends directly on the WhatsApp Channel Adapter — once that exists, the sequence itself is config/prompt work, not new engineering.</w:t>
            </w:r>
          </w:p>
        </w:tc>
      </w:tr>
      <w:tr>
        <w:tc>
          <w:tcPr>
            <w:tcW w:type="dxa" w:w="186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Native LeadSquared / Sell.do / 360Enrich integration</w:t>
            </w:r>
          </w:p>
        </w:tc>
        <w:tc>
          <w:tcPr>
            <w:tcW w:type="dxa" w:w="223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Partial (generic connectors only)</w:t>
            </w:r>
          </w:p>
        </w:tc>
        <w:tc>
          <w:tcPr>
            <w:tcW w:type="dxa" w:w="149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Include — Already scoped</w:t>
            </w:r>
          </w:p>
        </w:tc>
        <w:tc>
          <w:tcPr>
            <w:tcW w:type="dxa" w:w="3726"/>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Thinkly integrates Salesforce/Zoho/HubSpot; SquadStack has generic connectors — none targets the actual India-specific RE CRMs. A concrete, demonstrable advantage in every first sales call.</w:t>
            </w:r>
          </w:p>
        </w:tc>
      </w:tr>
      <w:tr>
        <w:tc>
          <w:tcPr>
            <w:tcW w:type="dxa" w:w="186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Outcome-based pricing at mid-market accessibility</w:t>
            </w:r>
          </w:p>
        </w:tc>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Partial (SquadStack: outcome but enterprise-priced; Tabbly: usage but not outcome-aligned)</w:t>
            </w:r>
          </w:p>
        </w:tc>
        <w:tc>
          <w:tcPr>
            <w:tcW w:type="dxa" w:w="149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Include — with Billing Module</w:t>
            </w:r>
          </w:p>
        </w:tc>
        <w:tc>
          <w:tcPr>
            <w:tcW w:type="dxa" w:w="3726"/>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 genuine pricing-model gap, not just a feature gap — depends on the same Billing &amp; Usage Metering Module needed elsewhere.</w:t>
            </w:r>
          </w:p>
        </w:tc>
      </w:tr>
      <w:tr>
        <w:tc>
          <w:tcPr>
            <w:tcW w:type="dxa" w:w="186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Pricing-objection intelligence dashboard</w:t>
            </w:r>
          </w:p>
        </w:tc>
        <w:tc>
          <w:tcPr>
            <w:tcW w:type="dxa" w:w="223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Partial (Thinkly tags objections, not RE-specific)</w:t>
            </w:r>
          </w:p>
        </w:tc>
        <w:tc>
          <w:tcPr>
            <w:tcW w:type="dxa" w:w="149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Include — Analytics layer only</w:t>
            </w:r>
          </w:p>
        </w:tc>
        <w:tc>
          <w:tcPr>
            <w:tcW w:type="dxa" w:w="3726"/>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Natural extension of data already captured in decision_traces and customer_facts, requiring an analytics/reporting layer, not new data collection. Monetizable as a standalone feature.</w:t>
            </w:r>
          </w:p>
        </w:tc>
      </w:tr>
      <w:tr>
        <w:tc>
          <w:tcPr>
            <w:tcW w:type="dxa" w:w="186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NRI-specific qualification flow</w:t>
            </w:r>
          </w:p>
        </w:tc>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None among competitors</w:t>
            </w:r>
          </w:p>
        </w:tc>
        <w:tc>
          <w:tcPr>
            <w:tcW w:type="dxa" w:w="149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Include — Deferred (Month 3-6)</w:t>
            </w:r>
          </w:p>
        </w:tc>
        <w:tc>
          <w:tcPr>
            <w:tcW w:type="dxa" w:w="3726"/>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NCR gets significant NRI investment leads and no competitor has this flow — but it's a narrower segment than the core qualification/scheduling funnel, appropriately sequenced after Phase 1.</w:t>
            </w:r>
          </w:p>
        </w:tc>
      </w:tr>
      <w:tr>
        <w:tc>
          <w:tcPr>
            <w:tcW w:type="dxa" w:w="186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Launch-day surge capacity as a distinct package</w:t>
            </w:r>
          </w:p>
        </w:tc>
        <w:tc>
          <w:tcPr>
            <w:tcW w:type="dxa" w:w="223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Partial (SquadStack can scale but is expensive)</w:t>
            </w:r>
          </w:p>
        </w:tc>
        <w:tc>
          <w:tcPr>
            <w:tcW w:type="dxa" w:w="149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Include — GTM only, gated by infrastructure</w:t>
            </w:r>
          </w:p>
        </w:tc>
        <w:tc>
          <w:tcPr>
            <w:tcW w:type="dxa" w:w="3726"/>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Explicitly called out as "the wedge to get into new developer accounts" — but current infrastructure handles tens of concurrent calls at launch scale today, well short of 5,000/day. Include as a GTM package, but do not sell before the underlying surge-scaling infrastructure work is done.</w:t>
            </w:r>
          </w:p>
        </w:tc>
      </w:tr>
    </w:tbl>
    <w:p>
      <w:pPr>
        <w:pStyle w:val="Heading2"/>
        <w:spacing w:after="140" w:before="260"/>
      </w:pPr>
      <w:r>
        <w:rPr>
          <w:rFonts w:ascii="Calibri" w:cs="Calibri" w:eastAsia="Calibri" w:hAnsi="Calibri"/>
          <w:b/>
          <w:bCs/>
          <w:i w:val="false"/>
          <w:iCs w:val="false"/>
          <w:color w:val="1B2A4A"/>
          <w:sz w:val="25"/>
          <w:szCs w:val="25"/>
        </w:rPr>
        <w:t xml:space="preserve">3.5 Cross-Industry Pack Reuse Map</w:t>
      </w:r>
    </w:p>
    <w:p>
      <w:pPr>
        <w:spacing w:after="140" w:before="0" w:line="264"/>
        <w:jc w:val="left"/>
      </w:pPr>
      <w:r>
        <w:rPr>
          <w:rFonts w:ascii="Calibri" w:cs="Calibri" w:eastAsia="Calibri" w:hAnsi="Calibri"/>
          <w:b w:val="false"/>
          <w:bCs w:val="false"/>
          <w:i w:val="false"/>
          <w:iCs w:val="false"/>
          <w:color w:val="222222"/>
          <w:sz w:val="19"/>
          <w:szCs w:val="19"/>
        </w:rPr>
        <w:t xml:space="preserve">Demonstrates the practical payoff of the config-driven monolith decision (AD-1 / AD-5): each row is a new vertical expressed as an Industry Pack on the existing engine, with only the right-hand column representing genuinely new work.</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1583"/>
        <w:gridCol w:w="2049"/>
        <w:gridCol w:w="2887"/>
        <w:gridCol w:w="2794"/>
      </w:tblGrid>
      <w:tr>
        <w:trPr>
          <w:tblHeader/>
        </w:trPr>
        <w:tc>
          <w:tcPr>
            <w:tcW w:type="dxa" w:w="1583"/>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Target Industry</w:t>
            </w:r>
          </w:p>
        </w:tc>
        <w:tc>
          <w:tcPr>
            <w:tcW w:type="dxa" w:w="2049"/>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Precedent Competitor</w:t>
            </w:r>
          </w:p>
        </w:tc>
        <w:tc>
          <w:tcPr>
            <w:tcW w:type="dxa" w:w="2887"/>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Reused Engine Components</w:t>
            </w:r>
          </w:p>
        </w:tc>
        <w:tc>
          <w:tcPr>
            <w:tcW w:type="dxa" w:w="2794"/>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New Pack-Specific Additions</w:t>
            </w:r>
          </w:p>
        </w:tc>
      </w:tr>
      <w:tr>
        <w:tc>
          <w:tcPr>
            <w:tcW w:type="dxa" w:w="158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Auto Dealership</w:t>
            </w:r>
          </w:p>
        </w:tc>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Haptik (Maruti Arena, Tata Motors)</w:t>
            </w:r>
          </w:p>
        </w:tc>
        <w:tc>
          <w:tcPr>
            <w:tcW w:type="dxa" w:w="288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Scheduling Engine (test drives), Tool Registry, RAG (specs/brochures)</w:t>
            </w:r>
          </w:p>
        </w:tc>
        <w:tc>
          <w:tcPr>
            <w:tcW w:type="dxa" w:w="279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SOS/breakdown escalation, parts-inventory tool, trade-in valuation tool</w:t>
            </w:r>
          </w:p>
        </w:tc>
      </w:tr>
      <w:tr>
        <w:tc>
          <w:tcPr>
            <w:tcW w:type="dxa" w:w="158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BFSI — Lending / Insurance</w:t>
            </w:r>
          </w:p>
        </w:tc>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SquadStack (HDFC Life), Caller Digital (NBFC)</w:t>
            </w:r>
          </w:p>
        </w:tc>
        <w:tc>
          <w:tcPr>
            <w:tcW w:type="dxa" w:w="2887"/>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Rule Engine (KYC/consent gating), Escalation (fraud/dispute), Campaigns (reminders)</w:t>
            </w:r>
          </w:p>
        </w:tc>
        <w:tc>
          <w:tcPr>
            <w:tcW w:type="dxa" w:w="2794"/>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Loan-eligibility check tool, identity-verification precondition</w:t>
            </w:r>
          </w:p>
        </w:tc>
      </w:tr>
      <w:tr>
        <w:tc>
          <w:tcPr>
            <w:tcW w:type="dxa" w:w="158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Healthcare / Clinics</w:t>
            </w:r>
          </w:p>
        </w:tc>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HuskyVoice AI (Porur Pediatric, MedPlus, Beyond Smiles)</w:t>
            </w:r>
          </w:p>
        </w:tc>
        <w:tc>
          <w:tcPr>
            <w:tcW w:type="dxa" w:w="288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Scheduling Engine, Inbound Concierge, Reminders worker</w:t>
            </w:r>
          </w:p>
        </w:tc>
        <w:tc>
          <w:tcPr>
            <w:tcW w:type="dxa" w:w="279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Emergency-triage escalation, prescription-refill tool, insurance pre-authorization check</w:t>
            </w:r>
          </w:p>
        </w:tc>
      </w:tr>
      <w:tr>
        <w:tc>
          <w:tcPr>
            <w:tcW w:type="dxa" w:w="158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D2C / E-commerce</w:t>
            </w:r>
          </w:p>
        </w:tc>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Caller Digital</w:t>
            </w:r>
          </w:p>
        </w:tc>
        <w:tc>
          <w:tcPr>
            <w:tcW w:type="dxa" w:w="2887"/>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Campaigns, Outbound worker, WhatsApp adapter (once built)</w:t>
            </w:r>
          </w:p>
        </w:tc>
        <w:tc>
          <w:tcPr>
            <w:tcW w:type="dxa" w:w="2794"/>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COD-confirmation template, return/refund flow tools</w:t>
            </w:r>
          </w:p>
        </w:tc>
      </w:tr>
      <w:tr>
        <w:tc>
          <w:tcPr>
            <w:tcW w:type="dxa" w:w="158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EdTech</w:t>
            </w:r>
          </w:p>
        </w:tc>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Thinkly AI, ConvozenAI (LeapScholar)</w:t>
            </w:r>
          </w:p>
        </w:tc>
        <w:tc>
          <w:tcPr>
            <w:tcW w:type="dxa" w:w="288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Lead Qualification (as "Admissions Qualification"), Follow-Up nurture</w:t>
            </w:r>
          </w:p>
        </w:tc>
        <w:tc>
          <w:tcPr>
            <w:tcW w:type="dxa" w:w="2794"/>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Counselor-handoff tool, course-fit RAG, fee-payment-plan tool</w:t>
            </w:r>
          </w:p>
        </w:tc>
      </w:tr>
      <w:tr>
        <w:tc>
          <w:tcPr>
            <w:tcW w:type="dxa" w:w="158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Government / Citizen Services</w:t>
            </w:r>
          </w:p>
        </w:tc>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ConvozenAI (IndiaAI Mission)</w:t>
            </w:r>
          </w:p>
        </w:tc>
        <w:tc>
          <w:tcPr>
            <w:tcW w:type="dxa" w:w="2887"/>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Inbound Concierge, decision_traces audit trail</w:t>
            </w:r>
          </w:p>
        </w:tc>
        <w:tc>
          <w:tcPr>
            <w:tcW w:type="dxa" w:w="2794"/>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Public-sector compliance tier, grievance-ticket SLA rules</w:t>
            </w:r>
          </w:p>
        </w:tc>
      </w:tr>
    </w:tbl>
    <w:p>
      <w:pPr>
        <w:pStyle w:val="Heading2"/>
        <w:spacing w:after="140" w:before="260"/>
      </w:pPr>
      <w:r>
        <w:rPr>
          <w:rFonts w:ascii="Calibri" w:cs="Calibri" w:eastAsia="Calibri" w:hAnsi="Calibri"/>
          <w:b/>
          <w:bCs/>
          <w:i w:val="false"/>
          <w:iCs w:val="false"/>
          <w:color w:val="1B2A4A"/>
          <w:sz w:val="25"/>
          <w:szCs w:val="25"/>
        </w:rPr>
        <w:t xml:space="preserve">3.6 Closing Recommendation</w:t>
      </w:r>
    </w:p>
    <w:p>
      <w:pPr>
        <w:spacing w:after="140" w:before="0" w:line="264"/>
        <w:jc w:val="left"/>
      </w:pPr>
      <w:r>
        <w:rPr>
          <w:rFonts w:ascii="Calibri" w:cs="Calibri" w:eastAsia="Calibri" w:hAnsi="Calibri"/>
          <w:b w:val="false"/>
          <w:bCs w:val="false"/>
          <w:i w:val="false"/>
          <w:iCs w:val="false"/>
          <w:color w:val="222222"/>
          <w:sz w:val="19"/>
          <w:szCs w:val="19"/>
        </w:rPr>
        <w:t xml:space="preserve">The competitive whitespace already identified for NCR real estate — full site-visit lifecycle, CP workflows, outcome-based mid-market pricing — remains the correct wedge and should stay the Phase 1-2 focus. Layered on top of that, four cross-industry gaps are structural enough to address now regardless of vertical: billing/usage metering (nothing exists today), a first-class WhatsApp channel (schema-ready but not implemented), a structured inventory/pricing tool (to stop relying on RAG for facts that change daily), and a generic escalation-tool template (to make expansion into auto, healthcare, or BFSI a pack exercise rather than an engine change). Everything else can wait for demand signal from a specific vertical or deal.</w:t>
      </w:r>
    </w:p>
    <w:p>
      <w:pPr>
        <w:pageBreakBefore/>
        <w:spacing w:after="20" w:before="0"/>
      </w:pPr>
      <w:r>
        <w:rPr>
          <w:rFonts w:ascii="Calibri" w:cs="Calibri" w:eastAsia="Calibri" w:hAnsi="Calibri"/>
          <w:b/>
          <w:bCs/>
          <w:i w:val="false"/>
          <w:iCs w:val="false"/>
          <w:color w:val="2455A4"/>
          <w:sz w:val="18"/>
          <w:szCs w:val="18"/>
        </w:rPr>
        <w:t xml:space="preserve">PART IV</w:t>
      </w:r>
    </w:p>
    <w:p>
      <w:pPr>
        <w:pStyle w:val="Heading1"/>
        <w:pBdr>
          <w:bottom w:val="single" w:color="2455A4" w:sz="14" w:space="6"/>
        </w:pBdr>
        <w:spacing w:after="220" w:before="0"/>
      </w:pPr>
      <w:r>
        <w:rPr>
          <w:rFonts w:ascii="Calibri" w:cs="Calibri" w:eastAsia="Calibri" w:hAnsi="Calibri"/>
          <w:b/>
          <w:bCs/>
          <w:i w:val="false"/>
          <w:iCs w:val="false"/>
          <w:color w:val="1B2A4A"/>
          <w:sz w:val="34"/>
          <w:szCs w:val="34"/>
        </w:rPr>
        <w:t xml:space="preserve">Part IV — Feature Roadmap: Beyond the MVP</w:t>
      </w:r>
    </w:p>
    <w:p>
      <w:pPr>
        <w:spacing w:after="140" w:before="0" w:line="264"/>
        <w:jc w:val="left"/>
      </w:pPr>
      <w:r>
        <w:rPr>
          <w:rFonts w:ascii="Calibri" w:cs="Calibri" w:eastAsia="Calibri" w:hAnsi="Calibri"/>
          <w:b w:val="false"/>
          <w:bCs w:val="false"/>
          <w:i w:val="false"/>
          <w:iCs w:val="false"/>
          <w:color w:val="222222"/>
          <w:sz w:val="19"/>
          <w:szCs w:val="19"/>
        </w:rPr>
        <w:t xml:space="preserve">The 13 features below are what we are building apart from the existing MVP feature set described in Part I. Every item is traced to the competitor whose product proves the pattern already works in market (“Inspired By” = who has implemented it), or marked as GTM practice / whitespace where no competitor has. This directly extends the Now/Next/Later roadmap from the Voice AI Competitive Landscape report, cross-referenced with the Manager Briefing's include/exclude rationale.</w:t>
      </w:r>
    </w:p>
    <w:p>
      <w:pPr>
        <w:pBdr>
          <w:top w:val="single" w:color="2455A4" w:sz="6"/>
          <w:bottom w:val="single" w:color="2455A4" w:sz="6"/>
          <w:left w:val="single" w:color="2455A4" w:sz="6"/>
          <w:right w:val="single" w:color="2455A4" w:sz="6"/>
        </w:pBdr>
        <w:shd w:fill="E9EFF9" w:val="clear"/>
        <w:spacing w:after="160" w:before="100"/>
      </w:pPr>
      <w:r>
        <w:rPr>
          <w:rFonts w:ascii="Calibri" w:cs="Calibri" w:eastAsia="Calibri" w:hAnsi="Calibri"/>
          <w:b/>
          <w:bCs/>
          <w:i w:val="false"/>
          <w:iCs w:val="false"/>
          <w:color w:val="1B2A4A"/>
          <w:sz w:val="19"/>
          <w:szCs w:val="19"/>
        </w:rPr>
        <w:t xml:space="preserve">Two dependency chains matter most:  </w:t>
      </w:r>
      <w:r>
        <w:rPr>
          <w:rFonts w:ascii="Calibri" w:cs="Calibri" w:eastAsia="Calibri" w:hAnsi="Calibri"/>
          <w:b w:val="false"/>
          <w:bCs w:val="false"/>
          <w:i w:val="false"/>
          <w:iCs w:val="false"/>
          <w:color w:val="222222"/>
          <w:sz w:val="19"/>
          <w:szCs w:val="19"/>
        </w:rPr>
        <w:t xml:space="preserve">Billing &amp; Usage Metering (#4) must precede Self-Serve Onboarding (#5) — building the onboarding wizard first would produce a flow with no way to actually charge the customer who signs up through it. The WhatsApp Channel Adapter (#3) must precede both the orchestrated voice+WhatsApp journey and the WhatsApp-inclusive half of the template library (#8).</w:t>
      </w:r>
    </w:p>
    <w:p>
      <w:pPr>
        <w:pStyle w:val="Heading2"/>
        <w:spacing w:after="140" w:before="260"/>
      </w:pPr>
      <w:r>
        <w:rPr>
          <w:rFonts w:ascii="Calibri" w:cs="Calibri" w:eastAsia="Calibri" w:hAnsi="Calibri"/>
          <w:b/>
          <w:bCs/>
          <w:i w:val="false"/>
          <w:iCs w:val="false"/>
          <w:color w:val="1B2A4A"/>
          <w:sz w:val="25"/>
          <w:szCs w:val="25"/>
        </w:rPr>
        <w:t xml:space="preserve">4.1 Now (0-3 months)</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373"/>
        <w:gridCol w:w="2980"/>
        <w:gridCol w:w="1770"/>
        <w:gridCol w:w="1025"/>
        <w:gridCol w:w="931"/>
        <w:gridCol w:w="2235"/>
      </w:tblGrid>
      <w:tr>
        <w:trPr>
          <w:tblHeader/>
        </w:trPr>
        <w:tc>
          <w:tcPr>
            <w:tcW w:type="dxa" w:w="373"/>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w:t>
            </w:r>
          </w:p>
        </w:tc>
        <w:tc>
          <w:tcPr>
            <w:tcW w:type="dxa" w:w="298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Feature</w:t>
            </w:r>
          </w:p>
        </w:tc>
        <w:tc>
          <w:tcPr>
            <w:tcW w:type="dxa" w:w="177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Inspired By (Who's Implemented It)</w:t>
            </w:r>
          </w:p>
        </w:tc>
        <w:tc>
          <w:tcPr>
            <w:tcW w:type="dxa" w:w="1025"/>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Priority</w:t>
            </w:r>
          </w:p>
        </w:tc>
        <w:tc>
          <w:tcPr>
            <w:tcW w:type="dxa" w:w="931"/>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Effort</w:t>
            </w:r>
          </w:p>
        </w:tc>
        <w:tc>
          <w:tcPr>
            <w:tcW w:type="dxa" w:w="2235"/>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Depends On</w:t>
            </w:r>
          </w:p>
        </w:tc>
      </w:tr>
      <w:tr>
        <w:tc>
          <w:tcPr>
            <w:tcW w:type="dxa" w:w="37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1</w:t>
            </w:r>
          </w:p>
        </w:tc>
        <w:tc>
          <w:tcPr>
            <w:tcW w:type="dxa" w:w="298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Structured Inventory &amp; Pricing Tool — Queryable unit/price/availability table backing a dedicated tool, replacing pure RAG for factual queries</w:t>
            </w:r>
          </w:p>
        </w:tc>
        <w:tc>
          <w:tcPr>
            <w:tcW w:type="dxa" w:w="177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Haptik (auto parts/inventory pattern)</w:t>
            </w:r>
          </w:p>
        </w:tc>
        <w:tc>
          <w:tcPr>
            <w:tcW w:type="dxa" w:w="102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High</w:t>
            </w:r>
          </w:p>
        </w:tc>
        <w:tc>
          <w:tcPr>
            <w:tcW w:type="dxa" w:w="93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Medium</w:t>
            </w:r>
          </w:p>
        </w:tc>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None</w:t>
            </w:r>
          </w:p>
        </w:tc>
      </w:tr>
      <w:tr>
        <w:tc>
          <w:tcPr>
            <w:tcW w:type="dxa" w:w="37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2</w:t>
            </w:r>
          </w:p>
        </w:tc>
        <w:tc>
          <w:tcPr>
            <w:tcW w:type="dxa" w:w="298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Generic Escalation/Emergency Tool Template — Reusable urgent-handoff pattern (legal dispute, safety issue, payment fraud)</w:t>
            </w:r>
          </w:p>
        </w:tc>
        <w:tc>
          <w:tcPr>
            <w:tcW w:type="dxa" w:w="177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Haptik (auto SOS pattern)</w:t>
            </w:r>
          </w:p>
        </w:tc>
        <w:tc>
          <w:tcPr>
            <w:tcW w:type="dxa" w:w="102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Medium</w:t>
            </w:r>
          </w:p>
        </w:tc>
        <w:tc>
          <w:tcPr>
            <w:tcW w:type="dxa" w:w="93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Low</w:t>
            </w:r>
          </w:p>
        </w:tc>
        <w:tc>
          <w:tcPr>
            <w:tcW w:type="dxa" w:w="223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None</w:t>
            </w:r>
          </w:p>
        </w:tc>
      </w:tr>
      <w:tr>
        <w:tc>
          <w:tcPr>
            <w:tcW w:type="dxa" w:w="37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3</w:t>
            </w:r>
          </w:p>
        </w:tc>
        <w:tc>
          <w:tcPr>
            <w:tcW w:type="dxa" w:w="298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WhatsApp Channel Adapter — First-class outbound/inbound channel, not just a schema value</w:t>
            </w:r>
          </w:p>
        </w:tc>
        <w:tc>
          <w:tcPr>
            <w:tcW w:type="dxa" w:w="177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SquadStack (omnichannel)</w:t>
            </w:r>
          </w:p>
        </w:tc>
        <w:tc>
          <w:tcPr>
            <w:tcW w:type="dxa" w:w="102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High</w:t>
            </w:r>
          </w:p>
        </w:tc>
        <w:tc>
          <w:tcPr>
            <w:tcW w:type="dxa" w:w="93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Medium-High</w:t>
            </w:r>
          </w:p>
        </w:tc>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None (but blocks the orchestrated-journey gap and item 8)</w:t>
            </w:r>
          </w:p>
        </w:tc>
      </w:tr>
      <w:tr>
        <w:tc>
          <w:tcPr>
            <w:tcW w:type="dxa" w:w="37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4</w:t>
            </w:r>
          </w:p>
        </w:tc>
        <w:tc>
          <w:tcPr>
            <w:tcW w:type="dxa" w:w="298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Billing &amp; Usage Metering Module — Plans, meters, invoices to support flat-rate, per-minute, and per-outcome pricing</w:t>
            </w:r>
          </w:p>
        </w:tc>
        <w:tc>
          <w:tcPr>
            <w:tcW w:type="dxa" w:w="177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HuskyVoice, Bolna, Tabbly, SquadStack (pricing diversity)</w:t>
            </w:r>
          </w:p>
        </w:tc>
        <w:tc>
          <w:tcPr>
            <w:tcW w:type="dxa" w:w="102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High</w:t>
            </w:r>
          </w:p>
        </w:tc>
        <w:tc>
          <w:tcPr>
            <w:tcW w:type="dxa" w:w="93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Medium</w:t>
            </w:r>
          </w:p>
        </w:tc>
        <w:tc>
          <w:tcPr>
            <w:tcW w:type="dxa" w:w="223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None (but blocks item 5 and all outcome/flat/per-minute pricing)</w:t>
            </w:r>
          </w:p>
        </w:tc>
      </w:tr>
    </w:tbl>
    <w:p>
      <w:pPr>
        <w:spacing w:after="100"/>
      </w:pPr>
      <w:r>
        <w:rPr>
          <w:rFonts w:ascii="Calibri" w:cs="Calibri" w:eastAsia="Calibri" w:hAnsi="Calibri"/>
          <w:b/>
          <w:bCs/>
          <w:i w:val="false"/>
          <w:iCs w:val="false"/>
          <w:color w:val="1B2A4A"/>
          <w:sz w:val="19"/>
          <w:szCs w:val="19"/>
        </w:rPr>
        <w:t xml:space="preserve">Architecture placement  </w:t>
      </w:r>
      <w:r>
        <w:rPr>
          <w:rFonts w:ascii="Calibri" w:cs="Calibri" w:eastAsia="Calibri" w:hAnsi="Calibri"/>
          <w:b w:val="false"/>
          <w:bCs w:val="false"/>
          <w:i w:val="false"/>
          <w:iCs w:val="false"/>
          <w:color w:val="222222"/>
          <w:sz w:val="19"/>
          <w:szCs w:val="19"/>
        </w:rPr>
        <w:t xml:space="preserve"/>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Structured Inventory &amp; Pricing Tool: New builtin/inventory_tool.py; supersedes knowledge_documents for factual queries</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Generic Escalation/Emergency Tool Template: New entry in tool_definitions: escalation_tools.py + escalation rule</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WhatsApp Channel Adapter: New provider adapter under providers/; 'whatsapp' activated end-to-end</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Billing &amp; Usage Metering Module: New tables: billing_plans, meters, invoices; extends existing calls.cost and campaigns.stats</w:t>
      </w:r>
    </w:p>
    <w:p>
      <w:pPr>
        <w:pStyle w:val="Heading2"/>
        <w:spacing w:after="140" w:before="260"/>
      </w:pPr>
      <w:r>
        <w:rPr>
          <w:rFonts w:ascii="Calibri" w:cs="Calibri" w:eastAsia="Calibri" w:hAnsi="Calibri"/>
          <w:b/>
          <w:bCs/>
          <w:i w:val="false"/>
          <w:iCs w:val="false"/>
          <w:color w:val="1B2A4A"/>
          <w:sz w:val="25"/>
          <w:szCs w:val="25"/>
        </w:rPr>
        <w:t xml:space="preserve">4.2 Next (3-6 months)</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373"/>
        <w:gridCol w:w="2980"/>
        <w:gridCol w:w="1770"/>
        <w:gridCol w:w="1025"/>
        <w:gridCol w:w="931"/>
        <w:gridCol w:w="2235"/>
      </w:tblGrid>
      <w:tr>
        <w:trPr>
          <w:tblHeader/>
        </w:trPr>
        <w:tc>
          <w:tcPr>
            <w:tcW w:type="dxa" w:w="373"/>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w:t>
            </w:r>
          </w:p>
        </w:tc>
        <w:tc>
          <w:tcPr>
            <w:tcW w:type="dxa" w:w="298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Feature</w:t>
            </w:r>
          </w:p>
        </w:tc>
        <w:tc>
          <w:tcPr>
            <w:tcW w:type="dxa" w:w="177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Inspired By (Who's Implemented It)</w:t>
            </w:r>
          </w:p>
        </w:tc>
        <w:tc>
          <w:tcPr>
            <w:tcW w:type="dxa" w:w="1025"/>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Priority</w:t>
            </w:r>
          </w:p>
        </w:tc>
        <w:tc>
          <w:tcPr>
            <w:tcW w:type="dxa" w:w="931"/>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Effort</w:t>
            </w:r>
          </w:p>
        </w:tc>
        <w:tc>
          <w:tcPr>
            <w:tcW w:type="dxa" w:w="2235"/>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Depends On</w:t>
            </w:r>
          </w:p>
        </w:tc>
      </w:tr>
      <w:tr>
        <w:tc>
          <w:tcPr>
            <w:tcW w:type="dxa" w:w="37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5</w:t>
            </w:r>
          </w:p>
        </w:tc>
        <w:tc>
          <w:tcPr>
            <w:tcW w:type="dxa" w:w="298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Self-Serve SMB Onboarding Flow — "Connect number + calendar" guided setup, lighter than full pack authoring</w:t>
            </w:r>
          </w:p>
        </w:tc>
        <w:tc>
          <w:tcPr>
            <w:tcW w:type="dxa" w:w="177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HuskyVoice AI</w:t>
            </w:r>
          </w:p>
        </w:tc>
        <w:tc>
          <w:tcPr>
            <w:tcW w:type="dxa" w:w="102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Medium</w:t>
            </w:r>
          </w:p>
        </w:tc>
        <w:tc>
          <w:tcPr>
            <w:tcW w:type="dxa" w:w="93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Medium</w:t>
            </w:r>
          </w:p>
        </w:tc>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#4 (Billing)</w:t>
            </w:r>
          </w:p>
        </w:tc>
      </w:tr>
      <w:tr>
        <w:tc>
          <w:tcPr>
            <w:tcW w:type="dxa" w:w="37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6</w:t>
            </w:r>
          </w:p>
        </w:tc>
        <w:tc>
          <w:tcPr>
            <w:tcW w:type="dxa" w:w="298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Published QA Audit Rubric — Fixed N-parameter scoring surfaced to customers, not just internal traces</w:t>
            </w:r>
          </w:p>
        </w:tc>
        <w:tc>
          <w:tcPr>
            <w:tcW w:type="dxa" w:w="177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SquadStack (23-param audits)</w:t>
            </w:r>
          </w:p>
        </w:tc>
        <w:tc>
          <w:tcPr>
            <w:tcW w:type="dxa" w:w="102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Medium</w:t>
            </w:r>
          </w:p>
        </w:tc>
        <w:tc>
          <w:tcPr>
            <w:tcW w:type="dxa" w:w="93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Low-Medium</w:t>
            </w:r>
          </w:p>
        </w:tc>
        <w:tc>
          <w:tcPr>
            <w:tcW w:type="dxa" w:w="223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Existing decision_traces</w:t>
            </w:r>
          </w:p>
        </w:tc>
      </w:tr>
      <w:tr>
        <w:tc>
          <w:tcPr>
            <w:tcW w:type="dxa" w:w="37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7</w:t>
            </w:r>
          </w:p>
        </w:tc>
        <w:tc>
          <w:tcPr>
            <w:tcW w:type="dxa" w:w="298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Managed Continuous-Improvement SLA — Packaged monthly golden-set review as a customer deliverable</w:t>
            </w:r>
          </w:p>
        </w:tc>
        <w:tc>
          <w:tcPr>
            <w:tcW w:type="dxa" w:w="177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Thinkly AI ("month 3 &gt; month 1")</w:t>
            </w:r>
          </w:p>
        </w:tc>
        <w:tc>
          <w:tcPr>
            <w:tcW w:type="dxa" w:w="102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Medium</w:t>
            </w:r>
          </w:p>
        </w:tc>
        <w:tc>
          <w:tcPr>
            <w:tcW w:type="dxa" w:w="93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Low</w:t>
            </w:r>
          </w:p>
        </w:tc>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Existing golden-set suite</w:t>
            </w:r>
          </w:p>
        </w:tc>
      </w:tr>
      <w:tr>
        <w:tc>
          <w:tcPr>
            <w:tcW w:type="dxa" w:w="37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8</w:t>
            </w:r>
          </w:p>
        </w:tc>
        <w:tc>
          <w:tcPr>
            <w:tcW w:type="dxa" w:w="298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Prebuilt Outbound Template Library — Reminder/confirmation/reactivation scripts per vertical, ready out of the box</w:t>
            </w:r>
          </w:p>
        </w:tc>
        <w:tc>
          <w:tcPr>
            <w:tcW w:type="dxa" w:w="177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Caller Digital (EMI/COD templates)</w:t>
            </w:r>
          </w:p>
        </w:tc>
        <w:tc>
          <w:tcPr>
            <w:tcW w:type="dxa" w:w="102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Medium</w:t>
            </w:r>
          </w:p>
        </w:tc>
        <w:tc>
          <w:tcPr>
            <w:tcW w:type="dxa" w:w="93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Low</w:t>
            </w:r>
          </w:p>
        </w:tc>
        <w:tc>
          <w:tcPr>
            <w:tcW w:type="dxa" w:w="223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Benefits from #3 for WhatsApp-inclusive sequences (voice-only ships immediately)</w:t>
            </w:r>
          </w:p>
        </w:tc>
      </w:tr>
    </w:tbl>
    <w:p>
      <w:pPr>
        <w:spacing w:after="100"/>
      </w:pPr>
      <w:r>
        <w:rPr>
          <w:rFonts w:ascii="Calibri" w:cs="Calibri" w:eastAsia="Calibri" w:hAnsi="Calibri"/>
          <w:b/>
          <w:bCs/>
          <w:i w:val="false"/>
          <w:iCs w:val="false"/>
          <w:color w:val="1B2A4A"/>
          <w:sz w:val="19"/>
          <w:szCs w:val="19"/>
        </w:rPr>
        <w:t xml:space="preserve">Architecture placement  </w:t>
      </w:r>
      <w:r>
        <w:rPr>
          <w:rFonts w:ascii="Calibri" w:cs="Calibri" w:eastAsia="Calibri" w:hAnsi="Calibri"/>
          <w:b w:val="false"/>
          <w:bCs w:val="false"/>
          <w:i w:val="false"/>
          <w:iCs w:val="false"/>
          <w:color w:val="222222"/>
          <w:sz w:val="19"/>
          <w:szCs w:val="19"/>
        </w:rPr>
        <w:t xml:space="preserve"/>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Self-Serve SMB Onboarding Flow: Dashboard: new "Starter" tier + guided pack-activation mechanism</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Published QA Audit Rubric: Analytics &amp; Intelligence layer, built on existing decision_traces and call quality scoring</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Managed Continuous-Improvement SLA: Process wrapper around the existing golden-set suite; no new engine code</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Prebuilt Outbound Template Library: prompts/ directory per Industry Pack; content, not engine change</w:t>
      </w:r>
    </w:p>
    <w:p>
      <w:pPr>
        <w:pStyle w:val="Heading2"/>
        <w:spacing w:after="140" w:before="260"/>
      </w:pPr>
      <w:r>
        <w:rPr>
          <w:rFonts w:ascii="Calibri" w:cs="Calibri" w:eastAsia="Calibri" w:hAnsi="Calibri"/>
          <w:b/>
          <w:bCs/>
          <w:i w:val="false"/>
          <w:iCs w:val="false"/>
          <w:color w:val="1B2A4A"/>
          <w:sz w:val="25"/>
          <w:szCs w:val="25"/>
        </w:rPr>
        <w:t xml:space="preserve">4.3 Later (6-12 months)</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373"/>
        <w:gridCol w:w="2980"/>
        <w:gridCol w:w="1770"/>
        <w:gridCol w:w="1025"/>
        <w:gridCol w:w="931"/>
        <w:gridCol w:w="2235"/>
      </w:tblGrid>
      <w:tr>
        <w:trPr>
          <w:tblHeader/>
        </w:trPr>
        <w:tc>
          <w:tcPr>
            <w:tcW w:type="dxa" w:w="373"/>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w:t>
            </w:r>
          </w:p>
        </w:tc>
        <w:tc>
          <w:tcPr>
            <w:tcW w:type="dxa" w:w="298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Feature</w:t>
            </w:r>
          </w:p>
        </w:tc>
        <w:tc>
          <w:tcPr>
            <w:tcW w:type="dxa" w:w="177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Inspired By (Who's Implemented It)</w:t>
            </w:r>
          </w:p>
        </w:tc>
        <w:tc>
          <w:tcPr>
            <w:tcW w:type="dxa" w:w="1025"/>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Priority</w:t>
            </w:r>
          </w:p>
        </w:tc>
        <w:tc>
          <w:tcPr>
            <w:tcW w:type="dxa" w:w="931"/>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Effort</w:t>
            </w:r>
          </w:p>
        </w:tc>
        <w:tc>
          <w:tcPr>
            <w:tcW w:type="dxa" w:w="2235"/>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Depends On</w:t>
            </w:r>
          </w:p>
        </w:tc>
      </w:tr>
      <w:tr>
        <w:tc>
          <w:tcPr>
            <w:tcW w:type="dxa" w:w="37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9</w:t>
            </w:r>
          </w:p>
        </w:tc>
        <w:tc>
          <w:tcPr>
            <w:tcW w:type="dxa" w:w="298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AI + Human Hybrid Routing — Optional blended fulfillment for trust-sensitive verticals</w:t>
            </w:r>
          </w:p>
        </w:tc>
        <w:tc>
          <w:tcPr>
            <w:tcW w:type="dxa" w:w="177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SquadStack</w:t>
            </w:r>
          </w:p>
        </w:tc>
        <w:tc>
          <w:tcPr>
            <w:tcW w:type="dxa" w:w="102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Low-Medium</w:t>
            </w:r>
          </w:p>
        </w:tc>
        <w:tc>
          <w:tcPr>
            <w:tcW w:type="dxa" w:w="93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High</w:t>
            </w:r>
          </w:p>
        </w:tc>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Business decision to take on human-vendor management</w:t>
            </w:r>
          </w:p>
        </w:tc>
      </w:tr>
      <w:tr>
        <w:tc>
          <w:tcPr>
            <w:tcW w:type="dxa" w:w="37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10</w:t>
            </w:r>
          </w:p>
        </w:tc>
        <w:tc>
          <w:tcPr>
            <w:tcW w:type="dxa" w:w="298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On-Prem / BYO-CRM Deployment Mode — GTM risk mitigation across BFSI/healthcare/govt</w:t>
            </w:r>
          </w:p>
        </w:tc>
        <w:tc>
          <w:tcPr>
            <w:tcW w:type="dxa" w:w="177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Industry-wide GTM practice</w:t>
            </w:r>
          </w:p>
        </w:tc>
        <w:tc>
          <w:tcPr>
            <w:tcW w:type="dxa" w:w="102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Low (until demanded)</w:t>
            </w:r>
          </w:p>
        </w:tc>
        <w:tc>
          <w:tcPr>
            <w:tcW w:type="dxa" w:w="93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High</w:t>
            </w:r>
          </w:p>
        </w:tc>
        <w:tc>
          <w:tcPr>
            <w:tcW w:type="dxa" w:w="223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 specific enterprise/BFSI/healthcare deal</w:t>
            </w:r>
          </w:p>
        </w:tc>
      </w:tr>
      <w:tr>
        <w:tc>
          <w:tcPr>
            <w:tcW w:type="dxa" w:w="37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11</w:t>
            </w:r>
          </w:p>
        </w:tc>
        <w:tc>
          <w:tcPr>
            <w:tcW w:type="dxa" w:w="298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Third-Party Certification Program — ISO 27001, SOC 2 Type II</w:t>
            </w:r>
          </w:p>
        </w:tc>
        <w:tc>
          <w:tcPr>
            <w:tcW w:type="dxa" w:w="177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SquadStack, HuskyVoice AI</w:t>
            </w:r>
          </w:p>
        </w:tc>
        <w:tc>
          <w:tcPr>
            <w:tcW w:type="dxa" w:w="102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Low initially</w:t>
            </w:r>
          </w:p>
        </w:tc>
        <w:tc>
          <w:tcPr>
            <w:tcW w:type="dxa" w:w="93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High</w:t>
            </w:r>
          </w:p>
        </w:tc>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 specific deal requiring the certification</w:t>
            </w:r>
          </w:p>
        </w:tc>
      </w:tr>
      <w:tr>
        <w:tc>
          <w:tcPr>
            <w:tcW w:type="dxa" w:w="37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12</w:t>
            </w:r>
          </w:p>
        </w:tc>
        <w:tc>
          <w:tcPr>
            <w:tcW w:type="dxa" w:w="298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Expanded Connector Library (100+ CRMs/DMS) — Broaden beyond LeadSquared/Sell.do/360Enrich</w:t>
            </w:r>
          </w:p>
        </w:tc>
        <w:tc>
          <w:tcPr>
            <w:tcW w:type="dxa" w:w="177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Haptik</w:t>
            </w:r>
          </w:p>
        </w:tc>
        <w:tc>
          <w:tcPr>
            <w:tcW w:type="dxa" w:w="102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Low</w:t>
            </w:r>
          </w:p>
        </w:tc>
        <w:tc>
          <w:tcPr>
            <w:tcW w:type="dxa" w:w="93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High</w:t>
            </w:r>
          </w:p>
        </w:tc>
        <w:tc>
          <w:tcPr>
            <w:tcW w:type="dxa" w:w="223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Vertical expansion beyond real estate</w:t>
            </w:r>
          </w:p>
        </w:tc>
      </w:tr>
      <w:tr>
        <w:tc>
          <w:tcPr>
            <w:tcW w:type="dxa" w:w="37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13</w:t>
            </w:r>
          </w:p>
        </w:tc>
        <w:tc>
          <w:tcPr>
            <w:tcW w:type="dxa" w:w="298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Public-Sector / Citizen-Services Compliance Tier — Government/citizen-helpline monitoring tier</w:t>
            </w:r>
          </w:p>
        </w:tc>
        <w:tc>
          <w:tcPr>
            <w:tcW w:type="dxa" w:w="177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ConvozenAI (IndiaAI Mission)</w:t>
            </w:r>
          </w:p>
        </w:tc>
        <w:tc>
          <w:tcPr>
            <w:tcW w:type="dxa" w:w="102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Low (vertical-dependent)</w:t>
            </w:r>
          </w:p>
        </w:tc>
        <w:tc>
          <w:tcPr>
            <w:tcW w:type="dxa" w:w="93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Medium</w:t>
            </w:r>
          </w:p>
        </w:tc>
        <w:tc>
          <w:tcPr>
            <w:tcW w:type="dxa" w:w="223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Pursuing the Government vertical</w:t>
            </w:r>
          </w:p>
        </w:tc>
      </w:tr>
    </w:tbl>
    <w:p>
      <w:pPr>
        <w:spacing w:after="100"/>
      </w:pPr>
      <w:r>
        <w:rPr>
          <w:rFonts w:ascii="Calibri" w:cs="Calibri" w:eastAsia="Calibri" w:hAnsi="Calibri"/>
          <w:b/>
          <w:bCs/>
          <w:i w:val="false"/>
          <w:iCs w:val="false"/>
          <w:color w:val="1B2A4A"/>
          <w:sz w:val="19"/>
          <w:szCs w:val="19"/>
        </w:rPr>
        <w:t xml:space="preserve">Architecture placement  </w:t>
      </w:r>
      <w:r>
        <w:rPr>
          <w:rFonts w:ascii="Calibri" w:cs="Calibri" w:eastAsia="Calibri" w:hAnsi="Calibri"/>
          <w:b w:val="false"/>
          <w:bCs w:val="false"/>
          <w:i w:val="false"/>
          <w:iCs w:val="false"/>
          <w:color w:val="222222"/>
          <w:sz w:val="19"/>
          <w:szCs w:val="19"/>
        </w:rPr>
        <w:t xml:space="preserve"/>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AI + Human Hybrid Routing: New routing service; requires human-vendor management outside current escalation model</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On-Prem / BYO-CRM Deployment Mode: Infrastructure/deployment variant; conflicts with multi-tenant-by-default</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Third-Party Certification Program: Org-wide security programme, not a code change</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Expanded Connector Library (100+ CRMs/DMS): Integration Hub expansion</w:t>
      </w:r>
    </w:p>
    <w:p>
      <w:pPr>
        <w:pStyle w:val="ListParagraph"/>
        <w:numPr>
          <w:ilvl w:val="0"/>
          <w:numId w:val="2"/>
        </w:numPr>
        <w:spacing w:after="80" w:line="258"/>
      </w:pPr>
      <w:r>
        <w:rPr>
          <w:rFonts w:ascii="Calibri" w:cs="Calibri" w:eastAsia="Calibri" w:hAnsi="Calibri"/>
          <w:b w:val="false"/>
          <w:bCs w:val="false"/>
          <w:i w:val="false"/>
          <w:iCs w:val="false"/>
          <w:color w:val="222222"/>
          <w:sz w:val="19"/>
          <w:szCs w:val="19"/>
        </w:rPr>
        <w:t xml:space="preserve">Public-Sector / Citizen-Services Compliance Tier: New Industry Pack + dedicated compliance rules</w:t>
      </w:r>
    </w:p>
    <w:p>
      <w:pPr>
        <w:pStyle w:val="Heading2"/>
        <w:spacing w:after="140" w:before="260"/>
      </w:pPr>
      <w:r>
        <w:rPr>
          <w:rFonts w:ascii="Calibri" w:cs="Calibri" w:eastAsia="Calibri" w:hAnsi="Calibri"/>
          <w:b/>
          <w:bCs/>
          <w:i w:val="false"/>
          <w:iCs w:val="false"/>
          <w:color w:val="1B2A4A"/>
          <w:sz w:val="25"/>
          <w:szCs w:val="25"/>
        </w:rPr>
        <w:t xml:space="preserve">4.4 Roadmap Sequencing Logic</w:t>
      </w:r>
    </w:p>
    <w:p>
      <w:pPr>
        <w:spacing w:after="140" w:before="0" w:line="264"/>
        <w:jc w:val="left"/>
      </w:pPr>
      <w:r>
        <w:rPr>
          <w:rFonts w:ascii="Calibri" w:cs="Calibri" w:eastAsia="Calibri" w:hAnsi="Calibri"/>
          <w:b w:val="false"/>
          <w:bCs w:val="false"/>
          <w:i w:val="false"/>
          <w:iCs w:val="false"/>
          <w:color w:val="222222"/>
          <w:sz w:val="19"/>
          <w:szCs w:val="19"/>
        </w:rPr>
        <w:t xml:space="preserve">Everything in the Later tier is intentionally decision-gated by a specific future deal rather than scheduled by calendar time. Building any Later item speculatively risks wasted engineering effort against a deal that may never materialize with those exact requirements — each should be triggered by a named opportunity, not a sprint planning meeting. Now-tier items 1-3 (structured inventory, escalation template, WhatsApp adapter) have no dependency on each other and can proceed in parallel; item 4 (billing) likewise has no engineering dependency but gates nearly everything downstream of it in the Next tier.</w:t>
      </w:r>
    </w:p>
    <w:p>
      <w:pPr>
        <w:pageBreakBefore/>
        <w:spacing w:after="20" w:before="0"/>
      </w:pPr>
      <w:r>
        <w:rPr>
          <w:rFonts w:ascii="Calibri" w:cs="Calibri" w:eastAsia="Calibri" w:hAnsi="Calibri"/>
          <w:b/>
          <w:bCs/>
          <w:i w:val="false"/>
          <w:iCs w:val="false"/>
          <w:color w:val="2455A4"/>
          <w:sz w:val="18"/>
          <w:szCs w:val="18"/>
        </w:rPr>
        <w:t xml:space="preserve">PART V</w:t>
      </w:r>
    </w:p>
    <w:p>
      <w:pPr>
        <w:pStyle w:val="Heading1"/>
        <w:pBdr>
          <w:bottom w:val="single" w:color="2455A4" w:sz="14" w:space="6"/>
        </w:pBdr>
        <w:spacing w:after="220" w:before="0"/>
      </w:pPr>
      <w:r>
        <w:rPr>
          <w:rFonts w:ascii="Calibri" w:cs="Calibri" w:eastAsia="Calibri" w:hAnsi="Calibri"/>
          <w:b/>
          <w:bCs/>
          <w:i w:val="false"/>
          <w:iCs w:val="false"/>
          <w:color w:val="1B2A4A"/>
          <w:sz w:val="34"/>
          <w:szCs w:val="34"/>
        </w:rPr>
        <w:t xml:space="preserve">Part V — Risks &amp; Anticipated Questions</w:t>
      </w:r>
    </w:p>
    <w:p>
      <w:pPr>
        <w:spacing w:after="140" w:before="0" w:line="264"/>
        <w:jc w:val="left"/>
      </w:pPr>
      <w:r>
        <w:rPr>
          <w:rFonts w:ascii="Calibri" w:cs="Calibri" w:eastAsia="Calibri" w:hAnsi="Calibri"/>
          <w:b w:val="false"/>
          <w:bCs w:val="false"/>
          <w:i w:val="false"/>
          <w:iCs w:val="false"/>
          <w:color w:val="222222"/>
          <w:sz w:val="19"/>
          <w:szCs w:val="19"/>
        </w:rPr>
        <w:t xml:space="preserve">This Part consolidates the competitive-strategy risk register (below) with the deployment risk register already given in full in Part II, Section 2.7 — that section is not repeated here to avoid duplication.</w:t>
      </w:r>
    </w:p>
    <w:p>
      <w:pPr>
        <w:pStyle w:val="Heading2"/>
        <w:spacing w:after="140" w:before="260"/>
      </w:pPr>
      <w:r>
        <w:rPr>
          <w:rFonts w:ascii="Calibri" w:cs="Calibri" w:eastAsia="Calibri" w:hAnsi="Calibri"/>
          <w:b/>
          <w:bCs/>
          <w:i w:val="false"/>
          <w:iCs w:val="false"/>
          <w:color w:val="1B2A4A"/>
          <w:sz w:val="25"/>
          <w:szCs w:val="25"/>
        </w:rPr>
        <w:t xml:space="preserve">5.1 Competitive &amp; Roadmap Risk Register</w:t>
      </w:r>
    </w:p>
    <w:p>
      <w:pPr>
        <w:pStyle w:val="Heading3"/>
        <w:spacing w:after="100" w:before="180"/>
      </w:pPr>
      <w:r>
        <w:rPr>
          <w:rFonts w:ascii="Calibri" w:cs="Calibri" w:eastAsia="Calibri" w:hAnsi="Calibri"/>
          <w:b/>
          <w:bCs/>
          <w:i w:val="false"/>
          <w:iCs w:val="false"/>
          <w:color w:val="2455A4"/>
          <w:sz w:val="21"/>
          <w:szCs w:val="21"/>
        </w:rPr>
        <w:t xml:space="preserve">Billing/metering is a blocking prerequisite</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4657"/>
        <w:gridCol w:w="4657"/>
      </w:tblGrid>
      <w:tr>
        <w:trPr>
          <w:tblHeader/>
        </w:trPr>
        <w:tc>
          <w:tcPr>
            <w:tcW w:type="dxa" w:w="4657"/>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Type</w:t>
            </w:r>
          </w:p>
        </w:tc>
        <w:tc>
          <w:tcPr>
            <w:tcW w:type="dxa" w:w="4657"/>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Severity</w:t>
            </w:r>
          </w:p>
        </w:tc>
      </w:tr>
      <w:tr>
        <w:tc>
          <w:tcPr>
            <w:tcW w:type="dxa" w:w="465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Sequencing Risk</w:t>
            </w:r>
          </w:p>
        </w:tc>
        <w:tc>
          <w:tcPr>
            <w:tcW w:type="dxa" w:w="465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High</w:t>
            </w:r>
          </w:p>
        </w:tc>
      </w:tr>
    </w:tbl>
    <w:p>
      <w:pPr>
        <w:spacing w:after="100"/>
      </w:pPr>
      <w:r>
        <w:rPr>
          <w:rFonts w:ascii="Calibri" w:cs="Calibri" w:eastAsia="Calibri" w:hAnsi="Calibri"/>
          <w:b/>
          <w:bCs/>
          <w:i w:val="false"/>
          <w:iCs w:val="false"/>
          <w:color w:val="1B2A4A"/>
          <w:sz w:val="19"/>
          <w:szCs w:val="19"/>
        </w:rPr>
        <w:t xml:space="preserve">What it is: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No self-serve or SMB motion can launch — regardless of which pricing model we pick — until plans, meters, and invoices exist in the data model.</w:t>
      </w:r>
    </w:p>
    <w:p>
      <w:pPr>
        <w:spacing w:after="100"/>
      </w:pPr>
      <w:r>
        <w:rPr>
          <w:rFonts w:ascii="Calibri" w:cs="Calibri" w:eastAsia="Calibri" w:hAnsi="Calibri"/>
          <w:b/>
          <w:bCs/>
          <w:i w:val="false"/>
          <w:iCs w:val="false"/>
          <w:color w:val="1B2A4A"/>
          <w:sz w:val="19"/>
          <w:szCs w:val="19"/>
        </w:rPr>
        <w:t xml:space="preserve">Example: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iCs/>
          <w:color w:val="222222"/>
          <w:sz w:val="19"/>
          <w:szCs w:val="19"/>
        </w:rPr>
        <w:t xml:space="preserve">Even a perfectly built self-serve onboarding wizard is unusable if there's no way to actually charge the customer who signs up through it.</w:t>
      </w:r>
    </w:p>
    <w:p>
      <w:pPr>
        <w:spacing w:after="100"/>
      </w:pPr>
      <w:r>
        <w:rPr>
          <w:rFonts w:ascii="Calibri" w:cs="Calibri" w:eastAsia="Calibri" w:hAnsi="Calibri"/>
          <w:b/>
          <w:bCs/>
          <w:i w:val="false"/>
          <w:iCs w:val="false"/>
          <w:color w:val="1B2A4A"/>
          <w:sz w:val="19"/>
          <w:szCs w:val="19"/>
        </w:rPr>
        <w:t xml:space="preserve">Mitigation: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Sequence Billing strictly before Self-Serve Onboarding.</w:t>
      </w:r>
    </w:p>
    <w:p>
      <w:pPr>
        <w:pStyle w:val="Heading3"/>
        <w:spacing w:after="100" w:before="180"/>
      </w:pPr>
      <w:r>
        <w:rPr>
          <w:rFonts w:ascii="Calibri" w:cs="Calibri" w:eastAsia="Calibri" w:hAnsi="Calibri"/>
          <w:b/>
          <w:bCs/>
          <w:i w:val="false"/>
          <w:iCs w:val="false"/>
          <w:color w:val="2455A4"/>
          <w:sz w:val="21"/>
          <w:szCs w:val="21"/>
        </w:rPr>
        <w:t xml:space="preserve">WhatsApp Business API approval lead time</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4657"/>
        <w:gridCol w:w="4657"/>
      </w:tblGrid>
      <w:tr>
        <w:trPr>
          <w:tblHeader/>
        </w:trPr>
        <w:tc>
          <w:tcPr>
            <w:tcW w:type="dxa" w:w="4657"/>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Type</w:t>
            </w:r>
          </w:p>
        </w:tc>
        <w:tc>
          <w:tcPr>
            <w:tcW w:type="dxa" w:w="4657"/>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Severity</w:t>
            </w:r>
          </w:p>
        </w:tc>
      </w:tr>
      <w:tr>
        <w:tc>
          <w:tcPr>
            <w:tcW w:type="dxa" w:w="465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Calendar Risk</w:t>
            </w:r>
          </w:p>
        </w:tc>
        <w:tc>
          <w:tcPr>
            <w:tcW w:type="dxa" w:w="465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Medium</w:t>
            </w:r>
          </w:p>
        </w:tc>
      </w:tr>
    </w:tbl>
    <w:p>
      <w:pPr>
        <w:spacing w:after="100"/>
      </w:pPr>
      <w:r>
        <w:rPr>
          <w:rFonts w:ascii="Calibri" w:cs="Calibri" w:eastAsia="Calibri" w:hAnsi="Calibri"/>
          <w:b/>
          <w:bCs/>
          <w:i w:val="false"/>
          <w:iCs w:val="false"/>
          <w:color w:val="1B2A4A"/>
          <w:sz w:val="19"/>
          <w:szCs w:val="19"/>
        </w:rPr>
        <w:t xml:space="preserve">What it is: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Meta's Business API requires template pre-approval and opt-in compliance before any WhatsApp message can be sent at scale — this has its own calendar time independent of engineering effort.</w:t>
      </w:r>
    </w:p>
    <w:p>
      <w:pPr>
        <w:spacing w:after="100"/>
      </w:pPr>
      <w:r>
        <w:rPr>
          <w:rFonts w:ascii="Calibri" w:cs="Calibri" w:eastAsia="Calibri" w:hAnsi="Calibri"/>
          <w:b/>
          <w:bCs/>
          <w:i w:val="false"/>
          <w:iCs w:val="false"/>
          <w:color w:val="1B2A4A"/>
          <w:sz w:val="19"/>
          <w:szCs w:val="19"/>
        </w:rPr>
        <w:t xml:space="preserve">Example: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iCs/>
          <w:color w:val="222222"/>
          <w:sz w:val="19"/>
          <w:szCs w:val="19"/>
        </w:rPr>
        <w:t xml:space="preserve">A team that starts the adapter and the approval process sequentially, instead of in parallel, adds weeks of pure waiting for no engineering reason.</w:t>
      </w:r>
    </w:p>
    <w:p>
      <w:pPr>
        <w:spacing w:after="100"/>
      </w:pPr>
      <w:r>
        <w:rPr>
          <w:rFonts w:ascii="Calibri" w:cs="Calibri" w:eastAsia="Calibri" w:hAnsi="Calibri"/>
          <w:b/>
          <w:bCs/>
          <w:i w:val="false"/>
          <w:iCs w:val="false"/>
          <w:color w:val="1B2A4A"/>
          <w:sz w:val="19"/>
          <w:szCs w:val="19"/>
        </w:rPr>
        <w:t xml:space="preserve">Mitigation: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Start the Meta verification process the same week engineering starts the adapter, not after.</w:t>
      </w:r>
    </w:p>
    <w:p>
      <w:pPr>
        <w:pStyle w:val="Heading3"/>
        <w:spacing w:after="100" w:before="180"/>
      </w:pPr>
      <w:r>
        <w:rPr>
          <w:rFonts w:ascii="Calibri" w:cs="Calibri" w:eastAsia="Calibri" w:hAnsi="Calibri"/>
          <w:b/>
          <w:bCs/>
          <w:i w:val="false"/>
          <w:iCs w:val="false"/>
          <w:color w:val="2455A4"/>
          <w:sz w:val="21"/>
          <w:szCs w:val="21"/>
        </w:rPr>
        <w:t xml:space="preserve">AI + human hybrid introduces a vendor-management surface</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4657"/>
        <w:gridCol w:w="4657"/>
      </w:tblGrid>
      <w:tr>
        <w:trPr>
          <w:tblHeader/>
        </w:trPr>
        <w:tc>
          <w:tcPr>
            <w:tcW w:type="dxa" w:w="4657"/>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Type</w:t>
            </w:r>
          </w:p>
        </w:tc>
        <w:tc>
          <w:tcPr>
            <w:tcW w:type="dxa" w:w="4657"/>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Severity</w:t>
            </w:r>
          </w:p>
        </w:tc>
      </w:tr>
      <w:tr>
        <w:tc>
          <w:tcPr>
            <w:tcW w:type="dxa" w:w="465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Operating-Model Risk</w:t>
            </w:r>
          </w:p>
        </w:tc>
        <w:tc>
          <w:tcPr>
            <w:tcW w:type="dxa" w:w="465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Medium (if pursued)</w:t>
            </w:r>
          </w:p>
        </w:tc>
      </w:tr>
    </w:tbl>
    <w:p>
      <w:pPr>
        <w:spacing w:after="100"/>
      </w:pPr>
      <w:r>
        <w:rPr>
          <w:rFonts w:ascii="Calibri" w:cs="Calibri" w:eastAsia="Calibri" w:hAnsi="Calibri"/>
          <w:b/>
          <w:bCs/>
          <w:i w:val="false"/>
          <w:iCs w:val="false"/>
          <w:color w:val="1B2A4A"/>
          <w:sz w:val="19"/>
          <w:szCs w:val="19"/>
        </w:rPr>
        <w:t xml:space="preserve">What it is: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Blending in human telecallers means managing a new kind of variability — human agent quality, availability, and cost — that our current AI-only, deterministic-execution architecture was specifically designed to avoid.</w:t>
      </w:r>
    </w:p>
    <w:p>
      <w:pPr>
        <w:spacing w:after="100"/>
      </w:pPr>
      <w:r>
        <w:rPr>
          <w:rFonts w:ascii="Calibri" w:cs="Calibri" w:eastAsia="Calibri" w:hAnsi="Calibri"/>
          <w:b/>
          <w:bCs/>
          <w:i w:val="false"/>
          <w:iCs w:val="false"/>
          <w:color w:val="1B2A4A"/>
          <w:sz w:val="19"/>
          <w:szCs w:val="19"/>
        </w:rPr>
        <w:t xml:space="preserve">Example: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iCs/>
          <w:color w:val="222222"/>
          <w:sz w:val="19"/>
          <w:szCs w:val="19"/>
        </w:rPr>
        <w:t xml:space="preserve">A human telecaller's inconsistent script adherence can't be captured in decision_traces the same way a deterministic tool execution can.</w:t>
      </w:r>
    </w:p>
    <w:p>
      <w:pPr>
        <w:spacing w:after="100"/>
      </w:pPr>
      <w:r>
        <w:rPr>
          <w:rFonts w:ascii="Calibri" w:cs="Calibri" w:eastAsia="Calibri" w:hAnsi="Calibri"/>
          <w:b/>
          <w:bCs/>
          <w:i w:val="false"/>
          <w:iCs w:val="false"/>
          <w:color w:val="1B2A4A"/>
          <w:sz w:val="19"/>
          <w:szCs w:val="19"/>
        </w:rPr>
        <w:t xml:space="preserve">Mitigation: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If ever pursued, treat as a new service with its own SLAs and vendor contracts — not a small addition to the existing escalation model.</w:t>
      </w:r>
    </w:p>
    <w:p>
      <w:pPr>
        <w:pStyle w:val="Heading3"/>
        <w:spacing w:after="100" w:before="180"/>
      </w:pPr>
      <w:r>
        <w:rPr>
          <w:rFonts w:ascii="Calibri" w:cs="Calibri" w:eastAsia="Calibri" w:hAnsi="Calibri"/>
          <w:b/>
          <w:bCs/>
          <w:i w:val="false"/>
          <w:iCs w:val="false"/>
          <w:color w:val="2455A4"/>
          <w:sz w:val="21"/>
          <w:szCs w:val="21"/>
        </w:rPr>
        <w:t xml:space="preserve">On-prem/BYO-CRM conflicts with the multi-tenant-by-default design</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4657"/>
        <w:gridCol w:w="4657"/>
      </w:tblGrid>
      <w:tr>
        <w:trPr>
          <w:tblHeader/>
        </w:trPr>
        <w:tc>
          <w:tcPr>
            <w:tcW w:type="dxa" w:w="4657"/>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Type</w:t>
            </w:r>
          </w:p>
        </w:tc>
        <w:tc>
          <w:tcPr>
            <w:tcW w:type="dxa" w:w="4657"/>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Severity</w:t>
            </w:r>
          </w:p>
        </w:tc>
      </w:tr>
      <w:tr>
        <w:tc>
          <w:tcPr>
            <w:tcW w:type="dxa" w:w="465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Architecture Risk</w:t>
            </w:r>
          </w:p>
        </w:tc>
        <w:tc>
          <w:tcPr>
            <w:tcW w:type="dxa" w:w="465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Medium (if pursued)</w:t>
            </w:r>
          </w:p>
        </w:tc>
      </w:tr>
    </w:tbl>
    <w:p>
      <w:pPr>
        <w:spacing w:after="100"/>
      </w:pPr>
      <w:r>
        <w:rPr>
          <w:rFonts w:ascii="Calibri" w:cs="Calibri" w:eastAsia="Calibri" w:hAnsi="Calibri"/>
          <w:b/>
          <w:bCs/>
          <w:i w:val="false"/>
          <w:iCs w:val="false"/>
          <w:color w:val="1B2A4A"/>
          <w:sz w:val="19"/>
          <w:szCs w:val="19"/>
        </w:rPr>
        <w:t xml:space="preserve">What it is: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Our architecture's tenant isolation assumes one shared database with tenant-level filtering — a true on-prem or BYO-instance deployment is a different deployment topology, not a configuration toggle.</w:t>
      </w:r>
    </w:p>
    <w:p>
      <w:pPr>
        <w:spacing w:after="100"/>
      </w:pPr>
      <w:r>
        <w:rPr>
          <w:rFonts w:ascii="Calibri" w:cs="Calibri" w:eastAsia="Calibri" w:hAnsi="Calibri"/>
          <w:b/>
          <w:bCs/>
          <w:i w:val="false"/>
          <w:iCs w:val="false"/>
          <w:color w:val="1B2A4A"/>
          <w:sz w:val="19"/>
          <w:szCs w:val="19"/>
        </w:rPr>
        <w:t xml:space="preserve">Example: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iCs/>
          <w:color w:val="222222"/>
          <w:sz w:val="19"/>
          <w:szCs w:val="19"/>
        </w:rPr>
        <w:t xml:space="preserve">A BFSI client demanding their data "never leave their system" can't be satisfied by flipping a settings flag; it requires a genuinely different deployment plan.</w:t>
      </w:r>
    </w:p>
    <w:p>
      <w:pPr>
        <w:spacing w:after="100"/>
      </w:pPr>
      <w:r>
        <w:rPr>
          <w:rFonts w:ascii="Calibri" w:cs="Calibri" w:eastAsia="Calibri" w:hAnsi="Calibri"/>
          <w:b/>
          <w:bCs/>
          <w:i w:val="false"/>
          <w:iCs w:val="false"/>
          <w:color w:val="1B2A4A"/>
          <w:sz w:val="19"/>
          <w:szCs w:val="19"/>
        </w:rPr>
        <w:t xml:space="preserve">Mitigation: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If pursued, scope it explicitly as its own deployment variant early — retrofitting data isolation after the fact is far more expensive than designing for it from day one.</w:t>
      </w:r>
    </w:p>
    <w:p>
      <w:pPr>
        <w:pStyle w:val="Heading3"/>
        <w:spacing w:after="100" w:before="180"/>
      </w:pPr>
      <w:r>
        <w:rPr>
          <w:rFonts w:ascii="Calibri" w:cs="Calibri" w:eastAsia="Calibri" w:hAnsi="Calibri"/>
          <w:b/>
          <w:bCs/>
          <w:i w:val="false"/>
          <w:iCs w:val="false"/>
          <w:color w:val="2455A4"/>
          <w:sz w:val="21"/>
          <w:szCs w:val="21"/>
        </w:rPr>
        <w:t xml:space="preserve">Certification programs are organizational, not engineering, projects</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4657"/>
        <w:gridCol w:w="4657"/>
      </w:tblGrid>
      <w:tr>
        <w:trPr>
          <w:tblHeader/>
        </w:trPr>
        <w:tc>
          <w:tcPr>
            <w:tcW w:type="dxa" w:w="4657"/>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Type</w:t>
            </w:r>
          </w:p>
        </w:tc>
        <w:tc>
          <w:tcPr>
            <w:tcW w:type="dxa" w:w="4657"/>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Severity</w:t>
            </w:r>
          </w:p>
        </w:tc>
      </w:tr>
      <w:tr>
        <w:tc>
          <w:tcPr>
            <w:tcW w:type="dxa" w:w="465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Investment-Timing Risk</w:t>
            </w:r>
          </w:p>
        </w:tc>
        <w:tc>
          <w:tcPr>
            <w:tcW w:type="dxa" w:w="4657"/>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Low (if sequenced correctly)</w:t>
            </w:r>
          </w:p>
        </w:tc>
      </w:tr>
    </w:tbl>
    <w:p>
      <w:pPr>
        <w:spacing w:after="100"/>
      </w:pPr>
      <w:r>
        <w:rPr>
          <w:rFonts w:ascii="Calibri" w:cs="Calibri" w:eastAsia="Calibri" w:hAnsi="Calibri"/>
          <w:b/>
          <w:bCs/>
          <w:i w:val="false"/>
          <w:iCs w:val="false"/>
          <w:color w:val="1B2A4A"/>
          <w:sz w:val="19"/>
          <w:szCs w:val="19"/>
        </w:rPr>
        <w:t xml:space="preserve">What it is: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ISO 27001 and SOC 2 Type II require audited organizational processes sustained over months, not a sprint of code changes.</w:t>
      </w:r>
    </w:p>
    <w:p>
      <w:pPr>
        <w:spacing w:after="100"/>
      </w:pPr>
      <w:r>
        <w:rPr>
          <w:rFonts w:ascii="Calibri" w:cs="Calibri" w:eastAsia="Calibri" w:hAnsi="Calibri"/>
          <w:b/>
          <w:bCs/>
          <w:i w:val="false"/>
          <w:iCs w:val="false"/>
          <w:color w:val="1B2A4A"/>
          <w:sz w:val="19"/>
          <w:szCs w:val="19"/>
        </w:rPr>
        <w:t xml:space="preserve">Example: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iCs/>
          <w:color w:val="222222"/>
          <w:sz w:val="19"/>
          <w:szCs w:val="19"/>
        </w:rPr>
        <w:t xml:space="preserve">A competitor citing SOC 2 Type II has already been through months of continuous audit — it can't be matched by a single quarter of engineering effort.</w:t>
      </w:r>
    </w:p>
    <w:p>
      <w:pPr>
        <w:spacing w:after="100"/>
      </w:pPr>
      <w:r>
        <w:rPr>
          <w:rFonts w:ascii="Calibri" w:cs="Calibri" w:eastAsia="Calibri" w:hAnsi="Calibri"/>
          <w:b/>
          <w:bCs/>
          <w:i w:val="false"/>
          <w:iCs w:val="false"/>
          <w:color w:val="1B2A4A"/>
          <w:sz w:val="19"/>
          <w:szCs w:val="19"/>
        </w:rPr>
        <w:t xml:space="preserve">Mitigation:  </w:t>
      </w:r>
      <w:r>
        <w:rPr>
          <w:rFonts w:ascii="Calibri" w:cs="Calibri" w:eastAsia="Calibri" w:hAnsi="Calibri"/>
          <w:b w:val="false"/>
          <w:bCs w:val="false"/>
          <w:i w:val="false"/>
          <w:iCs w:val="false"/>
          <w:color w:val="222222"/>
          <w:sz w:val="19"/>
          <w:szCs w:val="19"/>
        </w:rPr>
        <w:t xml:space="preserve"/>
      </w:r>
    </w:p>
    <w:p>
      <w:pPr>
        <w:spacing w:after="140" w:before="0" w:line="264"/>
        <w:jc w:val="left"/>
      </w:pPr>
      <w:r>
        <w:rPr>
          <w:rFonts w:ascii="Calibri" w:cs="Calibri" w:eastAsia="Calibri" w:hAnsi="Calibri"/>
          <w:b w:val="false"/>
          <w:bCs w:val="false"/>
          <w:i w:val="false"/>
          <w:iCs w:val="false"/>
          <w:color w:val="222222"/>
          <w:sz w:val="19"/>
          <w:szCs w:val="19"/>
        </w:rPr>
        <w:t xml:space="preserve">Don't start speculatively; start only once a specific enterprise/BFSI/healthcare deal makes it a stated procurement requirement.</w:t>
      </w:r>
    </w:p>
    <w:p>
      <w:pPr>
        <w:pStyle w:val="Heading2"/>
        <w:spacing w:after="140" w:before="260"/>
      </w:pPr>
      <w:r>
        <w:rPr>
          <w:rFonts w:ascii="Calibri" w:cs="Calibri" w:eastAsia="Calibri" w:hAnsi="Calibri"/>
          <w:b/>
          <w:bCs/>
          <w:i w:val="false"/>
          <w:iCs w:val="false"/>
          <w:color w:val="1B2A4A"/>
          <w:sz w:val="25"/>
          <w:szCs w:val="25"/>
        </w:rPr>
        <w:t xml:space="preserve">5.2 Anticipated Manager Questions &amp; Suggested Answers</w:t>
      </w:r>
    </w:p>
    <w:p>
      <w:pPr>
        <w:spacing w:after="140" w:before="0" w:line="264"/>
        <w:jc w:val="left"/>
      </w:pPr>
      <w:r>
        <w:rPr>
          <w:rFonts w:ascii="Calibri" w:cs="Calibri" w:eastAsia="Calibri" w:hAnsi="Calibri"/>
          <w:b w:val="false"/>
          <w:bCs w:val="false"/>
          <w:i w:val="false"/>
          <w:iCs w:val="false"/>
          <w:color w:val="222222"/>
          <w:sz w:val="19"/>
          <w:szCs w:val="19"/>
        </w:rPr>
        <w:t xml:space="preserve">A cheat sheet for the strategy discussion — carried forward in full from the Manager Briefing companion document.</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3353"/>
        <w:gridCol w:w="5961"/>
      </w:tblGrid>
      <w:tr>
        <w:trPr>
          <w:tblHeader/>
        </w:trPr>
        <w:tc>
          <w:tcPr>
            <w:tcW w:type="dxa" w:w="3353"/>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Question</w:t>
            </w:r>
          </w:p>
        </w:tc>
        <w:tc>
          <w:tcPr>
            <w:tcW w:type="dxa" w:w="5961"/>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Suggested Answer</w:t>
            </w:r>
          </w:p>
        </w:tc>
      </w:tr>
      <w:tr>
        <w:tc>
          <w:tcPr>
            <w:tcW w:type="dxa" w:w="335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Why don't we just copy Thinkly AI since they're already doing this in real estate?</w:t>
            </w:r>
          </w:p>
        </w:tc>
        <w:tc>
          <w:tcPr>
            <w:tcW w:type="dxa" w:w="596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Their model is managed, enterprise-only deployment with no self-serve tier and no CP or WhatsApp workflows. Our config-driven Industry Pack architecture can match their real-estate depth while adding the two things they're missing — the full site-visit lifecycle and CP attribution — at a lower cost per client to onboard.</w:t>
            </w:r>
          </w:p>
        </w:tc>
      </w:tr>
      <w:tr>
        <w:tc>
          <w:tcPr>
            <w:tcW w:type="dxa" w:w="335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If SquadStack is bigger and better-funded, why aren't we worried about them?</w:t>
            </w:r>
          </w:p>
        </w:tc>
        <w:tc>
          <w:tcPr>
            <w:tcW w:type="dxa" w:w="596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Their AI+human hybrid model costs 3-5x more per call because of human telecallers in the loop, and real estate is only 1 of their 12 verticals, so they have no real-estate-specific workflow depth. They're a threat only at the large-enterprise end of the market, not the mid-market NCR developers we're targeting first.</w:t>
            </w:r>
          </w:p>
        </w:tc>
      </w:tr>
      <w:tr>
        <w:tc>
          <w:tcPr>
            <w:tcW w:type="dxa" w:w="335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Why are we spending time on a billing module before we have paying self-serve customers?</w:t>
            </w:r>
          </w:p>
        </w:tc>
        <w:tc>
          <w:tcPr>
            <w:tcW w:type="dxa" w:w="596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Because we can't get self-serve customers without it — every pricing model the market actually uses (flat-rate, per-minute, per-outcome) requires plans, meters, and invoices, none of which exist in our schema today. It's a prerequisite, not a nice-to-have.</w:t>
            </w:r>
          </w:p>
        </w:tc>
      </w:tr>
      <w:tr>
        <w:tc>
          <w:tcPr>
            <w:tcW w:type="dxa" w:w="335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Why not add the AI+human hybrid option now, since SquadStack proves it works?</w:t>
            </w:r>
          </w:p>
        </w:tc>
        <w:tc>
          <w:tcPr>
            <w:tcW w:type="dxa" w:w="596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It works for them because they've built an entire human-telecaller vendor-management operation around it, and it triples-to-quintuples cost per call. We'd be taking on a new operating model, not just a new feature. We're deferring it until a specific enterprise deal requires it.</w:t>
            </w:r>
          </w:p>
        </w:tc>
      </w:tr>
      <w:tr>
        <w:tc>
          <w:tcPr>
            <w:tcW w:type="dxa" w:w="335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Isn't CP (channel partner) workflow a niche feature?</w:t>
            </w:r>
          </w:p>
        </w:tc>
        <w:tc>
          <w:tcPr>
            <w:tcW w:type="dxa" w:w="596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No — NCR real estate is 60%+ channel-partner-driven, and every one of our 8 competitors has zero CP dedup or attribution capability. It's arguably our single strongest wedge into new developer accounts, not a niche add-on.</w:t>
            </w:r>
          </w:p>
        </w:tc>
      </w:tr>
      <w:tr>
        <w:tc>
          <w:tcPr>
            <w:tcW w:type="dxa" w:w="335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Why does the roadmap put WhatsApp integration before the "voice+WhatsApp journey" feature the competitive analysis calls our biggest opportunity?</w:t>
            </w:r>
          </w:p>
        </w:tc>
        <w:tc>
          <w:tcPr>
            <w:tcW w:type="dxa" w:w="596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The orchestrated journey (call → WhatsApp brochure → WhatsApp reminder → call reconfirm) is a sequencing/config exercise once a working WhatsApp channel exists — building the adapter first is the actual engineering work; the journey is what we configure on top of it afterward.</w:t>
            </w:r>
          </w:p>
        </w:tc>
      </w:tr>
      <w:tr>
        <w:tc>
          <w:tcPr>
            <w:tcW w:type="dxa" w:w="335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What's the one thing to remember from all of this?</w:t>
            </w:r>
          </w:p>
        </w:tc>
        <w:tc>
          <w:tcPr>
            <w:tcW w:type="dxa" w:w="596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No competitor owns the full site-visit lifecycle or channel-partner workflows — that's our wedge. Everything else is either a structural gap we should fix regardless of vertical (billing, WhatsApp, structured inventory, escalation tooling) or a lower-priority pattern to revisit only when a specific deal demands it.</w:t>
            </w:r>
          </w:p>
        </w:tc>
      </w:tr>
    </w:tbl>
    <w:p>
      <w:pPr>
        <w:pageBreakBefore/>
        <w:spacing w:after="20" w:before="0"/>
      </w:pPr>
      <w:r>
        <w:rPr>
          <w:rFonts w:ascii="Calibri" w:cs="Calibri" w:eastAsia="Calibri" w:hAnsi="Calibri"/>
          <w:b/>
          <w:bCs/>
          <w:i w:val="false"/>
          <w:iCs w:val="false"/>
          <w:color w:val="2455A4"/>
          <w:sz w:val="18"/>
          <w:szCs w:val="18"/>
        </w:rPr>
        <w:t xml:space="preserve">PART VI</w:t>
      </w:r>
    </w:p>
    <w:p>
      <w:pPr>
        <w:pStyle w:val="Heading1"/>
        <w:pBdr>
          <w:bottom w:val="single" w:color="2455A4" w:sz="14" w:space="6"/>
        </w:pBdr>
        <w:spacing w:after="220" w:before="0"/>
      </w:pPr>
      <w:r>
        <w:rPr>
          <w:rFonts w:ascii="Calibri" w:cs="Calibri" w:eastAsia="Calibri" w:hAnsi="Calibri"/>
          <w:b/>
          <w:bCs/>
          <w:i w:val="false"/>
          <w:iCs w:val="false"/>
          <w:color w:val="1B2A4A"/>
          <w:sz w:val="34"/>
          <w:szCs w:val="34"/>
        </w:rPr>
        <w:t xml:space="preserve">Part VI — Engineering Reference: Repos, Models &amp; Vendor Docs</w:t>
      </w:r>
    </w:p>
    <w:p>
      <w:pPr>
        <w:spacing w:after="140" w:before="0" w:line="264"/>
        <w:jc w:val="left"/>
      </w:pPr>
      <w:r>
        <w:rPr>
          <w:rFonts w:ascii="Calibri" w:cs="Calibri" w:eastAsia="Calibri" w:hAnsi="Calibri"/>
          <w:b w:val="false"/>
          <w:bCs w:val="false"/>
          <w:i/>
          <w:iCs/>
          <w:color w:val="5B6472"/>
          <w:sz w:val="19"/>
          <w:szCs w:val="19"/>
        </w:rPr>
        <w:t xml:space="preserve">Verified reference links for every provider, repository, and regulatory source referenced in this blueprint, organized by category. Links are given as bare domains/paths for durability; teammates should navigate to the current documentation root shown and follow in-site search for specific endpoints, as vendor doc URLs reorganize over time.</w:t>
      </w:r>
    </w:p>
    <w:p>
      <w:pPr>
        <w:pStyle w:val="Heading3"/>
        <w:spacing w:after="100" w:before="180"/>
      </w:pPr>
      <w:r>
        <w:rPr>
          <w:rFonts w:ascii="Calibri" w:cs="Calibri" w:eastAsia="Calibri" w:hAnsi="Calibri"/>
          <w:b/>
          <w:bCs/>
          <w:i w:val="false"/>
          <w:iCs w:val="false"/>
          <w:color w:val="2455A4"/>
          <w:sz w:val="21"/>
          <w:szCs w:val="21"/>
        </w:rPr>
        <w:t xml:space="preserve">Speech Stack (STT / TTS)</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5123"/>
        <w:gridCol w:w="4191"/>
      </w:tblGrid>
      <w:tr>
        <w:trPr>
          <w:tblHeader/>
        </w:trPr>
        <w:tc>
          <w:tcPr>
            <w:tcW w:type="dxa" w:w="5123"/>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Item</w:t>
            </w:r>
          </w:p>
        </w:tc>
        <w:tc>
          <w:tcPr>
            <w:tcW w:type="dxa" w:w="4191"/>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Reference</w:t>
            </w:r>
          </w:p>
        </w:tc>
      </w:tr>
      <w:tr>
        <w:tc>
          <w:tcPr>
            <w:tcW w:type="dxa" w:w="512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Sarvam AI — Bulbul TTS / Saarika-Saaras STT (Indic languages)</w:t>
            </w:r>
          </w:p>
        </w:tc>
        <w:tc>
          <w:tcPr>
            <w:tcW w:type="dxa" w:w="419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docs.sarvam.ai</w:t>
            </w:r>
          </w:p>
        </w:tc>
      </w:tr>
      <w:tr>
        <w:tc>
          <w:tcPr>
            <w:tcW w:type="dxa" w:w="512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Gnani.ai — Prisma STT / Timbre TTS (Indic languages)</w:t>
            </w:r>
          </w:p>
        </w:tc>
        <w:tc>
          <w:tcPr>
            <w:tcW w:type="dxa" w:w="419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www.gnani.ai  ·  github.com/gnani-ai</w:t>
            </w:r>
          </w:p>
        </w:tc>
      </w:tr>
      <w:tr>
        <w:tc>
          <w:tcPr>
            <w:tcW w:type="dxa" w:w="512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Deepgram — streaming STT (primary) / Aura TTS</w:t>
            </w:r>
          </w:p>
        </w:tc>
        <w:tc>
          <w:tcPr>
            <w:tcW w:type="dxa" w:w="419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developers.deepgram.com</w:t>
            </w:r>
          </w:p>
        </w:tc>
      </w:tr>
      <w:tr>
        <w:tc>
          <w:tcPr>
            <w:tcW w:type="dxa" w:w="512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ElevenLabs — Flash v2.5 streaming TTS</w:t>
            </w:r>
          </w:p>
        </w:tc>
        <w:tc>
          <w:tcPr>
            <w:tcW w:type="dxa" w:w="419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elevenlabs.io/docs</w:t>
            </w:r>
          </w:p>
        </w:tc>
      </w:tr>
      <w:tr>
        <w:tc>
          <w:tcPr>
            <w:tcW w:type="dxa" w:w="512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Azure AI Speech — STT/TTS fallback</w:t>
            </w:r>
          </w:p>
        </w:tc>
        <w:tc>
          <w:tcPr>
            <w:tcW w:type="dxa" w:w="419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learn.microsoft.com/azure/ai-services/speech-service</w:t>
            </w:r>
          </w:p>
        </w:tc>
      </w:tr>
    </w:tbl>
    <w:p>
      <w:pPr>
        <w:pStyle w:val="Heading3"/>
        <w:spacing w:after="100" w:before="180"/>
      </w:pPr>
      <w:r>
        <w:rPr>
          <w:rFonts w:ascii="Calibri" w:cs="Calibri" w:eastAsia="Calibri" w:hAnsi="Calibri"/>
          <w:b/>
          <w:bCs/>
          <w:i w:val="false"/>
          <w:iCs w:val="false"/>
          <w:color w:val="2455A4"/>
          <w:sz w:val="21"/>
          <w:szCs w:val="21"/>
        </w:rPr>
        <w:t xml:space="preserve">LLM &amp; Embeddings</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5123"/>
        <w:gridCol w:w="4191"/>
      </w:tblGrid>
      <w:tr>
        <w:trPr>
          <w:tblHeader/>
        </w:trPr>
        <w:tc>
          <w:tcPr>
            <w:tcW w:type="dxa" w:w="5123"/>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Item</w:t>
            </w:r>
          </w:p>
        </w:tc>
        <w:tc>
          <w:tcPr>
            <w:tcW w:type="dxa" w:w="4191"/>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Reference</w:t>
            </w:r>
          </w:p>
        </w:tc>
      </w:tr>
      <w:tr>
        <w:tc>
          <w:tcPr>
            <w:tcW w:type="dxa" w:w="512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Anthropic Claude API — Sonnet (planner/reasoning), Haiku (background jobs)</w:t>
            </w:r>
          </w:p>
        </w:tc>
        <w:tc>
          <w:tcPr>
            <w:tcW w:type="dxa" w:w="419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platform.claude.com/docs</w:t>
            </w:r>
          </w:p>
        </w:tc>
      </w:tr>
      <w:tr>
        <w:tc>
          <w:tcPr>
            <w:tcW w:type="dxa" w:w="512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OpenAI API — GPT-4o (fallback LLM route)</w:t>
            </w:r>
          </w:p>
        </w:tc>
        <w:tc>
          <w:tcPr>
            <w:tcW w:type="dxa" w:w="419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platform.openai.com/docs</w:t>
            </w:r>
          </w:p>
        </w:tc>
      </w:tr>
      <w:tr>
        <w:tc>
          <w:tcPr>
            <w:tcW w:type="dxa" w:w="512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OpenAI Embeddings — text-embedding-3-small</w:t>
            </w:r>
          </w:p>
        </w:tc>
        <w:tc>
          <w:tcPr>
            <w:tcW w:type="dxa" w:w="419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platform.openai.com/docs/guides/embeddings</w:t>
            </w:r>
          </w:p>
        </w:tc>
      </w:tr>
    </w:tbl>
    <w:p>
      <w:pPr>
        <w:pStyle w:val="Heading3"/>
        <w:spacing w:after="100" w:before="180"/>
      </w:pPr>
      <w:r>
        <w:rPr>
          <w:rFonts w:ascii="Calibri" w:cs="Calibri" w:eastAsia="Calibri" w:hAnsi="Calibri"/>
          <w:b/>
          <w:bCs/>
          <w:i w:val="false"/>
          <w:iCs w:val="false"/>
          <w:color w:val="2455A4"/>
          <w:sz w:val="21"/>
          <w:szCs w:val="21"/>
        </w:rPr>
        <w:t xml:space="preserve">Telephony</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5123"/>
        <w:gridCol w:w="4191"/>
      </w:tblGrid>
      <w:tr>
        <w:trPr>
          <w:tblHeader/>
        </w:trPr>
        <w:tc>
          <w:tcPr>
            <w:tcW w:type="dxa" w:w="5123"/>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Item</w:t>
            </w:r>
          </w:p>
        </w:tc>
        <w:tc>
          <w:tcPr>
            <w:tcW w:type="dxa" w:w="4191"/>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Reference</w:t>
            </w:r>
          </w:p>
        </w:tc>
      </w:tr>
      <w:tr>
        <w:tc>
          <w:tcPr>
            <w:tcW w:type="dxa" w:w="512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Plivo — SIP trunking, India-focused voice API (primary)</w:t>
            </w:r>
          </w:p>
        </w:tc>
        <w:tc>
          <w:tcPr>
            <w:tcW w:type="dxa" w:w="419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www.plivo.com/docs</w:t>
            </w:r>
          </w:p>
        </w:tc>
      </w:tr>
      <w:tr>
        <w:tc>
          <w:tcPr>
            <w:tcW w:type="dxa" w:w="512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Exotel — India voice/SMS API, TRAI DLT compliance (adapter)</w:t>
            </w:r>
          </w:p>
        </w:tc>
        <w:tc>
          <w:tcPr>
            <w:tcW w:type="dxa" w:w="419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developer.exotel.com</w:t>
            </w:r>
          </w:p>
        </w:tc>
      </w:tr>
      <w:tr>
        <w:tc>
          <w:tcPr>
            <w:tcW w:type="dxa" w:w="512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Twilio — global voice API (fallback adapter)</w:t>
            </w:r>
          </w:p>
        </w:tc>
        <w:tc>
          <w:tcPr>
            <w:tcW w:type="dxa" w:w="419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www.twilio.com/docs</w:t>
            </w:r>
          </w:p>
        </w:tc>
      </w:tr>
    </w:tbl>
    <w:p>
      <w:pPr>
        <w:pStyle w:val="Heading3"/>
        <w:spacing w:after="100" w:before="180"/>
      </w:pPr>
      <w:r>
        <w:rPr>
          <w:rFonts w:ascii="Calibri" w:cs="Calibri" w:eastAsia="Calibri" w:hAnsi="Calibri"/>
          <w:b/>
          <w:bCs/>
          <w:i w:val="false"/>
          <w:iCs w:val="false"/>
          <w:color w:val="2455A4"/>
          <w:sz w:val="21"/>
          <w:szCs w:val="21"/>
        </w:rPr>
        <w:t xml:space="preserve">Core Platform &amp; Data</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5123"/>
        <w:gridCol w:w="4191"/>
      </w:tblGrid>
      <w:tr>
        <w:trPr>
          <w:tblHeader/>
        </w:trPr>
        <w:tc>
          <w:tcPr>
            <w:tcW w:type="dxa" w:w="5123"/>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Item</w:t>
            </w:r>
          </w:p>
        </w:tc>
        <w:tc>
          <w:tcPr>
            <w:tcW w:type="dxa" w:w="4191"/>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Reference</w:t>
            </w:r>
          </w:p>
        </w:tc>
      </w:tr>
      <w:tr>
        <w:tc>
          <w:tcPr>
            <w:tcW w:type="dxa" w:w="512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FastAPI — core API + voice session service framework</w:t>
            </w:r>
          </w:p>
        </w:tc>
        <w:tc>
          <w:tcPr>
            <w:tcW w:type="dxa" w:w="419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fastapi.tiangolo.com</w:t>
            </w:r>
          </w:p>
        </w:tc>
      </w:tr>
      <w:tr>
        <w:tc>
          <w:tcPr>
            <w:tcW w:type="dxa" w:w="512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PostgreSQL 16 + pgvector — relational + vector store</w:t>
            </w:r>
          </w:p>
        </w:tc>
        <w:tc>
          <w:tcPr>
            <w:tcW w:type="dxa" w:w="419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github.com/pgvector/pgvector</w:t>
            </w:r>
          </w:p>
        </w:tc>
      </w:tr>
      <w:tr>
        <w:tc>
          <w:tcPr>
            <w:tcW w:type="dxa" w:w="512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SQLAlchemy 2.0 (async ORM)</w:t>
            </w:r>
          </w:p>
        </w:tc>
        <w:tc>
          <w:tcPr>
            <w:tcW w:type="dxa" w:w="419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docs.sqlalchemy.org</w:t>
            </w:r>
          </w:p>
        </w:tc>
      </w:tr>
      <w:tr>
        <w:tc>
          <w:tcPr>
            <w:tcW w:type="dxa" w:w="512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Alembic — schema migrations</w:t>
            </w:r>
          </w:p>
        </w:tc>
        <w:tc>
          <w:tcPr>
            <w:tcW w:type="dxa" w:w="419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alembic.sqlalchemy.org</w:t>
            </w:r>
          </w:p>
        </w:tc>
      </w:tr>
      <w:tr>
        <w:tc>
          <w:tcPr>
            <w:tcW w:type="dxa" w:w="512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Redis 7 — session state, queues, distributed locks</w:t>
            </w:r>
          </w:p>
        </w:tc>
        <w:tc>
          <w:tcPr>
            <w:tcW w:type="dxa" w:w="419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redis.io/docs</w:t>
            </w:r>
          </w:p>
        </w:tc>
      </w:tr>
      <w:tr>
        <w:tc>
          <w:tcPr>
            <w:tcW w:type="dxa" w:w="512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Celery — background workers</w:t>
            </w:r>
          </w:p>
        </w:tc>
        <w:tc>
          <w:tcPr>
            <w:tcW w:type="dxa" w:w="419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docs.celeryq.dev</w:t>
            </w:r>
          </w:p>
        </w:tc>
      </w:tr>
      <w:tr>
        <w:tc>
          <w:tcPr>
            <w:tcW w:type="dxa" w:w="512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Docker Compose — deployment orchestration</w:t>
            </w:r>
          </w:p>
        </w:tc>
        <w:tc>
          <w:tcPr>
            <w:tcW w:type="dxa" w:w="419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docs.docker.com/compose</w:t>
            </w:r>
          </w:p>
        </w:tc>
      </w:tr>
    </w:tbl>
    <w:p>
      <w:pPr>
        <w:pStyle w:val="Heading3"/>
        <w:spacing w:after="100" w:before="180"/>
      </w:pPr>
      <w:r>
        <w:rPr>
          <w:rFonts w:ascii="Calibri" w:cs="Calibri" w:eastAsia="Calibri" w:hAnsi="Calibri"/>
          <w:b/>
          <w:bCs/>
          <w:i w:val="false"/>
          <w:iCs w:val="false"/>
          <w:color w:val="2455A4"/>
          <w:sz w:val="21"/>
          <w:szCs w:val="21"/>
        </w:rPr>
        <w:t xml:space="preserve">Frontend &amp; Observability</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5123"/>
        <w:gridCol w:w="4191"/>
      </w:tblGrid>
      <w:tr>
        <w:trPr>
          <w:tblHeader/>
        </w:trPr>
        <w:tc>
          <w:tcPr>
            <w:tcW w:type="dxa" w:w="5123"/>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Item</w:t>
            </w:r>
          </w:p>
        </w:tc>
        <w:tc>
          <w:tcPr>
            <w:tcW w:type="dxa" w:w="4191"/>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Reference</w:t>
            </w:r>
          </w:p>
        </w:tc>
      </w:tr>
      <w:tr>
        <w:tc>
          <w:tcPr>
            <w:tcW w:type="dxa" w:w="512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React 18</w:t>
            </w:r>
          </w:p>
        </w:tc>
        <w:tc>
          <w:tcPr>
            <w:tcW w:type="dxa" w:w="419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react.dev</w:t>
            </w:r>
          </w:p>
        </w:tc>
      </w:tr>
      <w:tr>
        <w:tc>
          <w:tcPr>
            <w:tcW w:type="dxa" w:w="512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Vite</w:t>
            </w:r>
          </w:p>
        </w:tc>
        <w:tc>
          <w:tcPr>
            <w:tcW w:type="dxa" w:w="419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vitejs.dev</w:t>
            </w:r>
          </w:p>
        </w:tc>
      </w:tr>
      <w:tr>
        <w:tc>
          <w:tcPr>
            <w:tcW w:type="dxa" w:w="512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Tailwind CSS</w:t>
            </w:r>
          </w:p>
        </w:tc>
        <w:tc>
          <w:tcPr>
            <w:tcW w:type="dxa" w:w="419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tailwindcss.com/docs</w:t>
            </w:r>
          </w:p>
        </w:tc>
      </w:tr>
      <w:tr>
        <w:tc>
          <w:tcPr>
            <w:tcW w:type="dxa" w:w="512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Prometheus</w:t>
            </w:r>
          </w:p>
        </w:tc>
        <w:tc>
          <w:tcPr>
            <w:tcW w:type="dxa" w:w="419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prometheus.io/docs</w:t>
            </w:r>
          </w:p>
        </w:tc>
      </w:tr>
      <w:tr>
        <w:tc>
          <w:tcPr>
            <w:tcW w:type="dxa" w:w="512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Grafana</w:t>
            </w:r>
          </w:p>
        </w:tc>
        <w:tc>
          <w:tcPr>
            <w:tcW w:type="dxa" w:w="419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grafana.com/docs</w:t>
            </w:r>
          </w:p>
        </w:tc>
      </w:tr>
      <w:tr>
        <w:tc>
          <w:tcPr>
            <w:tcW w:type="dxa" w:w="512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structlog</w:t>
            </w:r>
          </w:p>
        </w:tc>
        <w:tc>
          <w:tcPr>
            <w:tcW w:type="dxa" w:w="419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www.structlog.org</w:t>
            </w:r>
          </w:p>
        </w:tc>
      </w:tr>
    </w:tbl>
    <w:p>
      <w:pPr>
        <w:pStyle w:val="Heading3"/>
        <w:spacing w:after="100" w:before="180"/>
      </w:pPr>
      <w:r>
        <w:rPr>
          <w:rFonts w:ascii="Calibri" w:cs="Calibri" w:eastAsia="Calibri" w:hAnsi="Calibri"/>
          <w:b/>
          <w:bCs/>
          <w:i w:val="false"/>
          <w:iCs w:val="false"/>
          <w:color w:val="2455A4"/>
          <w:sz w:val="21"/>
          <w:szCs w:val="21"/>
        </w:rPr>
        <w:t xml:space="preserve">CRM Integrations</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5123"/>
        <w:gridCol w:w="4191"/>
      </w:tblGrid>
      <w:tr>
        <w:trPr>
          <w:tblHeader/>
        </w:trPr>
        <w:tc>
          <w:tcPr>
            <w:tcW w:type="dxa" w:w="5123"/>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Item</w:t>
            </w:r>
          </w:p>
        </w:tc>
        <w:tc>
          <w:tcPr>
            <w:tcW w:type="dxa" w:w="4191"/>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Reference</w:t>
            </w:r>
          </w:p>
        </w:tc>
      </w:tr>
      <w:tr>
        <w:tc>
          <w:tcPr>
            <w:tcW w:type="dxa" w:w="512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LeadSquared API docs</w:t>
            </w:r>
          </w:p>
        </w:tc>
        <w:tc>
          <w:tcPr>
            <w:tcW w:type="dxa" w:w="419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apidocs.leadsquared.com</w:t>
            </w:r>
          </w:p>
        </w:tc>
      </w:tr>
      <w:tr>
        <w:tc>
          <w:tcPr>
            <w:tcW w:type="dxa" w:w="512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Sell.do (real-estate CRM)</w:t>
            </w:r>
          </w:p>
        </w:tc>
        <w:tc>
          <w:tcPr>
            <w:tcW w:type="dxa" w:w="419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www.sell.do</w:t>
            </w:r>
          </w:p>
        </w:tc>
      </w:tr>
      <w:tr>
        <w:tc>
          <w:tcPr>
            <w:tcW w:type="dxa" w:w="512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360Enrich</w:t>
            </w:r>
          </w:p>
        </w:tc>
        <w:tc>
          <w:tcPr>
            <w:tcW w:type="dxa" w:w="419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contact vendor directly for API documentation</w:t>
            </w:r>
          </w:p>
        </w:tc>
      </w:tr>
      <w:tr>
        <w:tc>
          <w:tcPr>
            <w:tcW w:type="dxa" w:w="512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Salesforce Developer (generic connector)</w:t>
            </w:r>
          </w:p>
        </w:tc>
        <w:tc>
          <w:tcPr>
            <w:tcW w:type="dxa" w:w="419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developer.salesforce.com</w:t>
            </w:r>
          </w:p>
        </w:tc>
      </w:tr>
      <w:tr>
        <w:tc>
          <w:tcPr>
            <w:tcW w:type="dxa" w:w="512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HubSpot Developers (generic connector)</w:t>
            </w:r>
          </w:p>
        </w:tc>
        <w:tc>
          <w:tcPr>
            <w:tcW w:type="dxa" w:w="419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developers.hubspot.com</w:t>
            </w:r>
          </w:p>
        </w:tc>
      </w:tr>
      <w:tr>
        <w:tc>
          <w:tcPr>
            <w:tcW w:type="dxa" w:w="512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Zoho CRM Developer (generic connector)</w:t>
            </w:r>
          </w:p>
        </w:tc>
        <w:tc>
          <w:tcPr>
            <w:tcW w:type="dxa" w:w="419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www.zoho.com/crm/developer</w:t>
            </w:r>
          </w:p>
        </w:tc>
      </w:tr>
    </w:tbl>
    <w:p>
      <w:pPr>
        <w:pStyle w:val="Heading3"/>
        <w:spacing w:after="100" w:before="180"/>
      </w:pPr>
      <w:r>
        <w:rPr>
          <w:rFonts w:ascii="Calibri" w:cs="Calibri" w:eastAsia="Calibri" w:hAnsi="Calibri"/>
          <w:b/>
          <w:bCs/>
          <w:i w:val="false"/>
          <w:iCs w:val="false"/>
          <w:color w:val="2455A4"/>
          <w:sz w:val="21"/>
          <w:szCs w:val="21"/>
        </w:rPr>
        <w:t xml:space="preserve">Regulatory &amp; Compliance</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5123"/>
        <w:gridCol w:w="4191"/>
      </w:tblGrid>
      <w:tr>
        <w:trPr>
          <w:tblHeader/>
        </w:trPr>
        <w:tc>
          <w:tcPr>
            <w:tcW w:type="dxa" w:w="5123"/>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Item</w:t>
            </w:r>
          </w:p>
        </w:tc>
        <w:tc>
          <w:tcPr>
            <w:tcW w:type="dxa" w:w="4191"/>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Reference</w:t>
            </w:r>
          </w:p>
        </w:tc>
      </w:tr>
      <w:tr>
        <w:tc>
          <w:tcPr>
            <w:tcW w:type="dxa" w:w="512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TRAI — TCCCPR 2018 (telemarketing, DLT, DND)</w:t>
            </w:r>
          </w:p>
        </w:tc>
        <w:tc>
          <w:tcPr>
            <w:tcW w:type="dxa" w:w="419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trai.gov.in/tcccpr  ·  trai.gov.in/advice-to-senders</w:t>
            </w:r>
          </w:p>
        </w:tc>
      </w:tr>
      <w:tr>
        <w:tc>
          <w:tcPr>
            <w:tcW w:type="dxa" w:w="512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Digital Personal Data Protection Act, 2023 — official text (MeitY)</w:t>
            </w:r>
          </w:p>
        </w:tc>
        <w:tc>
          <w:tcPr>
            <w:tcW w:type="dxa" w:w="419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meity.gov.in (DPDP Act, 2023, Act No. 22 of 2023)</w:t>
            </w:r>
          </w:p>
        </w:tc>
      </w:tr>
    </w:tbl>
    <w:p>
      <w:pPr>
        <w:pStyle w:val="Heading3"/>
        <w:spacing w:after="100" w:before="180"/>
      </w:pPr>
      <w:r>
        <w:rPr>
          <w:rFonts w:ascii="Calibri" w:cs="Calibri" w:eastAsia="Calibri" w:hAnsi="Calibri"/>
          <w:b/>
          <w:bCs/>
          <w:i w:val="false"/>
          <w:iCs w:val="false"/>
          <w:color w:val="2455A4"/>
          <w:sz w:val="21"/>
          <w:szCs w:val="21"/>
        </w:rPr>
        <w:t xml:space="preserve">Competitor / Market Reference</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5123"/>
        <w:gridCol w:w="4191"/>
      </w:tblGrid>
      <w:tr>
        <w:trPr>
          <w:tblHeader/>
        </w:trPr>
        <w:tc>
          <w:tcPr>
            <w:tcW w:type="dxa" w:w="5123"/>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Item</w:t>
            </w:r>
          </w:p>
        </w:tc>
        <w:tc>
          <w:tcPr>
            <w:tcW w:type="dxa" w:w="4191"/>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Reference</w:t>
            </w:r>
          </w:p>
        </w:tc>
      </w:tr>
      <w:tr>
        <w:tc>
          <w:tcPr>
            <w:tcW w:type="dxa" w:w="512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Thinkly AI</w:t>
            </w:r>
          </w:p>
        </w:tc>
        <w:tc>
          <w:tcPr>
            <w:tcW w:type="dxa" w:w="419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www.thinklylabs.com</w:t>
            </w:r>
          </w:p>
        </w:tc>
      </w:tr>
      <w:tr>
        <w:tc>
          <w:tcPr>
            <w:tcW w:type="dxa" w:w="512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ConvozenAI (NoBroker)</w:t>
            </w:r>
          </w:p>
        </w:tc>
        <w:tc>
          <w:tcPr>
            <w:tcW w:type="dxa" w:w="419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convozen.ai</w:t>
            </w:r>
          </w:p>
        </w:tc>
      </w:tr>
      <w:tr>
        <w:tc>
          <w:tcPr>
            <w:tcW w:type="dxa" w:w="512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HuskyVoice AI</w:t>
            </w:r>
          </w:p>
        </w:tc>
        <w:tc>
          <w:tcPr>
            <w:tcW w:type="dxa" w:w="419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www.huskyvoice.ai</w:t>
            </w:r>
          </w:p>
        </w:tc>
      </w:tr>
      <w:tr>
        <w:tc>
          <w:tcPr>
            <w:tcW w:type="dxa" w:w="512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Tabbly.io</w:t>
            </w:r>
          </w:p>
        </w:tc>
        <w:tc>
          <w:tcPr>
            <w:tcW w:type="dxa" w:w="419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www.tabbly.io</w:t>
            </w:r>
          </w:p>
        </w:tc>
      </w:tr>
      <w:tr>
        <w:tc>
          <w:tcPr>
            <w:tcW w:type="dxa" w:w="512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SquadStack</w:t>
            </w:r>
          </w:p>
        </w:tc>
        <w:tc>
          <w:tcPr>
            <w:tcW w:type="dxa" w:w="419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www.squadstack.ai</w:t>
            </w:r>
          </w:p>
        </w:tc>
      </w:tr>
      <w:tr>
        <w:tc>
          <w:tcPr>
            <w:tcW w:type="dxa" w:w="512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Haptik (Jio)</w:t>
            </w:r>
          </w:p>
        </w:tc>
        <w:tc>
          <w:tcPr>
            <w:tcW w:type="dxa" w:w="419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www.haptik.ai</w:t>
            </w:r>
          </w:p>
        </w:tc>
      </w:tr>
      <w:tr>
        <w:tc>
          <w:tcPr>
            <w:tcW w:type="dxa" w:w="5123"/>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Bolna</w:t>
            </w:r>
          </w:p>
        </w:tc>
        <w:tc>
          <w:tcPr>
            <w:tcW w:type="dxa" w:w="4191"/>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www.bolna.ai</w:t>
            </w:r>
          </w:p>
        </w:tc>
      </w:tr>
      <w:tr>
        <w:tc>
          <w:tcPr>
            <w:tcW w:type="dxa" w:w="5123"/>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Caller Digital</w:t>
            </w:r>
          </w:p>
        </w:tc>
        <w:tc>
          <w:tcPr>
            <w:tcW w:type="dxa" w:w="4191"/>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www.caller.digital</w:t>
            </w:r>
          </w:p>
        </w:tc>
      </w:tr>
    </w:tbl>
    <w:p>
      <w:pPr>
        <w:pageBreakBefore/>
        <w:spacing w:after="20" w:before="0"/>
      </w:pPr>
      <w:r>
        <w:rPr>
          <w:rFonts w:ascii="Calibri" w:cs="Calibri" w:eastAsia="Calibri" w:hAnsi="Calibri"/>
          <w:b/>
          <w:bCs/>
          <w:i w:val="false"/>
          <w:iCs w:val="false"/>
          <w:color w:val="2455A4"/>
          <w:sz w:val="18"/>
          <w:szCs w:val="18"/>
        </w:rPr>
        <w:t xml:space="preserve">APPENDIX</w:t>
      </w:r>
    </w:p>
    <w:p>
      <w:pPr>
        <w:pStyle w:val="Heading1"/>
        <w:pBdr>
          <w:bottom w:val="single" w:color="2455A4" w:sz="14" w:space="6"/>
        </w:pBdr>
        <w:spacing w:after="220" w:before="0"/>
      </w:pPr>
      <w:r>
        <w:rPr>
          <w:rFonts w:ascii="Calibri" w:cs="Calibri" w:eastAsia="Calibri" w:hAnsi="Calibri"/>
          <w:b/>
          <w:bCs/>
          <w:i w:val="false"/>
          <w:iCs w:val="false"/>
          <w:color w:val="1B2A4A"/>
          <w:sz w:val="34"/>
          <w:szCs w:val="34"/>
        </w:rPr>
        <w:t xml:space="preserve">Appendix A — Glossary</w:t>
      </w:r>
    </w:p>
    <w:p>
      <w:pPr>
        <w:spacing w:after="140" w:before="0" w:line="264"/>
        <w:jc w:val="left"/>
      </w:pPr>
      <w:r>
        <w:rPr>
          <w:rFonts w:ascii="Calibri" w:cs="Calibri" w:eastAsia="Calibri" w:hAnsi="Calibri"/>
          <w:b w:val="false"/>
          <w:bCs w:val="false"/>
          <w:i w:val="false"/>
          <w:iCs w:val="false"/>
          <w:color w:val="222222"/>
          <w:sz w:val="19"/>
          <w:szCs w:val="19"/>
        </w:rPr>
        <w:t xml:space="preserve">Every abbreviation used anywhere in this document, spelled out in full, listed alphabetically.</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2049"/>
        <w:gridCol w:w="7265"/>
      </w:tblGrid>
      <w:tr>
        <w:trPr>
          <w:tblHeader/>
        </w:trPr>
        <w:tc>
          <w:tcPr>
            <w:tcW w:type="dxa" w:w="2049"/>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Term</w:t>
            </w:r>
          </w:p>
        </w:tc>
        <w:tc>
          <w:tcPr>
            <w:tcW w:type="dxa" w:w="7265"/>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Full Form / Meaning</w:t>
            </w:r>
          </w:p>
        </w:tc>
      </w:tr>
      <w:tr>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AD</w:t>
            </w:r>
          </w:p>
        </w:tc>
        <w:tc>
          <w:tcPr>
            <w:tcW w:type="dxa" w:w="726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Architecture/Architectural Decision — a numbered decision record (e.g., AD-1, AD-5) from the Architecture &amp; Data Design document</w:t>
            </w:r>
          </w:p>
        </w:tc>
      </w:tr>
      <w:tr>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AI</w:t>
            </w:r>
          </w:p>
        </w:tc>
        <w:tc>
          <w:tcPr>
            <w:tcW w:type="dxa" w:w="726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Artificial Intelligence</w:t>
            </w:r>
          </w:p>
        </w:tc>
      </w:tr>
      <w:tr>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AIG</w:t>
            </w:r>
          </w:p>
        </w:tc>
        <w:tc>
          <w:tcPr>
            <w:tcW w:type="dxa" w:w="726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American International Group — as in "Tata AIG," the Tata-AIG general insurance joint venture</w:t>
            </w:r>
          </w:p>
        </w:tc>
      </w:tr>
      <w:tr>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API</w:t>
            </w:r>
          </w:p>
        </w:tc>
        <w:tc>
          <w:tcPr>
            <w:tcW w:type="dxa" w:w="726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Application Programming Interface</w:t>
            </w:r>
          </w:p>
        </w:tc>
      </w:tr>
      <w:tr>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Barge-in</w:t>
            </w:r>
          </w:p>
        </w:tc>
        <w:tc>
          <w:tcPr>
            <w:tcW w:type="dxa" w:w="726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The ability of a caller to interrupt the agent mid-sentence and have playback stop immediately</w:t>
            </w:r>
          </w:p>
        </w:tc>
      </w:tr>
      <w:tr>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BFSI</w:t>
            </w:r>
          </w:p>
        </w:tc>
        <w:tc>
          <w:tcPr>
            <w:tcW w:type="dxa" w:w="726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Banking, Financial Services and Insurance</w:t>
            </w:r>
          </w:p>
        </w:tc>
      </w:tr>
      <w:tr>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BYO-CRM</w:t>
            </w:r>
          </w:p>
        </w:tc>
        <w:tc>
          <w:tcPr>
            <w:tcW w:type="dxa" w:w="726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Bring Your Own CRM (customer data stays in the client's own CRM instance)</w:t>
            </w:r>
          </w:p>
        </w:tc>
      </w:tr>
      <w:tr>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COD</w:t>
            </w:r>
          </w:p>
        </w:tc>
        <w:tc>
          <w:tcPr>
            <w:tcW w:type="dxa" w:w="726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Cash on Delivery</w:t>
            </w:r>
          </w:p>
        </w:tc>
      </w:tr>
      <w:tr>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CP</w:t>
            </w:r>
          </w:p>
        </w:tc>
        <w:tc>
          <w:tcPr>
            <w:tcW w:type="dxa" w:w="726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Channel Partner — a third-party broker/agent who sources real estate leads</w:t>
            </w:r>
          </w:p>
        </w:tc>
      </w:tr>
      <w:tr>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CRM</w:t>
            </w:r>
          </w:p>
        </w:tc>
        <w:tc>
          <w:tcPr>
            <w:tcW w:type="dxa" w:w="726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Customer Relationship Management (system)</w:t>
            </w:r>
          </w:p>
        </w:tc>
      </w:tr>
      <w:tr>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DLT</w:t>
            </w:r>
          </w:p>
        </w:tc>
        <w:tc>
          <w:tcPr>
            <w:tcW w:type="dxa" w:w="726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Distributed Ledger Technology registry mandated by TRAI for registering commercial communication templates and sender identities</w:t>
            </w:r>
          </w:p>
        </w:tc>
      </w:tr>
      <w:tr>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DMS</w:t>
            </w:r>
          </w:p>
        </w:tc>
        <w:tc>
          <w:tcPr>
            <w:tcW w:type="dxa" w:w="726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Dealer Management System (used by automotive dealerships)</w:t>
            </w:r>
          </w:p>
        </w:tc>
      </w:tr>
      <w:tr>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DND</w:t>
            </w:r>
          </w:p>
        </w:tc>
        <w:tc>
          <w:tcPr>
            <w:tcW w:type="dxa" w:w="726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Do Not Disturb registry; numbers registered on it may not receive commercial calls</w:t>
            </w:r>
          </w:p>
        </w:tc>
      </w:tr>
      <w:tr>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DPDP</w:t>
            </w:r>
          </w:p>
        </w:tc>
        <w:tc>
          <w:tcPr>
            <w:tcW w:type="dxa" w:w="726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Digital Personal Data Protection Act, 2023 (India)</w:t>
            </w:r>
          </w:p>
        </w:tc>
      </w:tr>
      <w:tr>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E.164</w:t>
            </w:r>
          </w:p>
        </w:tc>
        <w:tc>
          <w:tcPr>
            <w:tcW w:type="dxa" w:w="726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The international standard format for telephone numbers</w:t>
            </w:r>
          </w:p>
        </w:tc>
      </w:tr>
      <w:tr>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EMI</w:t>
            </w:r>
          </w:p>
        </w:tc>
        <w:tc>
          <w:tcPr>
            <w:tcW w:type="dxa" w:w="726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Equated Monthly Installment</w:t>
            </w:r>
          </w:p>
        </w:tc>
      </w:tr>
      <w:tr>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Endpointing</w:t>
            </w:r>
          </w:p>
        </w:tc>
        <w:tc>
          <w:tcPr>
            <w:tcW w:type="dxa" w:w="726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Detecting when a speaker has finished their turn so the system can begin responding</w:t>
            </w:r>
          </w:p>
        </w:tc>
      </w:tr>
      <w:tr>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FEMA</w:t>
            </w:r>
          </w:p>
        </w:tc>
        <w:tc>
          <w:tcPr>
            <w:tcW w:type="dxa" w:w="726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Foreign Exchange Management Act, 1999 (India) — governs NRI property purchases</w:t>
            </w:r>
          </w:p>
        </w:tc>
      </w:tr>
      <w:tr>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GDPR</w:t>
            </w:r>
          </w:p>
        </w:tc>
        <w:tc>
          <w:tcPr>
            <w:tcW w:type="dxa" w:w="726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General Data Protection Regulation (European Union)</w:t>
            </w:r>
          </w:p>
        </w:tc>
      </w:tr>
      <w:tr>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Golden set</w:t>
            </w:r>
          </w:p>
        </w:tc>
        <w:tc>
          <w:tcPr>
            <w:tcW w:type="dxa" w:w="726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 fixed collection of real conversation transcripts used as regression tests on every system change</w:t>
            </w:r>
          </w:p>
        </w:tc>
      </w:tr>
      <w:tr>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GTM</w:t>
            </w:r>
          </w:p>
        </w:tc>
        <w:tc>
          <w:tcPr>
            <w:tcW w:type="dxa" w:w="726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Go-To-Market</w:t>
            </w:r>
          </w:p>
        </w:tc>
      </w:tr>
      <w:tr>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HDFC</w:t>
            </w:r>
          </w:p>
        </w:tc>
        <w:tc>
          <w:tcPr>
            <w:tcW w:type="dxa" w:w="726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Housing Development Finance Corporation — as in "HDFC Life"</w:t>
            </w:r>
          </w:p>
        </w:tc>
      </w:tr>
      <w:tr>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Holdout</w:t>
            </w:r>
          </w:p>
        </w:tc>
        <w:tc>
          <w:tcPr>
            <w:tcW w:type="dxa" w:w="726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 randomly selected group excluded from treatment, used as a comparison baseline</w:t>
            </w:r>
          </w:p>
        </w:tc>
      </w:tr>
      <w:tr>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ISO</w:t>
            </w:r>
          </w:p>
        </w:tc>
        <w:tc>
          <w:tcPr>
            <w:tcW w:type="dxa" w:w="726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International Organization for Standardization</w:t>
            </w:r>
          </w:p>
        </w:tc>
      </w:tr>
      <w:tr>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KYC</w:t>
            </w:r>
          </w:p>
        </w:tc>
        <w:tc>
          <w:tcPr>
            <w:tcW w:type="dxa" w:w="726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Know Your Customer</w:t>
            </w:r>
          </w:p>
        </w:tc>
      </w:tr>
      <w:tr>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LLM</w:t>
            </w:r>
          </w:p>
        </w:tc>
        <w:tc>
          <w:tcPr>
            <w:tcW w:type="dxa" w:w="726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Large Language Model</w:t>
            </w:r>
          </w:p>
        </w:tc>
      </w:tr>
      <w:tr>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NBFC</w:t>
            </w:r>
          </w:p>
        </w:tc>
        <w:tc>
          <w:tcPr>
            <w:tcW w:type="dxa" w:w="726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Non-Banking Financial Company</w:t>
            </w:r>
          </w:p>
        </w:tc>
      </w:tr>
      <w:tr>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NCR</w:t>
            </w:r>
          </w:p>
        </w:tc>
        <w:tc>
          <w:tcPr>
            <w:tcW w:type="dxa" w:w="726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National Capital Region (Delhi and surrounding areas — Noida, Gurgaon, Ghaziabad, Faridabad)</w:t>
            </w:r>
          </w:p>
        </w:tc>
      </w:tr>
      <w:tr>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NRI</w:t>
            </w:r>
          </w:p>
        </w:tc>
        <w:tc>
          <w:tcPr>
            <w:tcW w:type="dxa" w:w="726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Non-Resident Indian</w:t>
            </w:r>
          </w:p>
        </w:tc>
      </w:tr>
      <w:tr>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POA</w:t>
            </w:r>
          </w:p>
        </w:tc>
        <w:tc>
          <w:tcPr>
            <w:tcW w:type="dxa" w:w="726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Power of Attorney</w:t>
            </w:r>
          </w:p>
        </w:tc>
      </w:tr>
      <w:tr>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QA</w:t>
            </w:r>
          </w:p>
        </w:tc>
        <w:tc>
          <w:tcPr>
            <w:tcW w:type="dxa" w:w="726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Quality Assurance</w:t>
            </w:r>
          </w:p>
        </w:tc>
      </w:tr>
      <w:tr>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RAG</w:t>
            </w:r>
          </w:p>
        </w:tc>
        <w:tc>
          <w:tcPr>
            <w:tcW w:type="dxa" w:w="726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Retrieval-Augmented Generation — retrieving relevant documents and supplying them to the model as context</w:t>
            </w:r>
          </w:p>
        </w:tc>
      </w:tr>
      <w:tr>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RE</w:t>
            </w:r>
          </w:p>
        </w:tc>
        <w:tc>
          <w:tcPr>
            <w:tcW w:type="dxa" w:w="726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Real Estate</w:t>
            </w:r>
          </w:p>
        </w:tc>
      </w:tr>
      <w:tr>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RERA</w:t>
            </w:r>
          </w:p>
        </w:tc>
        <w:tc>
          <w:tcPr>
            <w:tcW w:type="dxa" w:w="726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Real Estate Regulatory Authority; projects carry a mandatory RERA registration number</w:t>
            </w:r>
          </w:p>
        </w:tc>
      </w:tr>
      <w:tr>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SLA</w:t>
            </w:r>
          </w:p>
        </w:tc>
        <w:tc>
          <w:tcPr>
            <w:tcW w:type="dxa" w:w="726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Service Level Agreement</w:t>
            </w:r>
          </w:p>
        </w:tc>
      </w:tr>
      <w:tr>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SMB</w:t>
            </w:r>
          </w:p>
        </w:tc>
        <w:tc>
          <w:tcPr>
            <w:tcW w:type="dxa" w:w="726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Small and Medium Business</w:t>
            </w:r>
          </w:p>
        </w:tc>
      </w:tr>
      <w:tr>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SMS</w:t>
            </w:r>
          </w:p>
        </w:tc>
        <w:tc>
          <w:tcPr>
            <w:tcW w:type="dxa" w:w="726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Short Message Service (text message)</w:t>
            </w:r>
          </w:p>
        </w:tc>
      </w:tr>
      <w:tr>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SOC 2</w:t>
            </w:r>
          </w:p>
        </w:tc>
        <w:tc>
          <w:tcPr>
            <w:tcW w:type="dxa" w:w="726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System and Organization Controls 2 — "Type II" means effectiveness is audited over a period of time, not a single point in time</w:t>
            </w:r>
          </w:p>
        </w:tc>
      </w:tr>
      <w:tr>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SOS</w:t>
            </w:r>
          </w:p>
        </w:tc>
        <w:tc>
          <w:tcPr>
            <w:tcW w:type="dxa" w:w="726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Not a true acronym — the international Morse-code distress signal, used here loosely for "emergency escalation"</w:t>
            </w:r>
          </w:p>
        </w:tc>
      </w:tr>
      <w:tr>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STT</w:t>
            </w:r>
          </w:p>
        </w:tc>
        <w:tc>
          <w:tcPr>
            <w:tcW w:type="dxa" w:w="726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Speech-to-Text; converts caller audio into text</w:t>
            </w:r>
          </w:p>
        </w:tc>
      </w:tr>
      <w:tr>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Time-to-first-token</w:t>
            </w:r>
          </w:p>
        </w:tc>
        <w:tc>
          <w:tcPr>
            <w:tcW w:type="dxa" w:w="726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Delay between sending a request to a model and receiving the first output token</w:t>
            </w:r>
          </w:p>
        </w:tc>
      </w:tr>
      <w:tr>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TRAI</w:t>
            </w:r>
          </w:p>
        </w:tc>
        <w:tc>
          <w:tcPr>
            <w:tcW w:type="dxa" w:w="726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Telecom Regulatory Authority of India</w:t>
            </w:r>
          </w:p>
        </w:tc>
      </w:tr>
      <w:tr>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TTS</w:t>
            </w:r>
          </w:p>
        </w:tc>
        <w:tc>
          <w:tcPr>
            <w:tcW w:type="dxa" w:w="726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Text-to-Speech; converts the agent's text response into audio</w:t>
            </w:r>
          </w:p>
        </w:tc>
      </w:tr>
      <w:tr>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Warm transfer</w:t>
            </w:r>
          </w:p>
        </w:tc>
        <w:tc>
          <w:tcPr>
            <w:tcW w:type="dxa" w:w="726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Handing a live call to a human agent with the conversation context already summarised</w:t>
            </w:r>
          </w:p>
        </w:tc>
      </w:tr>
      <w:tr>
        <w:tc>
          <w:tcPr>
            <w:tcW w:type="dxa" w:w="2049"/>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YC</w:t>
            </w:r>
          </w:p>
        </w:tc>
        <w:tc>
          <w:tcPr>
            <w:tcW w:type="dxa" w:w="7265"/>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Y Combinator (startup accelerator)</w:t>
            </w:r>
          </w:p>
        </w:tc>
      </w:tr>
      <w:tr>
        <w:tc>
          <w:tcPr>
            <w:tcW w:type="dxa" w:w="2049"/>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8kHz codec</w:t>
            </w:r>
          </w:p>
        </w:tc>
        <w:tc>
          <w:tcPr>
            <w:tcW w:type="dxa" w:w="7265"/>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The narrowband audio compression used on standard telephony, materially lower quality than the wideband audio used in browser demos</w:t>
            </w:r>
          </w:p>
        </w:tc>
      </w:tr>
    </w:tbl>
    <w:p>
      <w:pPr>
        <w:pageBreakBefore/>
        <w:spacing w:after="20" w:before="0"/>
      </w:pPr>
      <w:r>
        <w:rPr>
          <w:rFonts w:ascii="Calibri" w:cs="Calibri" w:eastAsia="Calibri" w:hAnsi="Calibri"/>
          <w:b/>
          <w:bCs/>
          <w:i w:val="false"/>
          <w:iCs w:val="false"/>
          <w:color w:val="2455A4"/>
          <w:sz w:val="18"/>
          <w:szCs w:val="18"/>
        </w:rPr>
        <w:t xml:space="preserve">APPENDIX</w:t>
      </w:r>
    </w:p>
    <w:p>
      <w:pPr>
        <w:pStyle w:val="Heading1"/>
        <w:pBdr>
          <w:bottom w:val="single" w:color="2455A4" w:sz="14" w:space="6"/>
        </w:pBdr>
        <w:spacing w:after="220" w:before="0"/>
      </w:pPr>
      <w:r>
        <w:rPr>
          <w:rFonts w:ascii="Calibri" w:cs="Calibri" w:eastAsia="Calibri" w:hAnsi="Calibri"/>
          <w:b/>
          <w:bCs/>
          <w:i w:val="false"/>
          <w:iCs w:val="false"/>
          <w:color w:val="1B2A4A"/>
          <w:sz w:val="34"/>
          <w:szCs w:val="34"/>
        </w:rPr>
        <w:t xml:space="preserve">Appendix B — Document Provenance</w:t>
      </w:r>
    </w:p>
    <w:p>
      <w:pPr>
        <w:spacing w:after="140" w:before="0" w:line="264"/>
        <w:jc w:val="left"/>
      </w:pPr>
      <w:r>
        <w:rPr>
          <w:rFonts w:ascii="Calibri" w:cs="Calibri" w:eastAsia="Calibri" w:hAnsi="Calibri"/>
          <w:b w:val="false"/>
          <w:bCs w:val="false"/>
          <w:i w:val="false"/>
          <w:iCs w:val="false"/>
          <w:color w:val="222222"/>
          <w:sz w:val="19"/>
          <w:szCs w:val="19"/>
        </w:rPr>
        <w:t xml:space="preserve">Which prior document each Part of this blueprint is drawn from, so that future updates to any source document have an obvious home in this one.</w:t>
      </w:r>
    </w:p>
    <w:tbl>
      <w:tblPr>
        <w:tblW w:type="dxa" w:w="9314"/>
        <w:tblBorders>
          <w:top w:val="single" w:color="C4CCDA" w:sz="4"/>
          <w:left w:val="single" w:color="C4CCDA" w:sz="4"/>
          <w:bottom w:val="single" w:color="C4CCDA" w:sz="4"/>
          <w:right w:val="single" w:color="C4CCDA" w:sz="4"/>
          <w:insideH w:val="single" w:color="C4CCDA" w:sz="4"/>
          <w:insideV w:val="single" w:color="C4CCDA" w:sz="4"/>
        </w:tblBorders>
        <w:tblLayout w:type="fixed"/>
      </w:tblPr>
      <w:tblGrid>
        <w:gridCol w:w="1490"/>
        <w:gridCol w:w="3912"/>
        <w:gridCol w:w="3912"/>
      </w:tblGrid>
      <w:tr>
        <w:trPr>
          <w:tblHeader/>
        </w:trPr>
        <w:tc>
          <w:tcPr>
            <w:tcW w:type="dxa" w:w="1490"/>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Part</w:t>
            </w:r>
          </w:p>
        </w:tc>
        <w:tc>
          <w:tcPr>
            <w:tcW w:type="dxa" w:w="3912"/>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Primary Source Document(s)</w:t>
            </w:r>
          </w:p>
        </w:tc>
        <w:tc>
          <w:tcPr>
            <w:tcW w:type="dxa" w:w="3912"/>
            <w:shd w:fill="1B2A4A" w:color="auto" w:val="clear"/>
            <w:tcMar>
              <w:top w:type="dxa" w:w="70"/>
              <w:left w:type="dxa" w:w="90"/>
              <w:bottom w:type="dxa" w:w="70"/>
              <w:right w:type="dxa" w:w="90"/>
            </w:tcMar>
            <w:vAlign w:val="top"/>
          </w:tcPr>
          <w:p>
            <w:pPr>
              <w:spacing w:after="0"/>
            </w:pPr>
            <w:r>
              <w:rPr>
                <w:rFonts w:ascii="Calibri" w:cs="Calibri" w:eastAsia="Calibri" w:hAnsi="Calibri"/>
                <w:b/>
                <w:bCs/>
                <w:i w:val="false"/>
                <w:iCs w:val="false"/>
                <w:color w:val="FFFFFF"/>
                <w:sz w:val="17"/>
                <w:szCs w:val="17"/>
              </w:rPr>
              <w:t xml:space="preserve">Role in This Blueprint</w:t>
            </w:r>
          </w:p>
        </w:tc>
      </w:tr>
      <w:tr>
        <w:tc>
          <w:tcPr>
            <w:tcW w:type="dxa" w:w="149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Part I — Product Foundation</w:t>
            </w:r>
          </w:p>
        </w:tc>
        <w:tc>
          <w:tcPr>
            <w:tcW w:type="dxa" w:w="391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“AI Voice Sales &amp; Customer Lifecycle Agent — Solution Overview &amp; Engineering Approach” (incl. Architecture &amp; Data Design, Workflow Chart, API Specification, Voice Pipeline Design, Compliance/Security/Audit Design, Deployment &amp; Testing Strategy, Project Timeline sections) + the real-estate Industry Pack agent-set specification</w:t>
            </w:r>
          </w:p>
        </w:tc>
        <w:tc>
          <w:tcPr>
            <w:tcW w:type="dxa" w:w="391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MVP baseline — the system as built, against which all other documents propose modifications or additions</w:t>
            </w:r>
          </w:p>
        </w:tc>
      </w:tr>
      <w:tr>
        <w:tc>
          <w:tcPr>
            <w:tcW w:type="dxa" w:w="149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Part II — Eight Core Deployment Challenges</w:t>
            </w:r>
          </w:p>
        </w:tc>
        <w:tc>
          <w:tcPr>
            <w:tcW w:type="dxa" w:w="3912"/>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“Voice AI Platform — Core Deployment Challenges: Solution Design, Cost-Efficiency Trade-offs and Implementation Sequence” (22-page internal technical briefing)</w:t>
            </w:r>
          </w:p>
        </w:tc>
        <w:tc>
          <w:tcPr>
            <w:tcW w:type="dxa" w:w="3912"/>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Reproduced in full, per standing instruction — the deployment playbook</w:t>
            </w:r>
          </w:p>
        </w:tc>
      </w:tr>
      <w:tr>
        <w:tc>
          <w:tcPr>
            <w:tcW w:type="dxa" w:w="149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Part III — Voice AI Competitive Landscape</w:t>
            </w:r>
          </w:p>
        </w:tc>
        <w:tc>
          <w:tcPr>
            <w:tcW w:type="dxa" w:w="391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“Voice AI Competitive Landscape &amp; Cross-Industry Feature Gap Analysis”</w:t>
            </w:r>
          </w:p>
        </w:tc>
        <w:tc>
          <w:tcPr>
            <w:tcW w:type="dxa" w:w="391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Modification/extension input — competitive benchmark against the Part I baseline</w:t>
            </w:r>
          </w:p>
        </w:tc>
      </w:tr>
      <w:tr>
        <w:tc>
          <w:tcPr>
            <w:tcW w:type="dxa" w:w="149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Part IV — Feature Roadmap</w:t>
            </w:r>
          </w:p>
        </w:tc>
        <w:tc>
          <w:tcPr>
            <w:tcW w:type="dxa" w:w="3912"/>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“Voice AI Competitive Landscape &amp; Cross-Industry Feature Gap Analysis” (roadmap tables) + “Manager Briefing — Detailed Rationale, Examples &amp; Include/Exclude Decisions” (rationale)</w:t>
            </w:r>
          </w:p>
        </w:tc>
        <w:tc>
          <w:tcPr>
            <w:tcW w:type="dxa" w:w="3912"/>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Advanced-feature input — what to build next, and why, beyond the Part I baseline</w:t>
            </w:r>
          </w:p>
        </w:tc>
      </w:tr>
      <w:tr>
        <w:tc>
          <w:tcPr>
            <w:tcW w:type="dxa" w:w="1490"/>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Part V — Risks &amp; Anticipated Questions</w:t>
            </w:r>
          </w:p>
        </w:tc>
        <w:tc>
          <w:tcPr>
            <w:tcW w:type="dxa" w:w="391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Both competitive documents above + Part II, Section 2.7 of the Challenges briefing</w:t>
            </w:r>
          </w:p>
        </w:tc>
        <w:tc>
          <w:tcPr>
            <w:tcW w:type="dxa" w:w="3912"/>
            <w:shd w:fill="FFFFFF"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Consolidated risk register across both workstreams</w:t>
            </w:r>
          </w:p>
        </w:tc>
      </w:tr>
      <w:tr>
        <w:tc>
          <w:tcPr>
            <w:tcW w:type="dxa" w:w="1490"/>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Part VI — Engineering Reference</w:t>
            </w:r>
          </w:p>
        </w:tc>
        <w:tc>
          <w:tcPr>
            <w:tcW w:type="dxa" w:w="3912"/>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Independently verified via current vendor/regulatory documentation (not sourced from the uploaded PDFs)</w:t>
            </w:r>
          </w:p>
        </w:tc>
        <w:tc>
          <w:tcPr>
            <w:tcW w:type="dxa" w:w="3912"/>
            <w:shd w:fill="EEF2F8" w:color="auto" w:val="clear"/>
            <w:tcMar>
              <w:top w:type="dxa" w:w="70"/>
              <w:left w:type="dxa" w:w="90"/>
              <w:bottom w:type="dxa" w:w="70"/>
              <w:right w:type="dxa" w:w="90"/>
            </w:tcMar>
            <w:vAlign w:val="top"/>
          </w:tcPr>
          <w:p>
            <w:pPr>
              <w:spacing w:after="0"/>
            </w:pPr>
            <w:r>
              <w:rPr>
                <w:rFonts w:ascii="Calibri" w:cs="Calibri" w:eastAsia="Calibri" w:hAnsi="Calibri"/>
                <w:b w:val="false"/>
                <w:bCs w:val="false"/>
                <w:i w:val="false"/>
                <w:iCs w:val="false"/>
                <w:color w:val="222222"/>
                <w:sz w:val="17"/>
                <w:szCs w:val="17"/>
              </w:rPr>
              <w:t xml:space="preserve">New material added to fulfill the “reference links for repos, models, etc.” requirement</w:t>
            </w:r>
          </w:p>
        </w:tc>
      </w:tr>
    </w:tbl>
    <w:p>
      <w:pPr>
        <w:spacing w:after="200"/>
      </w:pPr>
    </w:p>
    <w:p>
      <w:pPr>
        <w:spacing w:after="140" w:before="0" w:line="264"/>
        <w:jc w:val="left"/>
      </w:pPr>
      <w:r>
        <w:rPr>
          <w:rFonts w:ascii="Calibri" w:cs="Calibri" w:eastAsia="Calibri" w:hAnsi="Calibri"/>
          <w:b w:val="false"/>
          <w:bCs w:val="false"/>
          <w:i/>
          <w:iCs/>
          <w:color w:val="5B6472"/>
          <w:sz w:val="19"/>
          <w:szCs w:val="19"/>
        </w:rPr>
        <w:t xml:space="preserve">Update discipline: when a new document is uploaded and merged into this blueprint, add its title to the relevant row above (or a new row), and note in that Part's text what changed and why — do not silently overwrite prior conclusions.</w:t>
      </w:r>
    </w:p>
    <w:sectPr>
      <w:headerReference w:type="default" r:id="rId7"/>
      <w:footerReference w:type="default" r:id="rId8"/>
      <w:pgSz w:w="11906" w:h="16838" w:orient="portrait"/>
      <w:pgMar w:top="1296" w:right="1296" w:bottom="1296" w:left="1296"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i w:val="false"/>
        <w:iCs w:val="false"/>
        <w:color w:val="5B6472"/>
        <w:sz w:val="15"/>
        <w:szCs w:val="15"/>
      </w:rPr>
      <w:t xml:space="preserve">Internal — Confidential  |  Page </w:t>
    </w:r>
    <w:r>
      <w:rPr>
        <w:rFonts w:ascii="Calibri" w:cs="Calibri" w:eastAsia="Calibri" w:hAnsi="Calibri"/>
        <w:color w:val="5B6472"/>
        <w:sz w:val="15"/>
        <w:szCs w:val="15"/>
      </w:rPr>
      <w:fldChar w:fldCharType="begin"/>
      <w:instrText xml:space="preserve">PAGE</w:instrText>
      <w:fldChar w:fldCharType="separate"/>
      <w:fldChar w:fldCharType="end"/>
    </w:r>
    <w:r>
      <w:rPr>
        <w:rFonts w:ascii="Calibri" w:cs="Calibri" w:eastAsia="Calibri" w:hAnsi="Calibri"/>
        <w:b w:val="false"/>
        <w:bCs w:val="false"/>
        <w:i w:val="false"/>
        <w:iCs w:val="false"/>
        <w:color w:val="5B6472"/>
        <w:sz w:val="15"/>
        <w:szCs w:val="15"/>
      </w:rPr>
      <w:t xml:space="preserve"> of </w:t>
    </w:r>
    <w:r>
      <w:rPr>
        <w:rFonts w:ascii="Calibri" w:cs="Calibri" w:eastAsia="Calibri" w:hAnsi="Calibri"/>
        <w:color w:val="5B64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CCDA" w:sz="4" w:space="4"/>
      </w:pBdr>
      <w:jc w:val="right"/>
    </w:pPr>
    <w:r>
      <w:rPr>
        <w:rFonts w:ascii="Calibri" w:cs="Calibri" w:eastAsia="Calibri" w:hAnsi="Calibri"/>
        <w:b/>
        <w:bCs/>
        <w:i w:val="false"/>
        <w:iCs w:val="false"/>
        <w:color w:val="1B2A4A"/>
        <w:sz w:val="15"/>
        <w:szCs w:val="15"/>
      </w:rPr>
      <w:t xml:space="preserve">ADVORA.AI  </w:t>
    </w:r>
    <w:r>
      <w:rPr>
        <w:rFonts w:ascii="Calibri" w:cs="Calibri" w:eastAsia="Calibri" w:hAnsi="Calibri"/>
        <w:b w:val="false"/>
        <w:bCs w:val="false"/>
        <w:i/>
        <w:iCs/>
        <w:color w:val="5B6472"/>
        <w:sz w:val="15"/>
        <w:szCs w:val="15"/>
      </w:rPr>
      <w:t xml:space="preserve">Voice AI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Advora.ai Voice AI Blueprint</dc:title>
  <dc:creator>Advora.ai</dc:creator>
  <dc:description>Consolidated product, engineering &amp; competitive reference</dc:description>
  <cp:lastModifiedBy>Un-named</cp:lastModifiedBy>
  <cp:revision>1</cp:revision>
  <dcterms:created xsi:type="dcterms:W3CDTF">2026-08-04T14:00:53.945Z</dcterms:created>
  <dcterms:modified xsi:type="dcterms:W3CDTF">2026-08-04T14:00:53.945Z</dcterms:modified>
</cp:coreProperties>
</file>

<file path=docProps/custom.xml><?xml version="1.0" encoding="utf-8"?>
<Properties xmlns="http://schemas.openxmlformats.org/officeDocument/2006/custom-properties" xmlns:vt="http://schemas.openxmlformats.org/officeDocument/2006/docPropsVTypes"/>
</file>