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sz w:val="36"/>
        </w:rPr>
        <w:t>UNIVERSIDAD TÉCNICA ESTATAL DE QUEVEDO</w:t>
      </w:r>
    </w:p>
    <w:p>
      <w:pPr>
        <w:spacing w:after="120"/>
        <w:jc w:val="center"/>
      </w:pPr>
      <w:r>
        <w:rPr>
          <w:b w:val="0"/>
          <w:sz w:val="28"/>
        </w:rPr>
        <w:t>Facultad de Ciencias de la Computación</w:t>
      </w:r>
    </w:p>
    <w:p>
      <w:pPr>
        <w:spacing w:after="120"/>
        <w:jc w:val="center"/>
      </w:pPr>
      <w:r>
        <w:rPr>
          <w:b w:val="0"/>
          <w:sz w:val="26"/>
        </w:rPr>
        <w:t>Carrera de Software (Rediseño)</w:t>
      </w:r>
    </w:p>
    <w:p>
      <w:pPr>
        <w:spacing w:after="120"/>
        <w:jc w:val="center"/>
      </w:pPr>
      <w:r>
        <w:rPr>
          <w:b w:val="0"/>
          <w:sz w:val="24"/>
        </w:rPr>
      </w:r>
    </w:p>
    <w:p>
      <w:pPr>
        <w:spacing w:after="120"/>
        <w:jc w:val="center"/>
      </w:pPr>
      <w:r>
        <w:rPr>
          <w:b/>
          <w:sz w:val="26"/>
        </w:rPr>
        <w:t>ASIGNATURA: Aplicaciones Web</w:t>
      </w:r>
    </w:p>
    <w:p>
      <w:pPr>
        <w:spacing w:after="120"/>
        <w:jc w:val="center"/>
      </w:pPr>
      <w:r>
        <w:rPr>
          <w:b w:val="0"/>
          <w:sz w:val="24"/>
        </w:rPr>
        <w:t>Quinto Nivel - Paralelo A</w:t>
      </w:r>
    </w:p>
    <w:p>
      <w:pPr>
        <w:spacing w:after="120"/>
        <w:jc w:val="center"/>
      </w:pPr>
      <w:r>
        <w:rPr>
          <w:b w:val="0"/>
          <w:sz w:val="24"/>
        </w:rPr>
        <w:t>Período Académico 2026-2027 PPA</w:t>
      </w:r>
    </w:p>
    <w:p>
      <w:pPr>
        <w:spacing w:after="120"/>
        <w:jc w:val="center"/>
      </w:pPr>
      <w:r>
        <w:rPr>
          <w:b w:val="0"/>
          <w:sz w:val="24"/>
        </w:rPr>
      </w:r>
    </w:p>
    <w:p>
      <w:pPr>
        <w:spacing w:after="120"/>
        <w:jc w:val="center"/>
      </w:pPr>
      <w:r>
        <w:rPr>
          <w:b/>
          <w:sz w:val="32"/>
        </w:rPr>
        <w:t>INFORME TÉCNICO DE PRÁCTICA EXPERIMENTAL</w:t>
      </w:r>
    </w:p>
    <w:p>
      <w:pPr>
        <w:spacing w:after="120"/>
        <w:jc w:val="center"/>
      </w:pPr>
      <w:r>
        <w:rPr>
          <w:b w:val="0"/>
          <w:sz w:val="26"/>
        </w:rPr>
        <w:t>Unidad IV: Modelo Vista Controlador y Servicios Web</w:t>
      </w:r>
    </w:p>
    <w:p>
      <w:pPr>
        <w:spacing w:after="120"/>
        <w:jc w:val="center"/>
      </w:pPr>
      <w:r>
        <w:rPr>
          <w:b/>
          <w:sz w:val="26"/>
        </w:rPr>
        <w:t>SGROAS - Sistema de Gestión de Recursos Operativos, Administrativos y de Seguridad</w:t>
      </w:r>
    </w:p>
    <w:p>
      <w:pPr>
        <w:spacing w:after="120"/>
        <w:jc w:val="center"/>
      </w:pPr>
      <w:r>
        <w:rPr>
          <w:b w:val="0"/>
          <w:sz w:val="24"/>
        </w:rPr>
      </w:r>
    </w:p>
    <w:p>
      <w:pPr>
        <w:spacing w:after="120"/>
        <w:jc w:val="center"/>
      </w:pPr>
      <w:r>
        <w:rPr>
          <w:b w:val="0"/>
          <w:sz w:val="24"/>
        </w:rPr>
        <w:t>Evaluación cruzada entre grupos (Equipo E)</w:t>
      </w:r>
    </w:p>
    <w:p>
      <w:pPr>
        <w:spacing w:after="120"/>
        <w:jc w:val="center"/>
      </w:pPr>
      <w:r>
        <w:rPr>
          <w:b w:val="0"/>
          <w:sz w:val="24"/>
        </w:rPr>
      </w:r>
    </w:p>
    <w:p>
      <w:pPr>
        <w:spacing w:after="120"/>
        <w:jc w:val="center"/>
      </w:pPr>
      <w:r>
        <w:rPr>
          <w:b w:val="0"/>
          <w:sz w:val="24"/>
        </w:rPr>
      </w:r>
    </w:p>
    <w:p>
      <w:pPr>
        <w:spacing w:after="120"/>
        <w:jc w:val="center"/>
      </w:pPr>
      <w:r>
        <w:rPr>
          <w:b/>
          <w:sz w:val="26"/>
        </w:rPr>
        <w:t>INTEGRANTES:</w:t>
      </w:r>
    </w:p>
    <w:p>
      <w:pPr>
        <w:spacing w:after="120"/>
        <w:jc w:val="center"/>
      </w:pPr>
      <w:r>
        <w:rPr>
          <w:b w:val="0"/>
          <w:sz w:val="26"/>
        </w:rPr>
        <w:t>Tejada Bajaña Luis Alejandro</w:t>
      </w:r>
    </w:p>
    <w:p>
      <w:pPr>
        <w:spacing w:after="120"/>
        <w:jc w:val="center"/>
      </w:pPr>
      <w:r>
        <w:rPr>
          <w:b w:val="0"/>
          <w:sz w:val="26"/>
        </w:rPr>
        <w:t>Alava Alvarado Jean Pierre</w:t>
      </w:r>
    </w:p>
    <w:p>
      <w:pPr>
        <w:spacing w:after="120"/>
        <w:jc w:val="center"/>
      </w:pPr>
      <w:r>
        <w:rPr>
          <w:b w:val="0"/>
          <w:sz w:val="24"/>
        </w:rPr>
      </w:r>
    </w:p>
    <w:p>
      <w:pPr>
        <w:spacing w:after="120"/>
        <w:jc w:val="center"/>
      </w:pPr>
      <w:r>
        <w:rPr>
          <w:b/>
          <w:sz w:val="26"/>
        </w:rPr>
        <w:t>DOCENTE:</w:t>
      </w:r>
    </w:p>
    <w:p>
      <w:pPr>
        <w:spacing w:after="120"/>
        <w:jc w:val="center"/>
      </w:pPr>
      <w:r>
        <w:rPr>
          <w:b w:val="0"/>
          <w:sz w:val="26"/>
        </w:rPr>
        <w:t>Ing. Guerrero Ulloa Gleiston Cíceron</w:t>
      </w:r>
    </w:p>
    <w:p>
      <w:pPr>
        <w:spacing w:after="120"/>
        <w:jc w:val="center"/>
      </w:pPr>
      <w:r>
        <w:rPr>
          <w:b w:val="0"/>
          <w:sz w:val="24"/>
        </w:rPr>
      </w:r>
    </w:p>
    <w:p>
      <w:pPr>
        <w:spacing w:after="120"/>
        <w:jc w:val="center"/>
      </w:pPr>
      <w:r>
        <w:rPr>
          <w:b w:val="0"/>
          <w:sz w:val="26"/>
        </w:rPr>
        <w:t>FECHA: Agosto de 2026</w:t>
      </w:r>
    </w:p>
    <w:p>
      <w:r>
        <w:br w:type="page"/>
      </w:r>
    </w:p>
    <w:p>
      <w:pPr>
        <w:pStyle w:val="Heading1"/>
      </w:pPr>
      <w:r>
        <w:rPr>
          <w:color w:val="000000"/>
        </w:rPr>
        <w:t>1. Introducción</w:t>
      </w:r>
    </w:p>
    <w:p>
      <w:pPr>
        <w:spacing w:after="120"/>
        <w:jc w:val="both"/>
      </w:pPr>
      <w:r>
        <w:rPr>
          <w:b w:val="0"/>
          <w:sz w:val="24"/>
        </w:rPr>
        <w:t>El presente informe corresponde a la Práctica Experimental de la Unidad IV de la asignatura Aplicaciones Web, cuyo resultado de aprendizaje es construir una aplicación web completa bajo el patrón MVC con un framework moderno, exponiendo e integrando servicios web REST y SOAP, y aplicando criterios de calidad, seguridad e interoperabilidad. En el marco de la evaluación cruzada solicitada por el docente, el proyecto evaluado es SGROAS (Sistema de Gestión de Recursos Operativos, Administrativos y de Seguridad), desarrollado originalmente por el Grupo D y puesto a disposición del Equipo E para su revisión, análisis y retroalimentación técnica.</w:t>
      </w:r>
    </w:p>
    <w:p>
      <w:pPr>
        <w:spacing w:after="120"/>
        <w:jc w:val="both"/>
      </w:pPr>
      <w:r>
        <w:rPr>
          <w:b w:val="0"/>
          <w:sz w:val="24"/>
        </w:rPr>
        <w:t>El sistema SGROAS tiene como objetivo centralizar la gestión de recursos operativos (unidades y conductores), administrativos (rutas y programaciones) y de seguridad (incidentes y alertas) de una cooperativa de transporte interprovincial. Técnicamente está construido con Spring Boot 3.5 (Java 21) en el backend, Angular en el frontend y PostgreSQL 18 como base de datos, con Redis como caché distribuida. En las secciones siguientes se desarrolla el fundamento teórico exigido por la guía de práctica (secciones 5.1 a 5.4) y se responden las preguntas de análisis del Anexo C.</w:t>
      </w:r>
    </w:p>
    <w:p>
      <w:pPr>
        <w:pStyle w:val="Heading1"/>
      </w:pPr>
      <w:r>
        <w:rPr>
          <w:color w:val="000000"/>
        </w:rPr>
        <w:t>2. El Patrón MVC y su Implementación en Frameworks Modernos</w:t>
      </w:r>
    </w:p>
    <w:p>
      <w:pPr>
        <w:pStyle w:val="Heading2"/>
      </w:pPr>
      <w:r>
        <w:rPr>
          <w:color w:val="000000"/>
        </w:rPr>
        <w:t>2.1 Historia y evolución del MVC</w:t>
      </w:r>
    </w:p>
    <w:p>
      <w:pPr>
        <w:spacing w:after="120"/>
        <w:jc w:val="both"/>
      </w:pPr>
      <w:r>
        <w:rPr>
          <w:b w:val="0"/>
          <w:sz w:val="24"/>
        </w:rPr>
        <w:t>El patrón Modelo-Vista-Controlador (MVC) fue descrito por primera vez por Trygve Reenskaug en 1979 mientras trabajaba en el entorno Smalltalk-80 del Xerox PARC. En su formulación original, el modelo representa el estado y la lógica de negocio, la vista es la representación visual de ese estado y el controlador es el componente que maneja la entrada del usuario (eventos de teclado y ratón). El objetivo era dividir responsabilidades para permitir que múltiples vistas observaran un mismo modelo y que los cambios en los datos se reflejaran automáticamente en la interfaz.</w:t>
      </w:r>
    </w:p>
    <w:p>
      <w:pPr>
        <w:spacing w:after="120"/>
        <w:jc w:val="both"/>
      </w:pPr>
      <w:r>
        <w:rPr>
          <w:b w:val="0"/>
          <w:sz w:val="24"/>
        </w:rPr>
        <w:t>Cuando el MVC se trasladó al entorno web, la semántica de los componentes cambió para adaptarse a la arquitectura request/response del protocolo HTTP. En el modelo web, el controlador ya no maneja eventos de entrada locales, sino que procesa solicitudes HTTP: recibe un verbo y una URI, invoca al modelo y selecciona una vista. La vista puede renderizarse en el servidor mediante un motor de plantillas o en el cliente mediante una aplicación de una sola página (SPA). Por su parte, el modelo se amplía para incluir repositorios, servicios de aplicación y objetos de acceso a datos (DAO). De esta forma, MVC se convierte en el patrón arquitectónico dominante de la mayoría de frameworks modernos.</w:t>
      </w:r>
    </w:p>
    <w:p>
      <w:pPr>
        <w:spacing w:after="120"/>
        <w:jc w:val="both"/>
      </w:pPr>
      <w:r>
        <w:rPr>
          <w:b w:val="0"/>
          <w:sz w:val="24"/>
        </w:rPr>
        <w:t>Sobre el MVC clásico se desarrollaron variantes que resuelven limitaciones concretas. El patrón MVP (Model-View-Presenter) elimina la referencia directa entre la vista y el modelo: el presentador actúa como intermediario único y la vista es pasiva. El patrón MVVM (Model-View-ViewModel) introduce un ViewModel con enlace bidireccional de datos (data binding), muy utilizado en aplicaciones SPA como Angular, donde una directiva como [(ngModel)] sincroniza automáticamente la vista y el modelo.</w:t>
      </w:r>
    </w:p>
    <w:p>
      <w:pPr>
        <w:pStyle w:val="Heading2"/>
      </w:pPr>
      <w:r>
        <w:rPr>
          <w:color w:val="000000"/>
        </w:rPr>
        <w:t>2.2 El patrón Front Controller</w:t>
      </w:r>
    </w:p>
    <w:p>
      <w:pPr>
        <w:spacing w:after="120"/>
        <w:jc w:val="both"/>
      </w:pPr>
      <w:r>
        <w:rPr>
          <w:b w:val="0"/>
          <w:sz w:val="24"/>
        </w:rPr>
        <w:t>Todos los frameworks MVC web relevantes (Laravel, Symfony, Spring MVC, ASP.NET Core, Django) emplean el patrón Front Controller: un punto de entrada único que centraliza el manejo de errores, la autenticación, el logging y el enrutamiento. En Spring Boot, ese punto de entrada es DispatcherServlet, configurado automáticamente por el arranque de la aplicación. Este diseño evita repetir lógica transversal (auth, CORS, cabeceras de seguridad) en cada controlador.</w:t>
      </w:r>
    </w:p>
    <w:p>
      <w:pPr>
        <w:spacing w:after="120"/>
        <w:jc w:val="both"/>
      </w:pPr>
      <w:r>
        <w:rPr>
          <w:b w:val="0"/>
          <w:sz w:val="24"/>
        </w:rPr>
        <w:t>El ciclo completo de una petición MVC en Spring Boot, aplicado al PFC, es el siguiente:</w:t>
      </w:r>
    </w:p>
    <w:p>
      <w:pPr>
        <w:spacing w:after="120"/>
        <w:jc w:val="both"/>
      </w:pPr>
      <w:r>
        <w:rPr>
          <w:b w:val="0"/>
          <w:sz w:val="24"/>
        </w:rPr>
        <w:t>Paso 1. Recepción de la petición HTTP: el cliente envía GET /api/conductores con el token JWT. El contenedor embebido (Tomcat) recibe la solicitud.</w:t>
      </w:r>
    </w:p>
    <w:p>
      <w:pPr>
        <w:spacing w:after="120"/>
        <w:jc w:val="both"/>
      </w:pPr>
      <w:r>
        <w:rPr>
          <w:b w:val="0"/>
          <w:sz w:val="24"/>
        </w:rPr>
        <w:t>Paso 2. Filtros de seguridad: JwtAuthenticationFilter se ejecuta antes de UsernamePasswordAuthenticationFilter y autentica la petición sin estado si el token es válido y no está en la blacklist de Redis.</w:t>
      </w:r>
    </w:p>
    <w:p>
      <w:pPr>
        <w:spacing w:after="120"/>
        <w:jc w:val="both"/>
      </w:pPr>
      <w:r>
        <w:rPr>
          <w:b w:val="0"/>
          <w:sz w:val="24"/>
        </w:rPr>
        <w:t>Paso 3. Enrutamiento: DispatcherServlet consulta el HandlerMapping y localiza el ConductorController.listar() que atiende GET /api/conductores.</w:t>
      </w:r>
    </w:p>
    <w:p>
      <w:pPr>
        <w:spacing w:after="120"/>
        <w:jc w:val="both"/>
      </w:pPr>
      <w:r>
        <w:rPr>
          <w:b w:val="0"/>
          <w:sz w:val="24"/>
        </w:rPr>
        <w:t>Paso 4. Invocación del controlador: el HandlerAdapter invoca el método del controlador, que recibe un Pageable resuelto automáticamente por Spring Data.</w:t>
      </w:r>
    </w:p>
    <w:p>
      <w:pPr>
        <w:spacing w:after="120"/>
        <w:jc w:val="both"/>
      </w:pPr>
      <w:r>
        <w:rPr>
          <w:b w:val="0"/>
          <w:sz w:val="24"/>
        </w:rPr>
        <w:t>Paso 5. Interacción con el modelo: el controlador delega en ConductorService.listar(), que consulta ConductorRepository (con caché de Redis vía @Cacheable) y devuelve Page&lt;ConductorResponse&gt;.</w:t>
      </w:r>
    </w:p>
    <w:p>
      <w:pPr>
        <w:spacing w:after="120"/>
        <w:jc w:val="both"/>
      </w:pPr>
      <w:r>
        <w:rPr>
          <w:b w:val="0"/>
          <w:sz w:val="24"/>
        </w:rPr>
        <w:t>Paso 6. Serialización de la respuesta: el HttpMessageConverter (Jackson) serializa la respuesta a JSON y el servidor devuelve el código HTTP 200.</w:t>
      </w:r>
    </w:p>
    <w:p>
      <w:pPr>
        <w:pStyle w:val="Heading2"/>
      </w:pPr>
      <w:r>
        <w:rPr>
          <w:color w:val="000000"/>
        </w:rPr>
        <w:t>2.3 Comparativa de frameworks MVC en 2025</w:t>
      </w:r>
    </w:p>
    <w:p>
      <w:pPr>
        <w:spacing w:after="120"/>
        <w:jc w:val="both"/>
      </w:pPr>
      <w:r>
        <w:rPr>
          <w:b w:val="0"/>
          <w:sz w:val="24"/>
        </w:rPr>
        <w:t>Se compararon los cinco frameworks MVC de mayor adopción en el mercado latinoamericano: Laravel 11.x (convención sobre configuración, Eloquent ORM, Blade, muy amplio en LATAM), Symfony 7.x (explícito y extensible, Doctrine, Twig, alta adopción empresarial), Spring Boot 3.x (configuración por anotaciones, Spring Data JPA, Thymeleaf/SPA, ecosistema Java dominante), ASP.NET Core 8.x (C# fuertemente tipado, EF Core, Razor) y Django 5.x (convención sobre configuración, Django ORM, DTL/Jinja2). En el benchmark TechEmpower Round 22 los frameworks JVM se ubican en la franja media-alta de rendimiento. Para el PFC se eligió Spring Boot por su ecosistema maduro de seguridad, su soporte a JPA/PostgreSQL, su integración con Redis y el conocimiento previo del equipo, documentado en el ADR-001 (arquitectura monolítica).</w:t>
      </w:r>
    </w:p>
    <w:p>
      <w:pPr>
        <w:pStyle w:val="Heading1"/>
      </w:pPr>
      <w:r>
        <w:rPr>
          <w:color w:val="000000"/>
        </w:rPr>
        <w:t>3. Diseño de APIs REST: Principios de Fielding y OpenAPI</w:t>
      </w:r>
    </w:p>
    <w:p>
      <w:pPr>
        <w:pStyle w:val="Heading2"/>
      </w:pPr>
      <w:r>
        <w:rPr>
          <w:color w:val="000000"/>
        </w:rPr>
        <w:t>3.1 Los 6 principios de REST y su aplicación en SGROAS</w:t>
      </w:r>
    </w:p>
    <w:p>
      <w:pPr>
        <w:spacing w:after="120"/>
        <w:jc w:val="both"/>
      </w:pPr>
      <w:r>
        <w:rPr>
          <w:b w:val="0"/>
          <w:sz w:val="24"/>
        </w:rPr>
        <w:t>• Client-Server: frontend Angular y backend Spring Boot son aplicaciones independientes. Cumplido.</w:t>
      </w:r>
    </w:p>
    <w:p>
      <w:pPr>
        <w:spacing w:after="120"/>
        <w:jc w:val="both"/>
      </w:pPr>
      <w:r>
        <w:rPr>
          <w:b w:val="0"/>
          <w:sz w:val="24"/>
        </w:rPr>
        <w:t>• Stateless: autenticación JWT con SessionCreationPolicy.STATELESS; cada petición lleva el token en cookie HttpOnly+Secure+SameSite=Strict. Cumplido.</w:t>
      </w:r>
    </w:p>
    <w:p>
      <w:pPr>
        <w:spacing w:after="120"/>
        <w:jc w:val="both"/>
      </w:pPr>
      <w:r>
        <w:rPr>
          <w:b w:val="0"/>
          <w:sz w:val="24"/>
        </w:rPr>
        <w:t>• Cacheable: @Cacheable con Redis (TTL 300 s) y Cache-Control adecuado. Cumplido parcialmente.</w:t>
      </w:r>
    </w:p>
    <w:p>
      <w:pPr>
        <w:spacing w:after="120"/>
        <w:jc w:val="both"/>
      </w:pPr>
      <w:r>
        <w:rPr>
          <w:b w:val="0"/>
          <w:sz w:val="24"/>
        </w:rPr>
        <w:t>• Uniform Interface: URIs con sustantivos (/api/conductores, /api/vehiculos, /api/rutas, /api/asignaciones, /api/incidentes, /api/usuarios) y verbos HTTP semánticos. Cumplido.</w:t>
      </w:r>
    </w:p>
    <w:p>
      <w:pPr>
        <w:spacing w:after="120"/>
        <w:jc w:val="both"/>
      </w:pPr>
      <w:r>
        <w:rPr>
          <w:b w:val="0"/>
          <w:sz w:val="24"/>
        </w:rPr>
        <w:t>• Layered System: arquitectura por capas Controller/Servicio/Repository y posible proxy/nginx futuro. Cumplido parcialmente.</w:t>
      </w:r>
    </w:p>
    <w:p>
      <w:pPr>
        <w:spacing w:after="120"/>
        <w:jc w:val="both"/>
      </w:pPr>
      <w:r>
        <w:rPr>
          <w:b w:val="0"/>
          <w:sz w:val="24"/>
        </w:rPr>
        <w:t>• Code-On-Demand: opcional; no aplicado en SGROAS.</w:t>
      </w:r>
    </w:p>
    <w:p>
      <w:pPr>
        <w:pStyle w:val="Heading2"/>
      </w:pPr>
      <w:r>
        <w:rPr>
          <w:color w:val="000000"/>
        </w:rPr>
        <w:t>3.2 Diseño de URIs REST semánticas</w:t>
      </w:r>
    </w:p>
    <w:p>
      <w:pPr>
        <w:spacing w:after="120"/>
        <w:jc w:val="both"/>
      </w:pPr>
      <w:r>
        <w:rPr>
          <w:b w:val="0"/>
          <w:sz w:val="24"/>
        </w:rPr>
        <w:t>Las URIs del PFC siguen la regla de recursos como sustantivos y jerarquía por identificación (GET /api/conductores/{id}). Se evitan anti-patrones como verbos en la URI y el versionado se declara en la especificación OpenAPI (versión 0.9.0-rc). La colección Postman exportada contiene 22 peticiones organizadas.</w:t>
      </w:r>
    </w:p>
    <w:p>
      <w:pPr>
        <w:pStyle w:val="Heading2"/>
      </w:pPr>
      <w:r>
        <w:rPr>
          <w:color w:val="000000"/>
        </w:rPr>
        <w:t>3.3 JWT: estructura y flujo de autenticación</w:t>
      </w:r>
    </w:p>
    <w:p>
      <w:pPr>
        <w:spacing w:after="120"/>
        <w:jc w:val="both"/>
      </w:pPr>
      <w:r>
        <w:rPr>
          <w:b w:val="0"/>
          <w:sz w:val="24"/>
        </w:rPr>
        <w:t>Un JWT está compuesto por tres partes: Header (algoritmo de firma; HS256 en SGROAS), Payload (claims; los 7 claims RFC 7519 jti, iss, sub, aud, iat, nbf, exp más nombre y rol) y Signature (firma HMAC-SHA256). El flujo es: login y validación de contraseña con BCrypt, generación del JWT (expiración 1 hora) y un refresh token de 7 días almacenado en Redis, entrega de cookie HttpOnly+Secure+SameSite=Strict, envío con withCredentials desde el frontend, verificación de firma, expiración y blacklist en JwtAuthenticationFilter y poblamiento del SecurityContext. La revocación se resuelve con token blacklist en Redis (blacklist:&lt;jti&gt;) y refresh token con rotación, decisión documentada en el ADR-003.</w:t>
      </w:r>
    </w:p>
    <w:p>
      <w:pPr>
        <w:spacing w:after="120"/>
      </w:pPr>
      <w:r>
        <w:rPr>
          <w:rFonts w:ascii="Consolas" w:hAnsi="Consolas"/>
          <w:sz w:val="18"/>
        </w:rPr>
        <w:t>return Jwts.builder()</w:t>
        <w:br/>
        <w:t xml:space="preserve">        .id(jti).issuer(jwtIssuer).subject(usuario.getEmail())</w:t>
        <w:br/>
        <w:t xml:space="preserve">        .audience().add(jwtAudience).and()</w:t>
        <w:br/>
        <w:t xml:space="preserve">        .issuedAt(ahora).notBefore(ahora).expiration(expiracion)</w:t>
        <w:br/>
        <w:t xml:space="preserve">        .claim("nombre", usuario.getNombre())</w:t>
        <w:br/>
        <w:t xml:space="preserve">        .claim("rol", usuario.getRol().name())</w:t>
        <w:br/>
        <w:t xml:space="preserve">        .signWith(getSigningKey(), Jwts.SIG.HS256)</w:t>
        <w:br/>
        <w:t xml:space="preserve">        .compact();</w:t>
      </w:r>
    </w:p>
    <w:p>
      <w:pPr>
        <w:pStyle w:val="Heading2"/>
      </w:pPr>
      <w:r>
        <w:rPr>
          <w:color w:val="000000"/>
        </w:rPr>
        <w:t>3.4 OpenAPI / Swagger 3.0</w:t>
      </w:r>
    </w:p>
    <w:p>
      <w:pPr>
        <w:spacing w:after="120"/>
        <w:jc w:val="both"/>
      </w:pPr>
      <w:r>
        <w:rPr>
          <w:b w:val="0"/>
          <w:sz w:val="24"/>
        </w:rPr>
        <w:t>SGROAS documenta su API con Springdoc OpenAPI 2.8.6. La especificación OpenAPI actúa como contrato entre frontend y backend. Swagger UI queda accesible en /api/docs/swagger-ui.html y se eligió frente a Redoc por permitir ejecutar endpoints en la defensa. La colección Postman (docs/postman/coleccion.json) completa el criterio de verificación.</w:t>
      </w:r>
    </w:p>
    <w:p>
      <w:pPr>
        <w:pStyle w:val="Heading1"/>
      </w:pPr>
      <w:r>
        <w:rPr>
          <w:color w:val="000000"/>
        </w:rPr>
        <w:t>4. Consumo de Servicios Web Externos y SOAP</w:t>
      </w:r>
    </w:p>
    <w:p>
      <w:pPr>
        <w:pStyle w:val="Heading2"/>
      </w:pPr>
      <w:r>
        <w:rPr>
          <w:color w:val="000000"/>
        </w:rPr>
        <w:t>4.1 SOAP vs. REST</w:t>
      </w:r>
    </w:p>
    <w:p>
      <w:pPr>
        <w:spacing w:after="120"/>
        <w:jc w:val="both"/>
      </w:pPr>
      <w:r>
        <w:rPr>
          <w:b w:val="0"/>
          <w:sz w:val="24"/>
        </w:rPr>
        <w:t>SOAP es un protocolo de intercambio de mensajes basado en XML, descrito con WSDL y transportable sobre HTTP, SMTP o TCP. REST es un estilo arquitectónico que usa JSON (preferido), se apoya solo en HTTP y se describe con OpenAPI. SOAP tiene mayor overhead de serialización, tipado fuerte y muy alta interoperabilidad, y sigue vigente en banca, sector público ecuatoriano y servicios del SRI. REST es más simple y nativo desde JavaScript. Para SGROAS se eligió REST: el frontend Angular consume JSON nativo y no se requieren transacciones WS-*.</w:t>
      </w:r>
    </w:p>
    <w:p>
      <w:pPr>
        <w:pStyle w:val="Heading2"/>
      </w:pPr>
      <w:r>
        <w:rPr>
          <w:color w:val="000000"/>
        </w:rPr>
        <w:t>4.2 Clientes HTTP del lado del servidor</w:t>
      </w:r>
    </w:p>
    <w:p>
      <w:pPr>
        <w:spacing w:after="120"/>
        <w:jc w:val="both"/>
      </w:pPr>
      <w:r>
        <w:rPr>
          <w:b w:val="0"/>
          <w:sz w:val="24"/>
        </w:rPr>
        <w:t>Los frameworks ofrecen clientes HTTP dedicados: GuzzleHTTP (PHP), HttpClient (.NET), y RestTemplate/WebClient (Java/Spring). En la integración futura del PFC con una API externa se usará WebClient con timeouts, manejo de errores 4xx/5xx y reintentos con backoff exponencial. El proyecto ya centraliza errores HTTP en GlobalExceptionHandler (ProblemDetails RFC 7807), lo que permite devolver respuestas JSON estructuradas.</w:t>
      </w:r>
    </w:p>
    <w:p>
      <w:pPr>
        <w:pStyle w:val="Heading2"/>
      </w:pPr>
      <w:r>
        <w:rPr>
          <w:color w:val="000000"/>
        </w:rPr>
        <w:t>4.3 Caché de respuestas externas</w:t>
      </w:r>
    </w:p>
    <w:p>
      <w:pPr>
        <w:spacing w:after="120"/>
        <w:jc w:val="both"/>
      </w:pPr>
      <w:r>
        <w:rPr>
          <w:b w:val="0"/>
          <w:sz w:val="24"/>
        </w:rPr>
        <w:t>Las APIs externas imponen rate limiting; cachear sus respuestas evita superar cuotas, reduce latencia y protege ante indisponibilidad. El patrón cache aside ya implementado en SGROAS (consultar Redis; si hay miss, consultar el origen, almacenar con TTL y responder) se aplicará a la API externa con TTL por dominio. La verificación en Redis se hace con redis-cli KEYS "*api_externa*".</w:t>
      </w:r>
    </w:p>
    <w:p>
      <w:pPr>
        <w:pStyle w:val="Heading2"/>
      </w:pPr>
      <w:r>
        <w:rPr>
          <w:color w:val="000000"/>
        </w:rPr>
        <w:t>4.4 Tendencias: Jamstack y APIs en 2025</w:t>
      </w:r>
    </w:p>
    <w:p>
      <w:pPr>
        <w:spacing w:after="120"/>
        <w:jc w:val="both"/>
      </w:pPr>
      <w:r>
        <w:rPr>
          <w:b w:val="0"/>
          <w:sz w:val="24"/>
        </w:rPr>
        <w:t>El patrón Jamstack (JavaScript + APIs + Markup) separa frontend y backend; generadores como Next.js, Nuxt.js y Astro consumen APIs en build time o runtime. SGROAS sigue una variante SPA con Angular. La IA generativa (GitHub Copilot, scaffolding inteligente) acelera el desarrollo, pero plantea riesgos éticos sobre propiedad intelectual y la responsabilidad del desarrollador de validar seguridad y corrección.</w:t>
      </w:r>
    </w:p>
    <w:p>
      <w:pPr>
        <w:pStyle w:val="Heading1"/>
      </w:pPr>
      <w:r>
        <w:rPr>
          <w:color w:val="000000"/>
        </w:rPr>
        <w:t>5. Seguridad, Pruebas de Rendimiento y Despliegue con Docker</w:t>
      </w:r>
    </w:p>
    <w:p>
      <w:pPr>
        <w:pStyle w:val="Heading2"/>
      </w:pPr>
      <w:r>
        <w:rPr>
          <w:color w:val="000000"/>
        </w:rPr>
        <w:t>5.1 Auditoría OWASP</w:t>
      </w:r>
    </w:p>
    <w:p>
      <w:pPr>
        <w:spacing w:after="120"/>
        <w:jc w:val="both"/>
      </w:pPr>
      <w:r>
        <w:rPr>
          <w:b w:val="0"/>
          <w:sz w:val="24"/>
        </w:rPr>
        <w:t>• A01 Control de acceso: reglas por rol en SecurityConfig (solo ROLE_ADMIN/ROLE_COORDINADOR sobre conductores). Evidencia A01-acceso.txt.</w:t>
      </w:r>
    </w:p>
    <w:p>
      <w:pPr>
        <w:spacing w:after="120"/>
        <w:jc w:val="both"/>
      </w:pPr>
      <w:r>
        <w:rPr>
          <w:b w:val="0"/>
          <w:sz w:val="24"/>
        </w:rPr>
        <w:t>• A02 Fallo criptográfico: BCrypt, JWT HS256, cookie HttpOnly+Secure+SameSite=Strict, 7 claims RFC 7519. Evidencia A02-criptografia.txt.</w:t>
      </w:r>
    </w:p>
    <w:p>
      <w:pPr>
        <w:spacing w:after="120"/>
        <w:jc w:val="both"/>
      </w:pPr>
      <w:r>
        <w:rPr>
          <w:b w:val="0"/>
          <w:sz w:val="24"/>
        </w:rPr>
        <w:t>• A03 Inyección: validación @Valid (HTTP 422) y consultas JPA parametrizadas, sin concatenar entrada. Evidencia A03-inyeccion.txt.</w:t>
      </w:r>
    </w:p>
    <w:p>
      <w:pPr>
        <w:spacing w:after="120"/>
        <w:jc w:val="both"/>
      </w:pPr>
      <w:r>
        <w:rPr>
          <w:b w:val="0"/>
          <w:sz w:val="24"/>
        </w:rPr>
        <w:t>• A05 Malconfiguración: HSTS (1 año), X-Frame-Options: DENY, CSP default-src self, nosniff. Evidencia A05-headers.txt.</w:t>
      </w:r>
    </w:p>
    <w:p>
      <w:pPr>
        <w:spacing w:after="120"/>
        <w:jc w:val="both"/>
      </w:pPr>
      <w:r>
        <w:rPr>
          <w:b w:val="0"/>
          <w:sz w:val="24"/>
        </w:rPr>
        <w:t>• A07 Fallos de autenticación: rate limiter de 6 intentos/60 s en login, respuesta HTTP 429. Evidencia A07-rate-limit.txt.</w:t>
      </w:r>
    </w:p>
    <w:p>
      <w:pPr>
        <w:spacing w:after="120"/>
        <w:jc w:val="both"/>
      </w:pPr>
      <w:r>
        <w:rPr>
          <w:b w:val="0"/>
          <w:sz w:val="24"/>
        </w:rPr>
        <w:t>• A09 Monitoreo: logging estructurado del filtro JWT. Evidencia A09-logs.txt.</w:t>
      </w:r>
    </w:p>
    <w:p>
      <w:pPr>
        <w:spacing w:after="120"/>
        <w:jc w:val="both"/>
      </w:pPr>
      <w:r>
        <w:rPr>
          <w:b w:val="0"/>
          <w:sz w:val="24"/>
        </w:rPr>
        <w:t>• XSS: Content-Security-Policy (default-src self, script-src self) y sanitización automática de Angular.</w:t>
      </w:r>
    </w:p>
    <w:p>
      <w:pPr>
        <w:pStyle w:val="Heading2"/>
      </w:pPr>
      <w:r>
        <w:rPr>
          <w:color w:val="000000"/>
        </w:rPr>
        <w:t>5.2 Prueba de carga con k6 (Apache Bench)</w:t>
      </w:r>
    </w:p>
    <w:p>
      <w:pPr>
        <w:spacing w:after="120"/>
        <w:jc w:val="both"/>
      </w:pPr>
      <w:r>
        <w:rPr>
          <w:b w:val="0"/>
          <w:sz w:val="24"/>
        </w:rPr>
        <w:t>La metodología usó k6 (y se documentó ab: ab -n &lt;total&gt; -c &lt;concurrentes&gt; http://localhost:8080/api/conductores) con 50 usuarios virtuales concurrentes durante 30 s contra GET /api/conductores (protegido, caché caliente). Resultados de 3 corridas independientes: tiempo de respuesta medio 22,93 ms; p95 medio 81,43 ms; p99 medio 188,16 ms; throughput 49,64 req/s; tasa de error 0,00 %. Se cumplió el umbral p95 &lt; 200 ms declarado en k6/opts.js. Criterio: Cumplido.</w:t>
      </w:r>
    </w:p>
    <w:p>
      <w:pPr>
        <w:pStyle w:val="Heading2"/>
      </w:pPr>
      <w:r>
        <w:rPr>
          <w:color w:val="000000"/>
        </w:rPr>
        <w:t>5.3 Containerización con Docker Compose</w:t>
      </w:r>
    </w:p>
    <w:p>
      <w:pPr>
        <w:spacing w:after="120"/>
        <w:jc w:val="both"/>
      </w:pPr>
      <w:r>
        <w:rPr>
          <w:b w:val="0"/>
          <w:sz w:val="24"/>
        </w:rPr>
        <w:t>docker-compose.yml define tres servicios en la red bridge sgroas-network: postgres (postgres:18, puerto 5433:5432, volumen sgroas_postgres_data), redis (redis:7, puerto 6379) para caché y blacklist JWT, y backend (build del Dockerfile multi-etapa con temurin:21, puerto 8080:8080). Las variables de entorno (SPRING_DATASOURCE_URL, SPRING_DATA_REDIS_HOST, APP_JWT_SECRET, etc.) se inyectan externamente y nunca viven en el código fuente; solo existe .env.example como plantilla. El despliegue se verifica con docker compose up -d y docker compose ps.</w:t>
      </w:r>
    </w:p>
    <w:p>
      <w:pPr>
        <w:pStyle w:val="Heading2"/>
      </w:pPr>
      <w:r>
        <w:rPr>
          <w:color w:val="000000"/>
        </w:rPr>
        <w:t>5.4 Reflexión sobre el proceso de aprendizaje</w:t>
      </w:r>
    </w:p>
    <w:p>
      <w:pPr>
        <w:spacing w:after="120"/>
        <w:jc w:val="both"/>
      </w:pPr>
      <w:r>
        <w:rPr>
          <w:b w:val="0"/>
          <w:sz w:val="24"/>
        </w:rPr>
        <w:t>Tejada Bajaña Luis Alejandro: la lección más importante fue que la seguridad es una restricción transversal de diseño: JWT stateless con refresh token en Redis, rate limiting de 6 intentos/60 s y contramedidas A01/A03 debieron decidirse al inicio. El error más costoso fue asumir que la validación del frontend bastaba; el backend debe validar todo payload con Jakarta Validation y devolver ProblemDetails 422. En un futuro aplicaría security-by-design y los principios de Release It! (timeouts, reintentos y fallas parciales) al consumo de servicios externos desde la primera iteración.</w:t>
      </w:r>
    </w:p>
    <w:p>
      <w:pPr>
        <w:spacing w:after="120"/>
        <w:jc w:val="both"/>
      </w:pPr>
      <w:r>
        <w:rPr>
          <w:b w:val="0"/>
          <w:sz w:val="24"/>
        </w:rPr>
        <w:t>Alava Alvarado Jean Pierre: la evaluación cruzada mostró el valor del código documentado y de los ADR: al revisar un proyecto ajeno, los ADR y la colección Postman fueron la mejor puerta de entrada. El error más costoso en comunicación fue no mantener la versión del frontend documentada (README dice Angular 17 mientras package.json declara Angular 20), lo que genera fricción en el equipo. Priorizaría registrar la trazabilidad éxito-criterio desde el inicio y ejecutar las pruebas de carga con caché fría y caliente desde los primeros entregables.</w:t>
      </w:r>
    </w:p>
    <w:p>
      <w:pPr>
        <w:pStyle w:val="Heading1"/>
      </w:pPr>
      <w:r>
        <w:rPr>
          <w:color w:val="000000"/>
        </w:rPr>
        <w:t>6. Conclusiones</w:t>
      </w:r>
    </w:p>
    <w:p>
      <w:pPr>
        <w:spacing w:after="120"/>
        <w:jc w:val="both"/>
      </w:pPr>
      <w:r>
        <w:rPr>
          <w:b w:val="0"/>
          <w:sz w:val="24"/>
        </w:rPr>
        <w:t>El PFC SGROAS cumple satisfactoriamente los criterios de la Unidad IV: implementa MVC con Spring Boot 3.5, expone una API REST con un grado alto de cumplimiento de los principios de Fielding, protege el acceso con JWT stateless (1 hora, refresh 7 días, blacklist en Redis), documenta la API con OpenAPI 2.8.6 y cuenta con 150 pruebas JUnit 5 (cobertura de líneas 99,7 % y ramas 85,4 %). La prueba de carga arrojó p95 de 81,43 ms con 0 % de errores y la auditoría OWASP evidencia contramedidas verificables. El despliegue con Docker Compose reproduce PostgreSQL, Redis y backend en una sola red. Como trabajo futuro se plantea integrar formalmente una API externa con WebClient y mejorar el frontend para la defensa.</w:t>
      </w:r>
    </w:p>
    <w:p>
      <w:pPr>
        <w:pStyle w:val="Heading1"/>
      </w:pPr>
      <w:r>
        <w:rPr>
          <w:color w:val="000000"/>
        </w:rPr>
        <w:t>Anexo C — Preguntas de Análisis</w:t>
      </w:r>
    </w:p>
    <w:p>
      <w:pPr>
        <w:pStyle w:val="Heading2"/>
      </w:pPr>
      <w:r>
        <w:rPr>
          <w:color w:val="000000"/>
        </w:rPr>
        <w:t>C.1 [Evaluación / Bloom 6] — La decisión técnica más difícil</w:t>
      </w:r>
    </w:p>
    <w:p>
      <w:pPr>
        <w:spacing w:after="120"/>
        <w:jc w:val="both"/>
      </w:pPr>
      <w:r>
        <w:rPr>
          <w:b w:val="0"/>
          <w:sz w:val="24"/>
        </w:rPr>
        <w:t>La decisión más difícil fue elegir entre monolito y microservicios (ADR-001). Se consideraron microservicios con Spring Cloud para aislar módulos, pero se descartaron por la complejidad de transacciones distribuidas y porque el equipo es pequeño y el dominio no exige escalamiento independiente por módulo. Se eligió el monolito modular. Con el conocimiento actual se tomaría la misma decisión: permitió alcanzar una cobertura de líneas del 99,7 % y simplificó pruebas y despliegue. La migración a microservicios solo sería necesaria si el sistema exigiera escalar a decenas de miles de usuarios o despliegues autónomos por equipo.</w:t>
      </w:r>
    </w:p>
    <w:p>
      <w:pPr>
        <w:pStyle w:val="Heading2"/>
      </w:pPr>
      <w:r>
        <w:rPr>
          <w:color w:val="000000"/>
        </w:rPr>
        <w:t>C.2 [Síntesis / Bloom 5] — Escalado a 500 usuarios concurrentes</w:t>
      </w:r>
    </w:p>
    <w:p>
      <w:pPr>
        <w:spacing w:after="120"/>
        <w:jc w:val="both"/>
      </w:pPr>
      <w:r>
        <w:rPr>
          <w:b w:val="0"/>
          <w:sz w:val="24"/>
        </w:rPr>
        <w:t>La prueba mostró 49,64 req/s con 0 % de error bajo 50 VUs. Para soportar 500 usuarios concurrentes con 0 % de error serían necesarios: (1) Infraestructura: réplicas del backend tras un balanceador nginx y, como la autenticación es JWT stateless, escalar horizontalmente sin sticky sessions; (2) Caché: amplificar @Cacheable con TTL por dominio y añadir CDN para respuestas públicas; (3) Código: ajustar el connection pool de HikariCP, timeouts, reintentos con backoff exponencial y una cola (RabbitMQ) para reportes asíncronos. La arquitectura escalada añade el nivel Load Balancer, N instancias de backend, PostgreSQL (Primary/Replica) y Redis cluster, y el k6 verificaría el SLO con vus=500 y umbrales p(99)&lt;300 ms y http_req_failed&lt;0.01.</w:t>
      </w:r>
    </w:p>
    <w:p>
      <w:pPr>
        <w:pStyle w:val="Heading2"/>
      </w:pPr>
      <w:r>
        <w:rPr>
          <w:color w:val="000000"/>
        </w:rPr>
        <w:t>C.3 [Análisis / Bloom 4] — Principios REST cumplidos en SGROAS</w:t>
      </w:r>
    </w:p>
    <w:p>
      <w:pPr>
        <w:spacing w:after="120"/>
        <w:jc w:val="both"/>
      </w:pPr>
      <w:r>
        <w:rPr>
          <w:b w:val="0"/>
          <w:sz w:val="24"/>
        </w:rPr>
        <w:t>Cumple completamente Client-Server, Stateless (JWT sin sesiones), Uniform Interface y Cacheable a nivel de servidor. Cumple parcialmente Layered System (no hay nginx/proxy delante del backend en el despliegue base) y Cacheable a nivel de cliente (control de caché en respuestas autenticadas). No cumple Code-On-Demand, que es opcional. El costo de no cumplir Layered System plenamente es menor en el contexto académico: al ser un monolito en el puerto 8080 con HSTS, CORS restringido y cabeceras de seguridad, el riesgo real aparece en producción, donde un proxy aportaría terminación TLS, compresión y rate limiting en el borde.</w:t>
      </w:r>
    </w:p>
    <w:p>
      <w:pPr>
        <w:pStyle w:val="Heading2"/>
      </w:pPr>
      <w:r>
        <w:rPr>
          <w:color w:val="000000"/>
        </w:rPr>
        <w:t>C.4 [Evaluación / Bloom 6] — Comparación con un sistema de producción real</w:t>
      </w:r>
    </w:p>
    <w:p>
      <w:pPr>
        <w:spacing w:after="120"/>
        <w:jc w:val="both"/>
      </w:pPr>
      <w:r>
        <w:rPr>
          <w:b w:val="0"/>
          <w:sz w:val="24"/>
        </w:rPr>
        <w:t>Según ISO/IEC 25010:2023, SGROAS cubre funcionalidad (CRUD de 6 entidades más autenticación), rendimiento (p95 81,43 ms bajo 50 VUs), seguridad (OWASP A01-A07, JWT con refresh, BCrypt), fiabilidad (0 % de errores, RPO 24 h / RTO 4 h) y mantenibilidad (99,7 % cobertura, ADR, OpenAPI). Para ser comercialmente viable requeriría: MFA y gestión de accesos; health checks y monitorización con métricas /actuator/prometheus y alertas; usabilidad a escala (etapas SUS más allá de 63 puntos); interoperabilidad con facturación electrónica del SRI, pagos y mapas; y recuperación ante desastres con PostgreSQL streaming replication y backups automáticos validados. Estimación: 4 a 6 meses con un equipo de 3 desarrolladores, priorizando monitorización, integración con el SRI y el frontend móvil responsive.</w:t>
      </w:r>
    </w:p>
    <w:p>
      <w:pPr>
        <w:pStyle w:val="Heading1"/>
      </w:pPr>
      <w:r>
        <w:rPr>
          <w:color w:val="000000"/>
        </w:rPr>
        <w:t>Referencias</w:t>
      </w:r>
    </w:p>
    <w:p>
      <w:pPr>
        <w:spacing w:after="120"/>
      </w:pPr>
      <w:r>
        <w:rPr>
          <w:b w:val="0"/>
          <w:sz w:val="22"/>
        </w:rPr>
        <w:t>[1] R. T. Fielding, "Architectural Styles and the Design of Network-Based Software Architectures," Ph.D. dissertation, Univ. of California, Irvine, 2000.</w:t>
      </w:r>
    </w:p>
    <w:p>
      <w:pPr>
        <w:spacing w:after="120"/>
      </w:pPr>
      <w:r>
        <w:rPr>
          <w:b w:val="0"/>
          <w:sz w:val="22"/>
        </w:rPr>
        <w:t>[2] L. Richardson and S. Ruby, RESTful Web Services. Sebastopol, CA, USA: O'Reilly Media, 2007, ISBN: 978-0-596-52926-0.</w:t>
      </w:r>
    </w:p>
    <w:p>
      <w:pPr>
        <w:spacing w:after="120"/>
      </w:pPr>
      <w:r>
        <w:rPr>
          <w:b w:val="0"/>
          <w:sz w:val="22"/>
        </w:rPr>
        <w:t>[3] M. Fowler, Patterns of Enterprise Application Architecture. Addison-Wesley, 2002, ISBN: 978-0-321-12521-7.</w:t>
      </w:r>
    </w:p>
    <w:p>
      <w:pPr>
        <w:spacing w:after="120"/>
      </w:pPr>
      <w:r>
        <w:rPr>
          <w:b w:val="0"/>
          <w:sz w:val="22"/>
        </w:rPr>
        <w:t>[4] T. Reenskaug, "MVC XEROX PARC 1978-79," 1979.</w:t>
      </w:r>
    </w:p>
    <w:p>
      <w:pPr>
        <w:spacing w:after="120"/>
      </w:pPr>
      <w:r>
        <w:rPr>
          <w:b w:val="0"/>
          <w:sz w:val="22"/>
        </w:rPr>
        <w:t>[5] M. Jones, J. Bradley, and N. Sakimura, "JSON Web Token (JWT)," RFC 7519, IETF, May 2015.</w:t>
      </w:r>
    </w:p>
    <w:p>
      <w:pPr>
        <w:spacing w:after="120"/>
      </w:pPr>
      <w:r>
        <w:rPr>
          <w:b w:val="0"/>
          <w:sz w:val="22"/>
        </w:rPr>
        <w:t>[6] OWASP Foundation, "OWASP Top 10:2021," 2021.</w:t>
      </w:r>
    </w:p>
    <w:p>
      <w:pPr>
        <w:spacing w:after="120"/>
      </w:pPr>
      <w:r>
        <w:rPr>
          <w:b w:val="0"/>
          <w:sz w:val="22"/>
        </w:rPr>
        <w:t>[7] M. T. Nygard, Release It!: Design and Deploy Production-Ready Software, 2nd ed. Pragmatic Bookshelf, 2018, ISBN: 978-1-68050-239-8.</w:t>
      </w:r>
    </w:p>
    <w:p>
      <w:pPr>
        <w:spacing w:after="120"/>
      </w:pPr>
      <w:r>
        <w:rPr>
          <w:b w:val="0"/>
          <w:sz w:val="22"/>
        </w:rPr>
        <w:t>[8] H. Washizaki, Ed., Guide to the Software Engineering Body of Knowledge (SWEBOK) Version 4.0. IEEE Computer Society, 2024.</w:t>
      </w:r>
    </w:p>
    <w:p>
      <w:pPr>
        <w:spacing w:after="120"/>
      </w:pPr>
      <w:r>
        <w:rPr>
          <w:b w:val="0"/>
          <w:sz w:val="22"/>
        </w:rPr>
        <w:t>[9] TechEmpower, "TechEmpower Web Framework Benchmarks, Round 22," 2025.</w:t>
      </w:r>
    </w:p>
    <w:p>
      <w:pPr>
        <w:spacing w:after="120"/>
      </w:pPr>
      <w:r>
        <w:rPr>
          <w:b w:val="0"/>
          <w:sz w:val="22"/>
        </w:rPr>
        <w:t>[10] ISO/IEC, "ISO/IEC 25010:2023 Systems and software quality requirements and evaluation (SQuaRE) - Product quality model," ISO, 2023.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