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plan-de-negocio"/>
    <w:p>
      <w:pPr>
        <w:pStyle w:val="Heading1"/>
      </w:pPr>
      <w:r>
        <w:t xml:space="preserve">PLAN DE NEGOCIO</w:t>
      </w:r>
    </w:p>
    <w:bookmarkStart w:id="20" w:name="Xf4cb636c21146046e2f349cfe5a5aa2105c36b7"/>
    <w:p>
      <w:pPr>
        <w:pStyle w:val="Heading2"/>
      </w:pPr>
      <w:r>
        <w:t xml:space="preserve">Consultoría Financiera para Acceso a Capital de Expansión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La empresa propone un modelo de consultoría financiera especializada orientada a pequeñas y medianas empresas (MiPyMes) que requieren acceso a capital para expansión. El enfoque se centra en tres sectores estratégicos: manufactura, agricultura y minería.</w:t>
      </w:r>
    </w:p>
    <w:p>
      <w:pPr>
        <w:pStyle w:val="BodyText"/>
      </w:pPr>
      <w:r>
        <w:t xml:space="preserve">El modelo combina servicios de consultoría estratégica, herramientas digitales (plataforma SaaS) y acceso a redes de financiamiento (bancos, fondos e inversionistas privados).</w:t>
      </w:r>
    </w:p>
    <w:p>
      <w:pPr>
        <w:pStyle w:val="BodyText"/>
      </w:pPr>
      <w:r>
        <w:t xml:space="preserve">El objetivo principal es transformar empresas no financiables en sujetos de crédito mediante la estructuración financiera adecuada.</w:t>
      </w:r>
    </w:p>
    <w:p>
      <w:r>
        <w:pict>
          <v:rect style="width:0;height:1.5pt" o:hralign="center" o:hrstd="t" o:hr="t"/>
        </w:pict>
      </w:r>
    </w:p>
    <w:bookmarkEnd w:id="21"/>
    <w:bookmarkStart w:id="26" w:name="descripción-de-la-empresa"/>
    <w:p>
      <w:pPr>
        <w:pStyle w:val="Heading2"/>
      </w:pPr>
      <w:r>
        <w:t xml:space="preserve">2. DESCRIPCIÓN DE LA EMPRESA</w:t>
      </w:r>
    </w:p>
    <w:bookmarkStart w:id="22" w:name="naturaleza-del-negocio"/>
    <w:p>
      <w:pPr>
        <w:pStyle w:val="Heading3"/>
      </w:pPr>
      <w:r>
        <w:t xml:space="preserve">2.1 Naturaleza del negocio</w:t>
      </w:r>
    </w:p>
    <w:p>
      <w:pPr>
        <w:pStyle w:val="FirstParagraph"/>
      </w:pPr>
      <w:r>
        <w:t xml:space="preserve">Empresa de servicios profesionales y tecnológicos que ofrece asesoría financiera integral.</w:t>
      </w:r>
    </w:p>
    <w:bookmarkEnd w:id="22"/>
    <w:bookmarkStart w:id="23" w:name="misión"/>
    <w:p>
      <w:pPr>
        <w:pStyle w:val="Heading3"/>
      </w:pPr>
      <w:r>
        <w:t xml:space="preserve">2.2 Misión</w:t>
      </w:r>
    </w:p>
    <w:p>
      <w:pPr>
        <w:pStyle w:val="FirstParagraph"/>
      </w:pPr>
      <w:r>
        <w:t xml:space="preserve">Impulsar el crecimiento de las MiPyMes mediante soluciones financieras estructuradas y acceso efectivo a capital.</w:t>
      </w:r>
    </w:p>
    <w:bookmarkEnd w:id="23"/>
    <w:bookmarkStart w:id="24" w:name="visión"/>
    <w:p>
      <w:pPr>
        <w:pStyle w:val="Heading3"/>
      </w:pPr>
      <w:r>
        <w:t xml:space="preserve">2.3 Visión</w:t>
      </w:r>
    </w:p>
    <w:p>
      <w:pPr>
        <w:pStyle w:val="FirstParagraph"/>
      </w:pPr>
      <w:r>
        <w:t xml:space="preserve">Ser la firma líder en estructuración financiera para MiPyMes en Latinoamérica.</w:t>
      </w:r>
    </w:p>
    <w:bookmarkEnd w:id="24"/>
    <w:bookmarkStart w:id="25" w:name="propuesta-de-valor"/>
    <w:p>
      <w:pPr>
        <w:pStyle w:val="Heading3"/>
      </w:pPr>
      <w:r>
        <w:t xml:space="preserve">2.4 Propuesta de valor</w:t>
      </w:r>
    </w:p>
    <w:p>
      <w:pPr>
        <w:pStyle w:val="FirstParagraph"/>
      </w:pPr>
      <w:r>
        <w:t xml:space="preserve">Convertimos empresas con limitaciones financieras en organizaciones preparadas para acceder a financiamiento y escalar operaciones.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nálisis-del-mercado"/>
    <w:p>
      <w:pPr>
        <w:pStyle w:val="Heading2"/>
      </w:pPr>
      <w:r>
        <w:t xml:space="preserve">3. ANÁLISIS DEL MERCADO</w:t>
      </w:r>
    </w:p>
    <w:bookmarkStart w:id="27" w:name="segmento-objetivo"/>
    <w:p>
      <w:pPr>
        <w:pStyle w:val="Heading3"/>
      </w:pPr>
      <w:r>
        <w:t xml:space="preserve">3.1 Segmento objetivo</w:t>
      </w:r>
    </w:p>
    <w:p>
      <w:pPr>
        <w:pStyle w:val="Compact"/>
        <w:numPr>
          <w:ilvl w:val="0"/>
          <w:numId w:val="1001"/>
        </w:numPr>
      </w:pPr>
      <w:r>
        <w:t xml:space="preserve">MiPyMes en crecimiento</w:t>
      </w:r>
    </w:p>
    <w:p>
      <w:pPr>
        <w:pStyle w:val="Compact"/>
        <w:numPr>
          <w:ilvl w:val="0"/>
          <w:numId w:val="1001"/>
        </w:numPr>
      </w:pPr>
      <w:r>
        <w:t xml:space="preserve">Empresas con necesidades de capital de expansión</w:t>
      </w:r>
    </w:p>
    <w:p>
      <w:pPr>
        <w:pStyle w:val="Compact"/>
        <w:numPr>
          <w:ilvl w:val="0"/>
          <w:numId w:val="1001"/>
        </w:numPr>
      </w:pPr>
      <w:r>
        <w:t xml:space="preserve">Negocios con acceso limitado al sistema financiero</w:t>
      </w:r>
    </w:p>
    <w:bookmarkEnd w:id="27"/>
    <w:bookmarkStart w:id="28" w:name="problemas-del-mercado"/>
    <w:p>
      <w:pPr>
        <w:pStyle w:val="Heading3"/>
      </w:pPr>
      <w:r>
        <w:t xml:space="preserve">3.2 Problemas del mercado</w:t>
      </w:r>
    </w:p>
    <w:p>
      <w:pPr>
        <w:pStyle w:val="Compact"/>
        <w:numPr>
          <w:ilvl w:val="0"/>
          <w:numId w:val="1002"/>
        </w:numPr>
      </w:pPr>
      <w:r>
        <w:t xml:space="preserve">Baja educación financiera</w:t>
      </w:r>
    </w:p>
    <w:p>
      <w:pPr>
        <w:pStyle w:val="Compact"/>
        <w:numPr>
          <w:ilvl w:val="0"/>
          <w:numId w:val="1002"/>
        </w:numPr>
      </w:pPr>
      <w:r>
        <w:t xml:space="preserve">Falta de información estructurada</w:t>
      </w:r>
    </w:p>
    <w:p>
      <w:pPr>
        <w:pStyle w:val="Compact"/>
        <w:numPr>
          <w:ilvl w:val="0"/>
          <w:numId w:val="1002"/>
        </w:numPr>
      </w:pPr>
      <w:r>
        <w:t xml:space="preserve">Limitado acceso a crédito</w:t>
      </w:r>
    </w:p>
    <w:p>
      <w:pPr>
        <w:pStyle w:val="Compact"/>
        <w:numPr>
          <w:ilvl w:val="0"/>
          <w:numId w:val="1002"/>
        </w:numPr>
      </w:pPr>
      <w:r>
        <w:t xml:space="preserve">Desconfianza en servicios externos</w:t>
      </w:r>
    </w:p>
    <w:bookmarkEnd w:id="28"/>
    <w:bookmarkStart w:id="29" w:name="oportunidad"/>
    <w:p>
      <w:pPr>
        <w:pStyle w:val="Heading3"/>
      </w:pPr>
      <w:r>
        <w:t xml:space="preserve">3.3 Oportunidad</w:t>
      </w:r>
    </w:p>
    <w:p>
      <w:pPr>
        <w:pStyle w:val="FirstParagraph"/>
      </w:pPr>
      <w:r>
        <w:t xml:space="preserve">Alta demanda de financiamiento no cubierta por el sistema financiero tradicional.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ervicios-ofrecidos"/>
    <w:p>
      <w:pPr>
        <w:pStyle w:val="Heading2"/>
      </w:pPr>
      <w:r>
        <w:t xml:space="preserve">4. SERVICIOS OFRECIDOS</w:t>
      </w:r>
    </w:p>
    <w:bookmarkStart w:id="31" w:name="consultoría-financiera"/>
    <w:p>
      <w:pPr>
        <w:pStyle w:val="Heading3"/>
      </w:pPr>
      <w:r>
        <w:t xml:space="preserve">4.1 Consultoría financiera</w:t>
      </w:r>
    </w:p>
    <w:p>
      <w:pPr>
        <w:pStyle w:val="Compact"/>
        <w:numPr>
          <w:ilvl w:val="0"/>
          <w:numId w:val="1003"/>
        </w:numPr>
      </w:pPr>
      <w:r>
        <w:t xml:space="preserve">Diagnóstico financiero</w:t>
      </w:r>
    </w:p>
    <w:p>
      <w:pPr>
        <w:pStyle w:val="Compact"/>
        <w:numPr>
          <w:ilvl w:val="0"/>
          <w:numId w:val="1003"/>
        </w:numPr>
      </w:pPr>
      <w:r>
        <w:t xml:space="preserve">Modelación financiera</w:t>
      </w:r>
    </w:p>
    <w:p>
      <w:pPr>
        <w:pStyle w:val="Compact"/>
        <w:numPr>
          <w:ilvl w:val="0"/>
          <w:numId w:val="1003"/>
        </w:numPr>
      </w:pPr>
      <w:r>
        <w:t xml:space="preserve">Reestructuración de deuda</w:t>
      </w:r>
    </w:p>
    <w:bookmarkEnd w:id="31"/>
    <w:bookmarkStart w:id="32" w:name="estructuración-para-financiamiento"/>
    <w:p>
      <w:pPr>
        <w:pStyle w:val="Heading3"/>
      </w:pPr>
      <w:r>
        <w:t xml:space="preserve">4.2 Estructuración para financiamiento</w:t>
      </w:r>
    </w:p>
    <w:p>
      <w:pPr>
        <w:pStyle w:val="Compact"/>
        <w:numPr>
          <w:ilvl w:val="0"/>
          <w:numId w:val="1004"/>
        </w:numPr>
      </w:pPr>
      <w:r>
        <w:t xml:space="preserve">Preparación de expedientes</w:t>
      </w:r>
    </w:p>
    <w:p>
      <w:pPr>
        <w:pStyle w:val="Compact"/>
        <w:numPr>
          <w:ilvl w:val="0"/>
          <w:numId w:val="1004"/>
        </w:numPr>
      </w:pPr>
      <w:r>
        <w:t xml:space="preserve">Valoración empresarial</w:t>
      </w:r>
    </w:p>
    <w:p>
      <w:pPr>
        <w:pStyle w:val="Compact"/>
        <w:numPr>
          <w:ilvl w:val="0"/>
          <w:numId w:val="1004"/>
        </w:numPr>
      </w:pPr>
      <w:r>
        <w:t xml:space="preserve">Estrategias de levantamiento de capital</w:t>
      </w:r>
    </w:p>
    <w:bookmarkEnd w:id="32"/>
    <w:bookmarkStart w:id="33" w:name="plataforma-digital-saas"/>
    <w:p>
      <w:pPr>
        <w:pStyle w:val="Heading3"/>
      </w:pPr>
      <w:r>
        <w:t xml:space="preserve">4.3 Plataforma digital (SaaS)</w:t>
      </w:r>
    </w:p>
    <w:p>
      <w:pPr>
        <w:pStyle w:val="Compact"/>
        <w:numPr>
          <w:ilvl w:val="0"/>
          <w:numId w:val="1005"/>
        </w:numPr>
      </w:pPr>
      <w:r>
        <w:t xml:space="preserve">Gestión de flujo de caja</w:t>
      </w:r>
    </w:p>
    <w:p>
      <w:pPr>
        <w:pStyle w:val="Compact"/>
        <w:numPr>
          <w:ilvl w:val="0"/>
          <w:numId w:val="1005"/>
        </w:numPr>
      </w:pPr>
      <w:r>
        <w:t xml:space="preserve">Presupuestos</w:t>
      </w:r>
    </w:p>
    <w:p>
      <w:pPr>
        <w:pStyle w:val="Compact"/>
        <w:numPr>
          <w:ilvl w:val="0"/>
          <w:numId w:val="1005"/>
        </w:numPr>
      </w:pPr>
      <w:r>
        <w:t xml:space="preserve">Reportes financieros</w:t>
      </w:r>
    </w:p>
    <w:bookmarkEnd w:id="33"/>
    <w:bookmarkStart w:id="34" w:name="intermediación-financiera"/>
    <w:p>
      <w:pPr>
        <w:pStyle w:val="Heading3"/>
      </w:pPr>
      <w:r>
        <w:t xml:space="preserve">4.4 Intermediación financiera</w:t>
      </w:r>
    </w:p>
    <w:p>
      <w:pPr>
        <w:pStyle w:val="Compact"/>
        <w:numPr>
          <w:ilvl w:val="0"/>
          <w:numId w:val="1006"/>
        </w:numPr>
      </w:pPr>
      <w:r>
        <w:t xml:space="preserve">Conexión con bancos</w:t>
      </w:r>
    </w:p>
    <w:p>
      <w:pPr>
        <w:pStyle w:val="Compact"/>
        <w:numPr>
          <w:ilvl w:val="0"/>
          <w:numId w:val="1006"/>
        </w:numPr>
      </w:pPr>
      <w:r>
        <w:t xml:space="preserve">Acceso a inversionistas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odelo-de-negocio"/>
    <w:p>
      <w:pPr>
        <w:pStyle w:val="Heading2"/>
      </w:pPr>
      <w:r>
        <w:t xml:space="preserve">5. MODELO DE NEGOCIO</w:t>
      </w:r>
    </w:p>
    <w:bookmarkStart w:id="36" w:name="fuentes-de-ingreso"/>
    <w:p>
      <w:pPr>
        <w:pStyle w:val="Heading3"/>
      </w:pPr>
      <w:r>
        <w:t xml:space="preserve">5.1 Fuentes de ingreso</w:t>
      </w:r>
    </w:p>
    <w:p>
      <w:pPr>
        <w:pStyle w:val="Compact"/>
        <w:numPr>
          <w:ilvl w:val="0"/>
          <w:numId w:val="1007"/>
        </w:numPr>
      </w:pPr>
      <w:r>
        <w:t xml:space="preserve">Honorarios por consultoría</w:t>
      </w:r>
    </w:p>
    <w:p>
      <w:pPr>
        <w:pStyle w:val="Compact"/>
        <w:numPr>
          <w:ilvl w:val="0"/>
          <w:numId w:val="1007"/>
        </w:numPr>
      </w:pPr>
      <w:r>
        <w:t xml:space="preserve">Comisiones por financiamiento (success fee)</w:t>
      </w:r>
    </w:p>
    <w:p>
      <w:pPr>
        <w:pStyle w:val="Compact"/>
        <w:numPr>
          <w:ilvl w:val="0"/>
          <w:numId w:val="1007"/>
        </w:numPr>
      </w:pPr>
      <w:r>
        <w:t xml:space="preserve">Suscripciones mensuales</w:t>
      </w:r>
    </w:p>
    <w:p>
      <w:pPr>
        <w:pStyle w:val="Compact"/>
        <w:numPr>
          <w:ilvl w:val="0"/>
          <w:numId w:val="1007"/>
        </w:numPr>
      </w:pPr>
      <w:r>
        <w:t xml:space="preserve">Servicios especializados</w:t>
      </w:r>
    </w:p>
    <w:bookmarkEnd w:id="36"/>
    <w:bookmarkStart w:id="37" w:name="estructura-de-costos"/>
    <w:p>
      <w:pPr>
        <w:pStyle w:val="Heading3"/>
      </w:pPr>
      <w:r>
        <w:t xml:space="preserve">5.2 Estructura de costos</w:t>
      </w:r>
    </w:p>
    <w:p>
      <w:pPr>
        <w:pStyle w:val="Compact"/>
        <w:numPr>
          <w:ilvl w:val="0"/>
          <w:numId w:val="1008"/>
        </w:numPr>
      </w:pPr>
      <w:r>
        <w:t xml:space="preserve">Personal especializado</w:t>
      </w:r>
    </w:p>
    <w:p>
      <w:pPr>
        <w:pStyle w:val="Compact"/>
        <w:numPr>
          <w:ilvl w:val="0"/>
          <w:numId w:val="1008"/>
        </w:numPr>
      </w:pPr>
      <w:r>
        <w:t xml:space="preserve">Desarrollo tecnológico</w:t>
      </w:r>
    </w:p>
    <w:p>
      <w:pPr>
        <w:pStyle w:val="Compact"/>
        <w:numPr>
          <w:ilvl w:val="0"/>
          <w:numId w:val="1008"/>
        </w:numPr>
      </w:pPr>
      <w:r>
        <w:t xml:space="preserve">Marketing y ventas</w:t>
      </w:r>
    </w:p>
    <w:p>
      <w:pPr>
        <w:pStyle w:val="Compact"/>
        <w:numPr>
          <w:ilvl w:val="0"/>
          <w:numId w:val="1008"/>
        </w:numPr>
      </w:pPr>
      <w:r>
        <w:t xml:space="preserve">Operaciones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lanes-de-suscripción"/>
    <w:p>
      <w:pPr>
        <w:pStyle w:val="Heading2"/>
      </w:pPr>
      <w:r>
        <w:t xml:space="preserve">6. PLANES DE SUSCRIPCIÓN</w:t>
      </w:r>
    </w:p>
    <w:bookmarkStart w:id="39" w:name="plan-básico"/>
    <w:p>
      <w:pPr>
        <w:pStyle w:val="Heading3"/>
      </w:pPr>
      <w:r>
        <w:t xml:space="preserve">Plan Básico</w:t>
      </w:r>
    </w:p>
    <w:p>
      <w:pPr>
        <w:pStyle w:val="Compact"/>
        <w:numPr>
          <w:ilvl w:val="0"/>
          <w:numId w:val="1009"/>
        </w:numPr>
      </w:pPr>
      <w:r>
        <w:t xml:space="preserve">Dashboard financiero</w:t>
      </w:r>
    </w:p>
    <w:p>
      <w:pPr>
        <w:pStyle w:val="Compact"/>
        <w:numPr>
          <w:ilvl w:val="0"/>
          <w:numId w:val="1009"/>
        </w:numPr>
      </w:pPr>
      <w:r>
        <w:t xml:space="preserve">Control de flujo de caja</w:t>
      </w:r>
    </w:p>
    <w:bookmarkEnd w:id="39"/>
    <w:bookmarkStart w:id="40" w:name="plan-profesional"/>
    <w:p>
      <w:pPr>
        <w:pStyle w:val="Heading3"/>
      </w:pPr>
      <w:r>
        <w:t xml:space="preserve">Plan Profesional</w:t>
      </w:r>
    </w:p>
    <w:p>
      <w:pPr>
        <w:pStyle w:val="Compact"/>
        <w:numPr>
          <w:ilvl w:val="0"/>
          <w:numId w:val="1010"/>
        </w:numPr>
      </w:pPr>
      <w:r>
        <w:t xml:space="preserve">Asesor asignado</w:t>
      </w:r>
    </w:p>
    <w:p>
      <w:pPr>
        <w:pStyle w:val="Compact"/>
        <w:numPr>
          <w:ilvl w:val="0"/>
          <w:numId w:val="1010"/>
        </w:numPr>
      </w:pPr>
      <w:r>
        <w:t xml:space="preserve">Reportes mensuales</w:t>
      </w:r>
    </w:p>
    <w:bookmarkEnd w:id="40"/>
    <w:bookmarkStart w:id="41" w:name="plan-premium"/>
    <w:p>
      <w:pPr>
        <w:pStyle w:val="Heading3"/>
      </w:pPr>
      <w:r>
        <w:t xml:space="preserve">Plan Premium</w:t>
      </w:r>
    </w:p>
    <w:p>
      <w:pPr>
        <w:pStyle w:val="Compact"/>
        <w:numPr>
          <w:ilvl w:val="0"/>
          <w:numId w:val="1011"/>
        </w:numPr>
      </w:pPr>
      <w:r>
        <w:t xml:space="preserve">Estructuración completa</w:t>
      </w:r>
    </w:p>
    <w:p>
      <w:pPr>
        <w:pStyle w:val="Compact"/>
        <w:numPr>
          <w:ilvl w:val="0"/>
          <w:numId w:val="1011"/>
        </w:numPr>
      </w:pPr>
      <w:r>
        <w:t xml:space="preserve">Acceso a financiamiento</w:t>
      </w:r>
    </w:p>
    <w:bookmarkEnd w:id="41"/>
    <w:bookmarkStart w:id="42" w:name="plan-enterprise"/>
    <w:p>
      <w:pPr>
        <w:pStyle w:val="Heading3"/>
      </w:pPr>
      <w:r>
        <w:t xml:space="preserve">Plan Enterprise</w:t>
      </w:r>
    </w:p>
    <w:p>
      <w:pPr>
        <w:pStyle w:val="Compact"/>
        <w:numPr>
          <w:ilvl w:val="0"/>
          <w:numId w:val="1012"/>
        </w:numPr>
      </w:pPr>
      <w:r>
        <w:t xml:space="preserve">Soluciones sectoriales avanzadas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lan-de-implementación"/>
    <w:p>
      <w:pPr>
        <w:pStyle w:val="Heading2"/>
      </w:pPr>
      <w:r>
        <w:t xml:space="preserve">7. PLAN DE IMPLEMENTACIÓN</w:t>
      </w:r>
    </w:p>
    <w:bookmarkStart w:id="44" w:name="fase-1-preparación"/>
    <w:p>
      <w:pPr>
        <w:pStyle w:val="Heading3"/>
      </w:pPr>
      <w:r>
        <w:t xml:space="preserve">Fase 1: Preparación</w:t>
      </w:r>
    </w:p>
    <w:p>
      <w:pPr>
        <w:pStyle w:val="Compact"/>
        <w:numPr>
          <w:ilvl w:val="0"/>
          <w:numId w:val="1013"/>
        </w:numPr>
      </w:pPr>
      <w:r>
        <w:t xml:space="preserve">Constitución legal</w:t>
      </w:r>
    </w:p>
    <w:p>
      <w:pPr>
        <w:pStyle w:val="Compact"/>
        <w:numPr>
          <w:ilvl w:val="0"/>
          <w:numId w:val="1013"/>
        </w:numPr>
      </w:pPr>
      <w:r>
        <w:t xml:space="preserve">Desarrollo de plataforma</w:t>
      </w:r>
    </w:p>
    <w:bookmarkEnd w:id="44"/>
    <w:bookmarkStart w:id="45" w:name="fase-2-lanzamiento"/>
    <w:p>
      <w:pPr>
        <w:pStyle w:val="Heading3"/>
      </w:pPr>
      <w:r>
        <w:t xml:space="preserve">Fase 2: Lanzamiento</w:t>
      </w:r>
    </w:p>
    <w:p>
      <w:pPr>
        <w:pStyle w:val="Compact"/>
        <w:numPr>
          <w:ilvl w:val="0"/>
          <w:numId w:val="1014"/>
        </w:numPr>
      </w:pPr>
      <w:r>
        <w:t xml:space="preserve">Marketing</w:t>
      </w:r>
    </w:p>
    <w:p>
      <w:pPr>
        <w:pStyle w:val="Compact"/>
        <w:numPr>
          <w:ilvl w:val="0"/>
          <w:numId w:val="1014"/>
        </w:numPr>
      </w:pPr>
      <w:r>
        <w:t xml:space="preserve">Captación de clientes</w:t>
      </w:r>
    </w:p>
    <w:bookmarkEnd w:id="45"/>
    <w:bookmarkStart w:id="46" w:name="fase-3-operación"/>
    <w:p>
      <w:pPr>
        <w:pStyle w:val="Heading3"/>
      </w:pPr>
      <w:r>
        <w:t xml:space="preserve">Fase 3: Operación</w:t>
      </w:r>
    </w:p>
    <w:p>
      <w:pPr>
        <w:pStyle w:val="Compact"/>
        <w:numPr>
          <w:ilvl w:val="0"/>
          <w:numId w:val="1015"/>
        </w:numPr>
      </w:pPr>
      <w:r>
        <w:t xml:space="preserve">Ejecución de servicios</w:t>
      </w:r>
    </w:p>
    <w:p>
      <w:pPr>
        <w:pStyle w:val="Compact"/>
        <w:numPr>
          <w:ilvl w:val="0"/>
          <w:numId w:val="1015"/>
        </w:numPr>
      </w:pPr>
      <w:r>
        <w:t xml:space="preserve">Mejora continua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operaciones"/>
    <w:p>
      <w:pPr>
        <w:pStyle w:val="Heading2"/>
      </w:pPr>
      <w:r>
        <w:t xml:space="preserve">8. OPERACIONES</w:t>
      </w:r>
    </w:p>
    <w:bookmarkStart w:id="48" w:name="recursos-humanos"/>
    <w:p>
      <w:pPr>
        <w:pStyle w:val="Heading3"/>
      </w:pPr>
      <w:r>
        <w:t xml:space="preserve">8.1 Recursos humanos</w:t>
      </w:r>
    </w:p>
    <w:p>
      <w:pPr>
        <w:pStyle w:val="Compact"/>
        <w:numPr>
          <w:ilvl w:val="0"/>
          <w:numId w:val="1016"/>
        </w:numPr>
      </w:pPr>
      <w:r>
        <w:t xml:space="preserve">Consultores financieros</w:t>
      </w:r>
    </w:p>
    <w:p>
      <w:pPr>
        <w:pStyle w:val="Compact"/>
        <w:numPr>
          <w:ilvl w:val="0"/>
          <w:numId w:val="1016"/>
        </w:numPr>
      </w:pPr>
      <w:r>
        <w:t xml:space="preserve">Analistas</w:t>
      </w:r>
    </w:p>
    <w:p>
      <w:pPr>
        <w:pStyle w:val="Compact"/>
        <w:numPr>
          <w:ilvl w:val="0"/>
          <w:numId w:val="1016"/>
        </w:numPr>
      </w:pPr>
      <w:r>
        <w:t xml:space="preserve">Equipo comercial</w:t>
      </w:r>
    </w:p>
    <w:bookmarkEnd w:id="48"/>
    <w:bookmarkStart w:id="49" w:name="tecnología"/>
    <w:p>
      <w:pPr>
        <w:pStyle w:val="Heading3"/>
      </w:pPr>
      <w:r>
        <w:t xml:space="preserve">8.2 Tecnología</w:t>
      </w:r>
    </w:p>
    <w:p>
      <w:pPr>
        <w:pStyle w:val="Compact"/>
        <w:numPr>
          <w:ilvl w:val="0"/>
          <w:numId w:val="1017"/>
        </w:numPr>
      </w:pPr>
      <w:r>
        <w:t xml:space="preserve">Plataforma SaaS</w:t>
      </w:r>
    </w:p>
    <w:p>
      <w:pPr>
        <w:pStyle w:val="Compact"/>
        <w:numPr>
          <w:ilvl w:val="0"/>
          <w:numId w:val="1017"/>
        </w:numPr>
      </w:pPr>
      <w:r>
        <w:t xml:space="preserve">CRM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lan-financiero"/>
    <w:p>
      <w:pPr>
        <w:pStyle w:val="Heading2"/>
      </w:pPr>
      <w:r>
        <w:t xml:space="preserve">9. PLAN FINANCIERO</w:t>
      </w:r>
    </w:p>
    <w:bookmarkStart w:id="51" w:name="inversión-inicial"/>
    <w:p>
      <w:pPr>
        <w:pStyle w:val="Heading3"/>
      </w:pPr>
      <w:r>
        <w:t xml:space="preserve">9.1 Inversión inicial</w:t>
      </w:r>
    </w:p>
    <w:p>
      <w:pPr>
        <w:pStyle w:val="Compact"/>
        <w:numPr>
          <w:ilvl w:val="0"/>
          <w:numId w:val="1018"/>
        </w:numPr>
      </w:pPr>
      <w:r>
        <w:t xml:space="preserve">Desarrollo tecnológico</w:t>
      </w:r>
    </w:p>
    <w:p>
      <w:pPr>
        <w:pStyle w:val="Compact"/>
        <w:numPr>
          <w:ilvl w:val="0"/>
          <w:numId w:val="1018"/>
        </w:numPr>
      </w:pPr>
      <w:r>
        <w:t xml:space="preserve">Marketing inicial</w:t>
      </w:r>
    </w:p>
    <w:p>
      <w:pPr>
        <w:pStyle w:val="Compact"/>
        <w:numPr>
          <w:ilvl w:val="0"/>
          <w:numId w:val="1018"/>
        </w:numPr>
      </w:pPr>
      <w:r>
        <w:t xml:space="preserve">Costos operativos</w:t>
      </w:r>
    </w:p>
    <w:bookmarkEnd w:id="51"/>
    <w:bookmarkStart w:id="52" w:name="proyecciones"/>
    <w:p>
      <w:pPr>
        <w:pStyle w:val="Heading3"/>
      </w:pPr>
      <w:r>
        <w:t xml:space="preserve">9.2 Proyecciones</w:t>
      </w:r>
    </w:p>
    <w:p>
      <w:pPr>
        <w:pStyle w:val="Compact"/>
        <w:numPr>
          <w:ilvl w:val="0"/>
          <w:numId w:val="1019"/>
        </w:numPr>
      </w:pPr>
      <w:r>
        <w:t xml:space="preserve">Ingresos por suscripción</w:t>
      </w:r>
    </w:p>
    <w:p>
      <w:pPr>
        <w:pStyle w:val="Compact"/>
        <w:numPr>
          <w:ilvl w:val="0"/>
          <w:numId w:val="1019"/>
        </w:numPr>
      </w:pPr>
      <w:r>
        <w:t xml:space="preserve">Ingresos por consultoría</w:t>
      </w:r>
    </w:p>
    <w:p>
      <w:pPr>
        <w:pStyle w:val="Compact"/>
        <w:numPr>
          <w:ilvl w:val="0"/>
          <w:numId w:val="1019"/>
        </w:numPr>
      </w:pPr>
      <w:r>
        <w:t xml:space="preserve">Ingresos por comisiones</w:t>
      </w:r>
    </w:p>
    <w:bookmarkEnd w:id="52"/>
    <w:bookmarkStart w:id="53" w:name="indicadores"/>
    <w:p>
      <w:pPr>
        <w:pStyle w:val="Heading3"/>
      </w:pPr>
      <w:r>
        <w:t xml:space="preserve">9.3 Indicadores</w:t>
      </w:r>
    </w:p>
    <w:p>
      <w:pPr>
        <w:pStyle w:val="Compact"/>
        <w:numPr>
          <w:ilvl w:val="0"/>
          <w:numId w:val="1020"/>
        </w:numPr>
      </w:pPr>
      <w:r>
        <w:t xml:space="preserve">ROI esperado</w:t>
      </w:r>
    </w:p>
    <w:p>
      <w:pPr>
        <w:pStyle w:val="Compact"/>
        <w:numPr>
          <w:ilvl w:val="0"/>
          <w:numId w:val="1020"/>
        </w:numPr>
      </w:pPr>
      <w:r>
        <w:t xml:space="preserve">Punto de equilibrio</w:t>
      </w:r>
    </w:p>
    <w:p>
      <w:pPr>
        <w:pStyle w:val="Compact"/>
        <w:numPr>
          <w:ilvl w:val="0"/>
          <w:numId w:val="1020"/>
        </w:numPr>
      </w:pPr>
      <w:r>
        <w:t xml:space="preserve">LTV/CAC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strategia-comercial"/>
    <w:p>
      <w:pPr>
        <w:pStyle w:val="Heading2"/>
      </w:pPr>
      <w:r>
        <w:t xml:space="preserve">10. ESTRATEGIA COMERCIAL</w:t>
      </w:r>
    </w:p>
    <w:p>
      <w:pPr>
        <w:pStyle w:val="Compact"/>
        <w:numPr>
          <w:ilvl w:val="0"/>
          <w:numId w:val="1021"/>
        </w:numPr>
      </w:pPr>
      <w:r>
        <w:t xml:space="preserve">Marketing digital</w:t>
      </w:r>
    </w:p>
    <w:p>
      <w:pPr>
        <w:pStyle w:val="Compact"/>
        <w:numPr>
          <w:ilvl w:val="0"/>
          <w:numId w:val="1021"/>
        </w:numPr>
      </w:pPr>
      <w:r>
        <w:t xml:space="preserve">Alianzas estratégicas</w:t>
      </w:r>
    </w:p>
    <w:p>
      <w:pPr>
        <w:pStyle w:val="Compact"/>
        <w:numPr>
          <w:ilvl w:val="0"/>
          <w:numId w:val="1021"/>
        </w:numPr>
      </w:pPr>
      <w:r>
        <w:t xml:space="preserve">Networking empresarial</w:t>
      </w:r>
    </w:p>
    <w:p>
      <w:r>
        <w:pict>
          <v:rect style="width:0;height:1.5pt" o:hralign="center" o:hrstd="t" o:hr="t"/>
        </w:pict>
      </w:r>
    </w:p>
    <w:bookmarkEnd w:id="55"/>
    <w:bookmarkStart w:id="56" w:name="riesgos"/>
    <w:p>
      <w:pPr>
        <w:pStyle w:val="Heading2"/>
      </w:pPr>
      <w:r>
        <w:t xml:space="preserve">11. RIESGOS</w:t>
      </w:r>
    </w:p>
    <w:p>
      <w:pPr>
        <w:pStyle w:val="Compact"/>
        <w:numPr>
          <w:ilvl w:val="0"/>
          <w:numId w:val="1022"/>
        </w:numPr>
      </w:pPr>
      <w:r>
        <w:t xml:space="preserve">Baja adopción tecnológica</w:t>
      </w:r>
    </w:p>
    <w:p>
      <w:pPr>
        <w:pStyle w:val="Compact"/>
        <w:numPr>
          <w:ilvl w:val="0"/>
          <w:numId w:val="1022"/>
        </w:numPr>
      </w:pPr>
      <w:r>
        <w:t xml:space="preserve">Desconfianza del cliente</w:t>
      </w:r>
    </w:p>
    <w:p>
      <w:pPr>
        <w:pStyle w:val="Compact"/>
        <w:numPr>
          <w:ilvl w:val="0"/>
          <w:numId w:val="1022"/>
        </w:numPr>
      </w:pPr>
      <w:r>
        <w:t xml:space="preserve">Dependencia del sistema financiero</w:t>
      </w:r>
    </w:p>
    <w:p>
      <w:r>
        <w:pict>
          <v:rect style="width:0;height:1.5pt" o:hralign="center" o:hrstd="t" o:hr="t"/>
        </w:pict>
      </w:r>
    </w:p>
    <w:bookmarkEnd w:id="56"/>
    <w:bookmarkStart w:id="57" w:name="factores-clave-de-éxito"/>
    <w:p>
      <w:pPr>
        <w:pStyle w:val="Heading2"/>
      </w:pPr>
      <w:r>
        <w:t xml:space="preserve">12. FACTORES CLAVE DE ÉXITO</w:t>
      </w:r>
    </w:p>
    <w:p>
      <w:pPr>
        <w:pStyle w:val="Compact"/>
        <w:numPr>
          <w:ilvl w:val="0"/>
          <w:numId w:val="1023"/>
        </w:numPr>
      </w:pPr>
      <w:r>
        <w:t xml:space="preserve">Generación de confianza</w:t>
      </w:r>
    </w:p>
    <w:p>
      <w:pPr>
        <w:pStyle w:val="Compact"/>
        <w:numPr>
          <w:ilvl w:val="0"/>
          <w:numId w:val="1023"/>
        </w:numPr>
      </w:pPr>
      <w:r>
        <w:t xml:space="preserve">Resultados medibles</w:t>
      </w:r>
    </w:p>
    <w:p>
      <w:pPr>
        <w:pStyle w:val="Compact"/>
        <w:numPr>
          <w:ilvl w:val="0"/>
          <w:numId w:val="1023"/>
        </w:numPr>
      </w:pPr>
      <w:r>
        <w:t xml:space="preserve">Especialización sectorial</w:t>
      </w:r>
    </w:p>
    <w:p>
      <w:r>
        <w:pict>
          <v:rect style="width:0;height:1.5pt" o:hralign="center" o:hrstd="t" o:hr="t"/>
        </w:pict>
      </w:r>
    </w:p>
    <w:bookmarkEnd w:id="57"/>
    <w:bookmarkStart w:id="58" w:name="estrategias-futuras"/>
    <w:p>
      <w:pPr>
        <w:pStyle w:val="Heading2"/>
      </w:pPr>
      <w:r>
        <w:t xml:space="preserve">13. ESTRATEGIAS FUTURAS</w:t>
      </w:r>
    </w:p>
    <w:p>
      <w:pPr>
        <w:pStyle w:val="Compact"/>
        <w:numPr>
          <w:ilvl w:val="0"/>
          <w:numId w:val="1024"/>
        </w:numPr>
      </w:pPr>
      <w:r>
        <w:t xml:space="preserve">Expansión regional</w:t>
      </w:r>
    </w:p>
    <w:p>
      <w:pPr>
        <w:pStyle w:val="Compact"/>
        <w:numPr>
          <w:ilvl w:val="0"/>
          <w:numId w:val="1024"/>
        </w:numPr>
      </w:pPr>
      <w:r>
        <w:t xml:space="preserve">Desarrollo de scoring crediticio</w:t>
      </w:r>
    </w:p>
    <w:p>
      <w:pPr>
        <w:pStyle w:val="Compact"/>
        <w:numPr>
          <w:ilvl w:val="0"/>
          <w:numId w:val="1024"/>
        </w:numPr>
      </w:pPr>
      <w:r>
        <w:t xml:space="preserve">Marketplace de financiamiento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es"/>
    <w:p>
      <w:pPr>
        <w:pStyle w:val="Heading2"/>
      </w:pPr>
      <w:r>
        <w:t xml:space="preserve">14. CONCLUSIONES</w:t>
      </w:r>
    </w:p>
    <w:p>
      <w:pPr>
        <w:pStyle w:val="FirstParagraph"/>
      </w:pPr>
      <w:r>
        <w:t xml:space="preserve">El modelo presenta alta viabilidad debido a la demanda insatisfecha de servicios financieros estructurados en MiPyMes, combinando consultoría especializada y tecnología escalable.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2026-04-05T23:52:56Z</dcterms:created>
  <dcterms:modified xsi:type="dcterms:W3CDTF">2026-04-05T23:52:56Z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