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6D38" w14:textId="743229D5" w:rsidR="00C02707" w:rsidRPr="00C02707" w:rsidRDefault="00C02707" w:rsidP="00835387">
      <w:pPr>
        <w:ind w:firstLine="709"/>
        <w:jc w:val="center"/>
        <w:rPr>
          <w:rFonts w:ascii="Times New Roman" w:hAnsi="Times New Roman" w:cs="Times New Roman"/>
          <w:b/>
          <w:bCs/>
          <w:sz w:val="28"/>
          <w:szCs w:val="28"/>
        </w:rPr>
      </w:pPr>
      <w:r w:rsidRPr="00C02707">
        <w:rPr>
          <w:rFonts w:ascii="Times New Roman" w:hAnsi="Times New Roman" w:cs="Times New Roman"/>
          <w:b/>
          <w:bCs/>
          <w:sz w:val="28"/>
          <w:szCs w:val="28"/>
        </w:rPr>
        <w:t>Опрацьовано зауваження</w:t>
      </w:r>
    </w:p>
    <w:p w14:paraId="25FD265D" w14:textId="77777777" w:rsidR="00C02707" w:rsidRPr="00C02707" w:rsidRDefault="00C02707" w:rsidP="00835387">
      <w:pPr>
        <w:ind w:firstLine="709"/>
        <w:rPr>
          <w:rFonts w:ascii="Times New Roman" w:hAnsi="Times New Roman" w:cs="Times New Roman"/>
          <w:sz w:val="28"/>
          <w:szCs w:val="28"/>
        </w:rPr>
      </w:pPr>
    </w:p>
    <w:p w14:paraId="5AF73F1D" w14:textId="306ECEB8" w:rsidR="00115ECC" w:rsidRDefault="00E90764" w:rsidP="00835387">
      <w:pPr>
        <w:ind w:firstLine="709"/>
        <w:jc w:val="both"/>
        <w:rPr>
          <w:rFonts w:ascii="Times New Roman" w:hAnsi="Times New Roman" w:cs="Times New Roman"/>
          <w:sz w:val="28"/>
          <w:szCs w:val="28"/>
        </w:rPr>
      </w:pPr>
      <w:r w:rsidRPr="006B76F2">
        <w:rPr>
          <w:rFonts w:ascii="Times New Roman" w:hAnsi="Times New Roman" w:cs="Times New Roman"/>
          <w:sz w:val="28"/>
          <w:szCs w:val="28"/>
          <w:highlight w:val="yellow"/>
        </w:rPr>
        <w:t>Після карти Рис.6 - Просторовий розподіл об’єктів tourism=*</w:t>
      </w:r>
      <w:r w:rsidRPr="006B76F2">
        <w:rPr>
          <w:rFonts w:ascii="Times New Roman" w:hAnsi="Times New Roman" w:cs="Times New Roman"/>
          <w:sz w:val="28"/>
          <w:szCs w:val="28"/>
          <w:highlight w:val="yellow"/>
          <w:lang w:val="en-US"/>
        </w:rPr>
        <w:t xml:space="preserve"> </w:t>
      </w:r>
      <w:r w:rsidRPr="006B76F2">
        <w:rPr>
          <w:rFonts w:ascii="Times New Roman" w:hAnsi="Times New Roman" w:cs="Times New Roman"/>
          <w:sz w:val="28"/>
          <w:szCs w:val="28"/>
          <w:highlight w:val="yellow"/>
        </w:rPr>
        <w:t>(OpenStreetMap) проп</w:t>
      </w:r>
      <w:r w:rsidRPr="006B76F2">
        <w:rPr>
          <w:rFonts w:ascii="Times New Roman" w:hAnsi="Times New Roman" w:cs="Times New Roman"/>
          <w:sz w:val="28"/>
          <w:szCs w:val="28"/>
          <w:highlight w:val="yellow"/>
        </w:rPr>
        <w:t>о</w:t>
      </w:r>
      <w:r w:rsidRPr="006B76F2">
        <w:rPr>
          <w:rFonts w:ascii="Times New Roman" w:hAnsi="Times New Roman" w:cs="Times New Roman"/>
          <w:sz w:val="28"/>
          <w:szCs w:val="28"/>
          <w:highlight w:val="yellow"/>
        </w:rPr>
        <w:t>нує розписати, що було вперше закартовано</w:t>
      </w:r>
      <w:r w:rsidRPr="006B76F2">
        <w:rPr>
          <w:rFonts w:ascii="Times New Roman" w:hAnsi="Times New Roman" w:cs="Times New Roman"/>
          <w:sz w:val="28"/>
          <w:szCs w:val="28"/>
          <w:highlight w:val="yellow"/>
          <w:lang w:val="en-US"/>
        </w:rPr>
        <w:t xml:space="preserve"> </w:t>
      </w:r>
      <w:r w:rsidRPr="006B76F2">
        <w:rPr>
          <w:rFonts w:ascii="Times New Roman" w:hAnsi="Times New Roman" w:cs="Times New Roman"/>
          <w:sz w:val="28"/>
          <w:szCs w:val="28"/>
          <w:highlight w:val="yellow"/>
        </w:rPr>
        <w:t xml:space="preserve">туристичне навантаження в межах іф області як </w:t>
      </w:r>
      <w:r w:rsidRPr="006B76F2">
        <w:rPr>
          <w:rFonts w:ascii="Times New Roman" w:hAnsi="Times New Roman" w:cs="Times New Roman"/>
          <w:sz w:val="28"/>
          <w:szCs w:val="28"/>
          <w:highlight w:val="yellow"/>
        </w:rPr>
        <w:t>об’єкт</w:t>
      </w:r>
      <w:r w:rsidRPr="006B76F2">
        <w:rPr>
          <w:rFonts w:ascii="Times New Roman" w:hAnsi="Times New Roman" w:cs="Times New Roman"/>
          <w:sz w:val="28"/>
          <w:szCs w:val="28"/>
          <w:highlight w:val="yellow"/>
        </w:rPr>
        <w:t xml:space="preserve"> навантаження</w:t>
      </w:r>
      <w:r w:rsidRPr="006B76F2">
        <w:rPr>
          <w:rFonts w:ascii="Times New Roman" w:hAnsi="Times New Roman" w:cs="Times New Roman"/>
          <w:sz w:val="28"/>
          <w:szCs w:val="28"/>
          <w:highlight w:val="yellow"/>
          <w:lang w:val="en-US"/>
        </w:rPr>
        <w:t xml:space="preserve"> </w:t>
      </w:r>
      <w:r w:rsidRPr="006B76F2">
        <w:rPr>
          <w:rFonts w:ascii="Times New Roman" w:hAnsi="Times New Roman" w:cs="Times New Roman"/>
          <w:sz w:val="28"/>
          <w:szCs w:val="28"/>
          <w:highlight w:val="yellow"/>
        </w:rPr>
        <w:t>за громадами.</w:t>
      </w:r>
    </w:p>
    <w:p w14:paraId="0592C6FA" w14:textId="3BA2BDF8" w:rsidR="008E7D81" w:rsidRDefault="008E7D81" w:rsidP="00835387">
      <w:pPr>
        <w:ind w:firstLine="709"/>
        <w:rPr>
          <w:rFonts w:ascii="Times New Roman" w:hAnsi="Times New Roman" w:cs="Times New Roman"/>
          <w:sz w:val="28"/>
          <w:szCs w:val="28"/>
        </w:rPr>
      </w:pPr>
      <w:r>
        <w:rPr>
          <w:rFonts w:ascii="Times New Roman" w:hAnsi="Times New Roman" w:cs="Times New Roman"/>
          <w:sz w:val="28"/>
          <w:szCs w:val="28"/>
        </w:rPr>
        <w:t xml:space="preserve">Плюси </w:t>
      </w:r>
      <w:r w:rsidR="006B76F2">
        <w:rPr>
          <w:rFonts w:ascii="Times New Roman" w:hAnsi="Times New Roman" w:cs="Times New Roman"/>
          <w:sz w:val="28"/>
          <w:szCs w:val="28"/>
        </w:rPr>
        <w:t xml:space="preserve">та можливості </w:t>
      </w:r>
      <w:r>
        <w:rPr>
          <w:rFonts w:ascii="Times New Roman" w:hAnsi="Times New Roman" w:cs="Times New Roman"/>
          <w:sz w:val="28"/>
          <w:szCs w:val="28"/>
        </w:rPr>
        <w:t xml:space="preserve">використання </w:t>
      </w:r>
      <w:r w:rsidRPr="00C02707">
        <w:rPr>
          <w:rFonts w:ascii="Times New Roman" w:hAnsi="Times New Roman" w:cs="Times New Roman"/>
          <w:sz w:val="28"/>
          <w:szCs w:val="28"/>
        </w:rPr>
        <w:t>OpenStreetMap</w:t>
      </w:r>
      <w:r w:rsidR="00835387">
        <w:rPr>
          <w:rFonts w:ascii="Times New Roman" w:hAnsi="Times New Roman" w:cs="Times New Roman"/>
          <w:sz w:val="28"/>
          <w:szCs w:val="28"/>
          <w:lang w:val="en-US"/>
        </w:rPr>
        <w:t xml:space="preserve"> (OSM)</w:t>
      </w:r>
      <w:r>
        <w:rPr>
          <w:rFonts w:ascii="Times New Roman" w:hAnsi="Times New Roman" w:cs="Times New Roman"/>
          <w:sz w:val="28"/>
          <w:szCs w:val="28"/>
        </w:rPr>
        <w:t>:</w:t>
      </w:r>
    </w:p>
    <w:p w14:paraId="0E3B204C" w14:textId="1E34FE9C" w:rsidR="008E7D81" w:rsidRDefault="006B76F2" w:rsidP="00835387">
      <w:pPr>
        <w:pStyle w:val="a9"/>
        <w:numPr>
          <w:ilvl w:val="0"/>
          <w:numId w:val="1"/>
        </w:numPr>
        <w:ind w:firstLine="709"/>
        <w:jc w:val="both"/>
        <w:rPr>
          <w:rFonts w:ascii="Times New Roman" w:hAnsi="Times New Roman" w:cs="Times New Roman"/>
          <w:sz w:val="28"/>
          <w:szCs w:val="28"/>
        </w:rPr>
      </w:pPr>
      <w:r w:rsidRPr="006B76F2">
        <w:rPr>
          <w:rFonts w:ascii="Times New Roman" w:hAnsi="Times New Roman" w:cs="Times New Roman"/>
          <w:sz w:val="28"/>
          <w:szCs w:val="28"/>
        </w:rPr>
        <w:t>Дані OSM розповсюджуються за вільною ліцензією ODbL, що забезпечує безкоштовний доступ через API Overpass та регулярні екстракти. Це створює надійну основу для верифікації та реплікації досліджень.</w:t>
      </w:r>
    </w:p>
    <w:p w14:paraId="2DC278E6" w14:textId="3FF12571" w:rsidR="006B76F2" w:rsidRDefault="006B76F2" w:rsidP="00835387">
      <w:pPr>
        <w:pStyle w:val="a9"/>
        <w:numPr>
          <w:ilvl w:val="0"/>
          <w:numId w:val="1"/>
        </w:numPr>
        <w:ind w:firstLine="709"/>
        <w:jc w:val="both"/>
        <w:rPr>
          <w:rFonts w:ascii="Times New Roman" w:hAnsi="Times New Roman" w:cs="Times New Roman"/>
          <w:sz w:val="28"/>
          <w:szCs w:val="28"/>
        </w:rPr>
      </w:pPr>
      <w:r w:rsidRPr="006B76F2">
        <w:rPr>
          <w:rFonts w:ascii="Times New Roman" w:hAnsi="Times New Roman" w:cs="Times New Roman"/>
          <w:sz w:val="28"/>
          <w:szCs w:val="28"/>
        </w:rPr>
        <w:t>OSM відзначається високим рівнем деталізації критичних для туристичної галузі об'єктів: транспортних мереж (включно зі стежками), будівель, закладів гостинності, транспортних вузлів та рекреаційної інфраструктури. Ця особливість робить платформу оптимальною для аналізу кластеризації точок інтересу, оцінки транспортної доступності та щільності туристичної пропозиції. Сучасні дослідження ефективно поєднують ці дані з ГІС-моделюванням, картографуванням інтенсивності попиту та методиками рекреаційного зонування (LAC/VERP/ROS).</w:t>
      </w:r>
    </w:p>
    <w:p w14:paraId="4C3F88E3" w14:textId="0C7E5F6C" w:rsidR="006B76F2" w:rsidRDefault="006B76F2" w:rsidP="00835387">
      <w:pPr>
        <w:pStyle w:val="a9"/>
        <w:numPr>
          <w:ilvl w:val="0"/>
          <w:numId w:val="1"/>
        </w:numPr>
        <w:ind w:firstLine="709"/>
        <w:jc w:val="both"/>
        <w:rPr>
          <w:rFonts w:ascii="Times New Roman" w:hAnsi="Times New Roman" w:cs="Times New Roman"/>
          <w:sz w:val="28"/>
          <w:szCs w:val="28"/>
        </w:rPr>
      </w:pPr>
      <w:r w:rsidRPr="006B76F2">
        <w:rPr>
          <w:rFonts w:ascii="Times New Roman" w:hAnsi="Times New Roman" w:cs="Times New Roman"/>
          <w:sz w:val="28"/>
          <w:szCs w:val="28"/>
        </w:rPr>
        <w:t>OSM швидко відображає появу/закриття об’єктів і зміну інфраструктури</w:t>
      </w:r>
      <w:r>
        <w:rPr>
          <w:rFonts w:ascii="Times New Roman" w:hAnsi="Times New Roman" w:cs="Times New Roman"/>
          <w:sz w:val="28"/>
          <w:szCs w:val="28"/>
        </w:rPr>
        <w:t xml:space="preserve">, що є </w:t>
      </w:r>
      <w:r w:rsidRPr="006B76F2">
        <w:rPr>
          <w:rFonts w:ascii="Times New Roman" w:hAnsi="Times New Roman" w:cs="Times New Roman"/>
          <w:sz w:val="28"/>
          <w:szCs w:val="28"/>
        </w:rPr>
        <w:t>критичн</w:t>
      </w:r>
      <w:r>
        <w:rPr>
          <w:rFonts w:ascii="Times New Roman" w:hAnsi="Times New Roman" w:cs="Times New Roman"/>
          <w:sz w:val="28"/>
          <w:szCs w:val="28"/>
        </w:rPr>
        <w:t>им</w:t>
      </w:r>
      <w:r w:rsidRPr="006B76F2">
        <w:rPr>
          <w:rFonts w:ascii="Times New Roman" w:hAnsi="Times New Roman" w:cs="Times New Roman"/>
          <w:sz w:val="28"/>
          <w:szCs w:val="28"/>
        </w:rPr>
        <w:t xml:space="preserve"> для сезонних туристичних територій.</w:t>
      </w:r>
    </w:p>
    <w:p w14:paraId="1B879B4E" w14:textId="77777777" w:rsidR="006B76F2" w:rsidRDefault="006B76F2" w:rsidP="00835387">
      <w:pPr>
        <w:pStyle w:val="a9"/>
        <w:ind w:left="0" w:firstLine="709"/>
        <w:jc w:val="both"/>
        <w:rPr>
          <w:rFonts w:ascii="Times New Roman" w:hAnsi="Times New Roman" w:cs="Times New Roman"/>
          <w:sz w:val="28"/>
          <w:szCs w:val="28"/>
        </w:rPr>
      </w:pPr>
    </w:p>
    <w:p w14:paraId="5C8A3FA1" w14:textId="5A4618F0" w:rsidR="006B76F2" w:rsidRDefault="006B76F2" w:rsidP="00835387">
      <w:pPr>
        <w:pStyle w:val="a9"/>
        <w:ind w:left="0" w:firstLine="709"/>
        <w:jc w:val="both"/>
        <w:rPr>
          <w:rFonts w:ascii="Times New Roman" w:hAnsi="Times New Roman" w:cs="Times New Roman"/>
          <w:sz w:val="28"/>
          <w:szCs w:val="28"/>
        </w:rPr>
      </w:pPr>
      <w:r w:rsidRPr="006B76F2">
        <w:rPr>
          <w:rFonts w:ascii="Times New Roman" w:hAnsi="Times New Roman" w:cs="Times New Roman"/>
          <w:sz w:val="28"/>
          <w:szCs w:val="28"/>
        </w:rPr>
        <w:t xml:space="preserve">Поєднання OSM-POI (пропозиція, місткість) із турпопитом (туристо-доби) та екологічними навантаженнями (AIR/DW/MSW) створює «міст» між поведінковими та екологічними даними, якого бракує у суто статистичних підходах. У нашій </w:t>
      </w:r>
      <w:r>
        <w:rPr>
          <w:rFonts w:ascii="Times New Roman" w:hAnsi="Times New Roman" w:cs="Times New Roman"/>
          <w:sz w:val="28"/>
          <w:szCs w:val="28"/>
        </w:rPr>
        <w:t>роботі</w:t>
      </w:r>
      <w:r w:rsidRPr="006B76F2">
        <w:rPr>
          <w:rFonts w:ascii="Times New Roman" w:hAnsi="Times New Roman" w:cs="Times New Roman"/>
          <w:sz w:val="28"/>
          <w:szCs w:val="28"/>
        </w:rPr>
        <w:t xml:space="preserve"> це доповнює блок панельних моделей і дозволяє виявляти просторові «вузли впливу».</w:t>
      </w:r>
    </w:p>
    <w:p w14:paraId="05D76EAE" w14:textId="77777777" w:rsidR="006B76F2" w:rsidRDefault="006B76F2" w:rsidP="00835387">
      <w:pPr>
        <w:pStyle w:val="a9"/>
        <w:ind w:left="0" w:firstLine="709"/>
        <w:jc w:val="both"/>
        <w:rPr>
          <w:rFonts w:ascii="Times New Roman" w:hAnsi="Times New Roman" w:cs="Times New Roman"/>
          <w:sz w:val="28"/>
          <w:szCs w:val="28"/>
        </w:rPr>
      </w:pPr>
    </w:p>
    <w:p w14:paraId="6BC63716" w14:textId="08E11A05" w:rsidR="006B76F2" w:rsidRDefault="00A617EA" w:rsidP="00835387">
      <w:pPr>
        <w:pStyle w:val="a9"/>
        <w:ind w:left="0" w:firstLine="709"/>
        <w:jc w:val="both"/>
        <w:rPr>
          <w:rFonts w:ascii="Times New Roman" w:hAnsi="Times New Roman" w:cs="Times New Roman"/>
          <w:sz w:val="28"/>
          <w:szCs w:val="28"/>
        </w:rPr>
      </w:pPr>
      <w:r w:rsidRPr="00A617EA">
        <w:rPr>
          <w:rFonts w:ascii="Times New Roman" w:hAnsi="Times New Roman" w:cs="Times New Roman"/>
          <w:sz w:val="28"/>
          <w:szCs w:val="28"/>
          <w:highlight w:val="yellow"/>
        </w:rPr>
        <w:t>Основні зауваження були до карт, їй не сподобалось, що карти не</w:t>
      </w:r>
      <w:r w:rsidRPr="00A617EA">
        <w:rPr>
          <w:rFonts w:ascii="Times New Roman" w:hAnsi="Times New Roman" w:cs="Times New Roman"/>
          <w:sz w:val="28"/>
          <w:szCs w:val="28"/>
          <w:highlight w:val="yellow"/>
        </w:rPr>
        <w:t xml:space="preserve"> </w:t>
      </w:r>
      <w:r w:rsidRPr="00A617EA">
        <w:rPr>
          <w:rFonts w:ascii="Times New Roman" w:hAnsi="Times New Roman" w:cs="Times New Roman"/>
          <w:sz w:val="28"/>
          <w:szCs w:val="28"/>
          <w:highlight w:val="yellow"/>
        </w:rPr>
        <w:t>повністю всі зафарбовані, хоче, щоб не було білих квадратів, також, просить,</w:t>
      </w:r>
      <w:r w:rsidRPr="00A617EA">
        <w:rPr>
          <w:rFonts w:ascii="Times New Roman" w:hAnsi="Times New Roman" w:cs="Times New Roman"/>
          <w:sz w:val="28"/>
          <w:szCs w:val="28"/>
          <w:highlight w:val="yellow"/>
        </w:rPr>
        <w:t xml:space="preserve"> </w:t>
      </w:r>
      <w:r w:rsidRPr="00A617EA">
        <w:rPr>
          <w:rFonts w:ascii="Times New Roman" w:hAnsi="Times New Roman" w:cs="Times New Roman"/>
          <w:sz w:val="28"/>
          <w:szCs w:val="28"/>
          <w:highlight w:val="yellow"/>
        </w:rPr>
        <w:t>щоб у картах була мінімальна легенда і там де пише умовних одиниць на</w:t>
      </w:r>
      <w:r w:rsidRPr="00A617EA">
        <w:rPr>
          <w:rFonts w:ascii="Times New Roman" w:hAnsi="Times New Roman" w:cs="Times New Roman"/>
          <w:sz w:val="28"/>
          <w:szCs w:val="28"/>
          <w:highlight w:val="yellow"/>
        </w:rPr>
        <w:t xml:space="preserve"> </w:t>
      </w:r>
      <w:r w:rsidRPr="00A617EA">
        <w:rPr>
          <w:rFonts w:ascii="Times New Roman" w:hAnsi="Times New Roman" w:cs="Times New Roman"/>
          <w:sz w:val="28"/>
          <w:szCs w:val="28"/>
          <w:highlight w:val="yellow"/>
        </w:rPr>
        <w:t>картах – змінити на яких саме одиниць. Також перед картами попросила,</w:t>
      </w:r>
      <w:r w:rsidRPr="00A617EA">
        <w:rPr>
          <w:rFonts w:ascii="Times New Roman" w:hAnsi="Times New Roman" w:cs="Times New Roman"/>
          <w:sz w:val="28"/>
          <w:szCs w:val="28"/>
          <w:highlight w:val="yellow"/>
        </w:rPr>
        <w:t xml:space="preserve">  </w:t>
      </w:r>
      <w:r w:rsidRPr="00A617EA">
        <w:rPr>
          <w:rFonts w:ascii="Times New Roman" w:hAnsi="Times New Roman" w:cs="Times New Roman"/>
          <w:sz w:val="28"/>
          <w:szCs w:val="28"/>
          <w:highlight w:val="yellow"/>
        </w:rPr>
        <w:t>прописати формулу як це все рахувалось.</w:t>
      </w:r>
    </w:p>
    <w:p w14:paraId="27B3FEB4" w14:textId="77777777" w:rsidR="00B579E9" w:rsidRDefault="00B579E9" w:rsidP="00835387">
      <w:pPr>
        <w:pStyle w:val="a9"/>
        <w:ind w:left="0" w:firstLine="709"/>
        <w:jc w:val="both"/>
        <w:rPr>
          <w:rFonts w:ascii="Times New Roman" w:hAnsi="Times New Roman" w:cs="Times New Roman"/>
          <w:sz w:val="28"/>
          <w:szCs w:val="28"/>
        </w:rPr>
      </w:pPr>
    </w:p>
    <w:p w14:paraId="008DBCA3" w14:textId="77777777" w:rsidR="00B579E9" w:rsidRPr="00B579E9" w:rsidRDefault="00B579E9" w:rsidP="00835387">
      <w:pPr>
        <w:pStyle w:val="a9"/>
        <w:ind w:left="0" w:firstLine="709"/>
        <w:jc w:val="both"/>
        <w:rPr>
          <w:rFonts w:ascii="Times New Roman" w:hAnsi="Times New Roman" w:cs="Times New Roman"/>
          <w:sz w:val="28"/>
          <w:szCs w:val="28"/>
        </w:rPr>
      </w:pPr>
      <w:r w:rsidRPr="00B579E9">
        <w:rPr>
          <w:rFonts w:ascii="Times New Roman" w:hAnsi="Times New Roman" w:cs="Times New Roman"/>
          <w:sz w:val="28"/>
          <w:szCs w:val="28"/>
        </w:rPr>
        <w:t>Для забезпечення порівнянності показників між територіальними громадами застосовано єдину методику аналітичної обробки даних, що ґрунтується на двох ключових принципах.</w:t>
      </w:r>
    </w:p>
    <w:p w14:paraId="7193EFB5" w14:textId="77777777" w:rsidR="00B579E9" w:rsidRDefault="00B579E9" w:rsidP="00835387">
      <w:pPr>
        <w:pStyle w:val="a9"/>
        <w:ind w:left="0" w:firstLine="709"/>
        <w:jc w:val="both"/>
        <w:rPr>
          <w:rFonts w:ascii="Times New Roman" w:hAnsi="Times New Roman" w:cs="Times New Roman"/>
          <w:sz w:val="28"/>
          <w:szCs w:val="28"/>
        </w:rPr>
      </w:pPr>
      <w:r w:rsidRPr="00B579E9">
        <w:rPr>
          <w:rFonts w:ascii="Times New Roman" w:hAnsi="Times New Roman" w:cs="Times New Roman"/>
          <w:sz w:val="28"/>
          <w:szCs w:val="28"/>
        </w:rPr>
        <w:t xml:space="preserve">По-перше, усі показники (туристичний попит, використання водних ресурсів, викиди забруднювальних речовин в атмосферу, скиди у водні об’єкти, утворення твердих побутових відходів) нормовано на площу громади. </w:t>
      </w:r>
    </w:p>
    <w:p w14:paraId="588A5CA8" w14:textId="2A1E9056" w:rsidR="00B579E9" w:rsidRDefault="00B579E9" w:rsidP="00835387">
      <w:pPr>
        <w:pStyle w:val="a9"/>
        <w:ind w:left="0" w:firstLine="709"/>
        <w:jc w:val="both"/>
        <w:rPr>
          <w:rFonts w:ascii="Times New Roman" w:hAnsi="Times New Roman" w:cs="Times New Roman"/>
          <w:sz w:val="28"/>
          <w:szCs w:val="28"/>
        </w:rPr>
      </w:pPr>
      <w:r w:rsidRPr="00B579E9">
        <w:rPr>
          <w:rFonts w:ascii="Times New Roman" w:hAnsi="Times New Roman" w:cs="Times New Roman"/>
          <w:sz w:val="28"/>
          <w:szCs w:val="28"/>
        </w:rPr>
        <w:t>Інтенсивність навантаження визначалася у розрахунку на 1 км² території за формулою:</w:t>
      </w:r>
    </w:p>
    <w:p w14:paraId="20942E60" w14:textId="729E80EB" w:rsidR="00B579E9" w:rsidRPr="00B579E9" w:rsidRDefault="00B579E9" w:rsidP="00835387">
      <w:pPr>
        <w:pStyle w:val="a9"/>
        <w:ind w:left="0" w:firstLine="709"/>
        <w:jc w:val="both"/>
        <w:rPr>
          <w:rFonts w:ascii="Times New Roman" w:hAnsi="Times New Roman" w:cs="Times New Roman"/>
          <w:i/>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tot</m:t>
                  </m:r>
                </m:sub>
              </m:sSub>
            </m:num>
            <m:den>
              <m:r>
                <w:rPr>
                  <w:rFonts w:ascii="Cambria Math" w:hAnsi="Cambria Math" w:cs="Times New Roman"/>
                  <w:sz w:val="28"/>
                  <w:szCs w:val="28"/>
                  <w:lang w:val="en-US"/>
                </w:rPr>
                <m:t>S</m:t>
              </m:r>
            </m:den>
          </m:f>
        </m:oMath>
      </m:oMathPara>
    </w:p>
    <w:p w14:paraId="4F116FA6" w14:textId="6B729E01" w:rsidR="00B579E9" w:rsidRPr="00B579E9" w:rsidRDefault="00B579E9" w:rsidP="00835387">
      <w:pPr>
        <w:pStyle w:val="a9"/>
        <w:ind w:left="0" w:firstLine="709"/>
        <w:jc w:val="both"/>
        <w:rPr>
          <w:rFonts w:ascii="Times New Roman" w:hAnsi="Times New Roman" w:cs="Times New Roman"/>
          <w:sz w:val="28"/>
          <w:szCs w:val="28"/>
        </w:rPr>
      </w:pPr>
    </w:p>
    <w:p w14:paraId="6AF517B5" w14:textId="3D7998B6" w:rsidR="00B579E9" w:rsidRDefault="00B579E9" w:rsidP="00835387">
      <w:pPr>
        <w:pStyle w:val="a9"/>
        <w:ind w:left="0" w:firstLine="709"/>
        <w:jc w:val="both"/>
        <w:rPr>
          <w:rFonts w:ascii="Times New Roman" w:hAnsi="Times New Roman" w:cs="Times New Roman"/>
          <w:sz w:val="28"/>
          <w:szCs w:val="28"/>
          <w:lang w:val="en-US"/>
        </w:rPr>
      </w:pPr>
      <w:r w:rsidRPr="00B579E9">
        <w:rPr>
          <w:rFonts w:ascii="Times New Roman" w:hAnsi="Times New Roman" w:cs="Times New Roman"/>
          <w:sz w:val="28"/>
          <w:szCs w:val="28"/>
        </w:rPr>
        <w:t xml:space="preserve">де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oMath>
      <w:r w:rsidRPr="00B579E9">
        <w:rPr>
          <w:rFonts w:ascii="Times New Roman" w:hAnsi="Times New Roman" w:cs="Times New Roman"/>
          <w:sz w:val="28"/>
          <w:szCs w:val="28"/>
        </w:rPr>
        <w:t xml:space="preserve">— інтенсивність показника на 1 км²,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r>
              <w:rPr>
                <w:rFonts w:ascii="Cambria Math" w:hAnsi="Cambria Math" w:cs="Times New Roman"/>
                <w:sz w:val="28"/>
                <w:szCs w:val="28"/>
                <w:lang w:val="en-US"/>
              </w:rPr>
              <m:t>ot</m:t>
            </m:r>
          </m:sub>
        </m:sSub>
      </m:oMath>
      <w:r w:rsidRPr="00B579E9">
        <w:rPr>
          <w:rFonts w:ascii="Times New Roman" w:hAnsi="Times New Roman" w:cs="Times New Roman"/>
          <w:sz w:val="28"/>
          <w:szCs w:val="28"/>
        </w:rPr>
        <w:t>— загальне значення показника для громади (кількість туристо-днів, м³ води, тонни викидів чи відходів), S — площа громади у км². Такий підхід дозволив співставити рівень навантаження у громадах різної територіальної величини.</w:t>
      </w:r>
    </w:p>
    <w:p w14:paraId="6025F721" w14:textId="77777777" w:rsidR="00835387" w:rsidRPr="00B579E9" w:rsidRDefault="00835387" w:rsidP="00835387">
      <w:pPr>
        <w:pStyle w:val="a9"/>
        <w:ind w:left="0" w:firstLine="709"/>
        <w:jc w:val="both"/>
        <w:rPr>
          <w:rFonts w:ascii="Times New Roman" w:hAnsi="Times New Roman" w:cs="Times New Roman"/>
          <w:sz w:val="28"/>
          <w:szCs w:val="28"/>
          <w:lang w:val="en-US"/>
        </w:rPr>
      </w:pPr>
    </w:p>
    <w:p w14:paraId="579B63E1" w14:textId="77777777" w:rsidR="00B579E9" w:rsidRDefault="00B579E9" w:rsidP="00835387">
      <w:pPr>
        <w:pStyle w:val="a9"/>
        <w:ind w:left="0" w:firstLine="709"/>
        <w:jc w:val="both"/>
        <w:rPr>
          <w:rFonts w:ascii="Times New Roman" w:hAnsi="Times New Roman" w:cs="Times New Roman"/>
          <w:sz w:val="28"/>
          <w:szCs w:val="28"/>
          <w:lang w:val="en-US"/>
        </w:rPr>
      </w:pPr>
      <w:r w:rsidRPr="00B579E9">
        <w:rPr>
          <w:rFonts w:ascii="Times New Roman" w:hAnsi="Times New Roman" w:cs="Times New Roman"/>
          <w:sz w:val="28"/>
          <w:szCs w:val="28"/>
        </w:rPr>
        <w:t>По-друге, для кожного показника було визначено частку туристичного сектору у його формуванні. Для цього використовувались дані щодо суб’єктів господарювання, які сплачували туристичний збір, що дало змогу ідентифікувати належність підприємств до туристичної галузі. Частка туристичного сектору розраховувалась за формулою:</w:t>
      </w:r>
    </w:p>
    <w:p w14:paraId="1EF52F9E" w14:textId="0B1D6B15" w:rsidR="00835387" w:rsidRPr="00B579E9" w:rsidRDefault="00835387" w:rsidP="00835387">
      <w:pPr>
        <w:pStyle w:val="a9"/>
        <w:ind w:left="0" w:firstLine="709"/>
        <w:jc w:val="center"/>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Share</m:t>
              </m:r>
            </m:e>
            <m:sub>
              <m:r>
                <w:rPr>
                  <w:rFonts w:ascii="Cambria Math" w:hAnsi="Cambria Math" w:cs="Times New Roman"/>
                  <w:sz w:val="28"/>
                  <w:szCs w:val="28"/>
                  <w:lang w:val="en-US"/>
                </w:rPr>
                <m:t>X</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tour</m:t>
                  </m:r>
                </m:sub>
              </m:sSub>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tot</m:t>
                  </m:r>
                </m:sub>
              </m:sSub>
            </m:den>
          </m:f>
        </m:oMath>
      </m:oMathPara>
    </w:p>
    <w:p w14:paraId="7F538294" w14:textId="019408D5" w:rsidR="00B579E9" w:rsidRPr="00B579E9" w:rsidRDefault="00B579E9" w:rsidP="00835387">
      <w:pPr>
        <w:pStyle w:val="a9"/>
        <w:ind w:left="0" w:firstLine="709"/>
        <w:jc w:val="both"/>
        <w:rPr>
          <w:rFonts w:ascii="Times New Roman" w:hAnsi="Times New Roman" w:cs="Times New Roman"/>
          <w:sz w:val="28"/>
          <w:szCs w:val="28"/>
        </w:rPr>
      </w:pPr>
    </w:p>
    <w:p w14:paraId="41C571C9" w14:textId="09FB846F" w:rsidR="00B579E9" w:rsidRPr="00B579E9" w:rsidRDefault="00B579E9" w:rsidP="00835387">
      <w:pPr>
        <w:pStyle w:val="a9"/>
        <w:ind w:left="0" w:firstLine="709"/>
        <w:jc w:val="both"/>
        <w:rPr>
          <w:rFonts w:ascii="Times New Roman" w:hAnsi="Times New Roman" w:cs="Times New Roman"/>
          <w:sz w:val="28"/>
          <w:szCs w:val="28"/>
        </w:rPr>
      </w:pPr>
      <w:r w:rsidRPr="00B579E9">
        <w:rPr>
          <w:rFonts w:ascii="Times New Roman" w:hAnsi="Times New Roman" w:cs="Times New Roman"/>
          <w:sz w:val="28"/>
          <w:szCs w:val="28"/>
        </w:rPr>
        <w:t xml:space="preserve">де </w:t>
      </w:r>
      <w:r w:rsidR="00835387">
        <w:rPr>
          <w:rFonts w:ascii="Times New Roman" w:hAnsi="Times New Roman" w:cs="Times New Roman"/>
          <w:sz w:val="28"/>
          <w:szCs w:val="28"/>
          <w:lang w:val="en-US"/>
        </w:rPr>
        <w:t>Share</w:t>
      </w:r>
      <w:r w:rsidR="00835387">
        <w:rPr>
          <w:rFonts w:ascii="Times New Roman" w:hAnsi="Times New Roman" w:cs="Times New Roman"/>
          <w:sz w:val="28"/>
          <w:szCs w:val="28"/>
          <w:vertAlign w:val="subscript"/>
          <w:lang w:val="en-US"/>
        </w:rPr>
        <w:t xml:space="preserve">x </w:t>
      </w:r>
      <w:r w:rsidRPr="00B579E9">
        <w:rPr>
          <w:rFonts w:ascii="Times New Roman" w:hAnsi="Times New Roman" w:cs="Times New Roman"/>
          <w:sz w:val="28"/>
          <w:szCs w:val="28"/>
        </w:rPr>
        <w:t>— частка туристичного сектору, X</w:t>
      </w:r>
      <w:r w:rsidR="00835387">
        <w:rPr>
          <w:rFonts w:ascii="Times New Roman" w:hAnsi="Times New Roman" w:cs="Times New Roman"/>
          <w:sz w:val="28"/>
          <w:szCs w:val="28"/>
          <w:vertAlign w:val="subscript"/>
          <w:lang w:val="en-US"/>
        </w:rPr>
        <w:t>tour</w:t>
      </w:r>
      <w:r w:rsidRPr="00B579E9">
        <w:rPr>
          <w:rFonts w:ascii="Times New Roman" w:hAnsi="Times New Roman" w:cs="Times New Roman"/>
          <w:sz w:val="28"/>
          <w:szCs w:val="28"/>
        </w:rPr>
        <w:t xml:space="preserve"> — обсяг показника, що формується туристичними підприємствами, X</w:t>
      </w:r>
      <w:r w:rsidR="00835387">
        <w:rPr>
          <w:rFonts w:ascii="Times New Roman" w:hAnsi="Times New Roman" w:cs="Times New Roman"/>
          <w:sz w:val="28"/>
          <w:szCs w:val="28"/>
          <w:vertAlign w:val="subscript"/>
          <w:lang w:val="en-US"/>
        </w:rPr>
        <w:t>tot</w:t>
      </w:r>
      <w:r w:rsidRPr="00B579E9">
        <w:rPr>
          <w:rFonts w:ascii="Times New Roman" w:hAnsi="Times New Roman" w:cs="Times New Roman"/>
          <w:sz w:val="28"/>
          <w:szCs w:val="28"/>
        </w:rPr>
        <w:t xml:space="preserve"> — загальний обсяг показника по громаді.</w:t>
      </w:r>
    </w:p>
    <w:p w14:paraId="4EAAF5F9" w14:textId="77777777" w:rsidR="00B579E9" w:rsidRPr="00B579E9" w:rsidRDefault="00B579E9" w:rsidP="00835387">
      <w:pPr>
        <w:pStyle w:val="a9"/>
        <w:ind w:left="0" w:firstLine="709"/>
        <w:jc w:val="both"/>
        <w:rPr>
          <w:rFonts w:ascii="Times New Roman" w:hAnsi="Times New Roman" w:cs="Times New Roman"/>
          <w:sz w:val="28"/>
          <w:szCs w:val="28"/>
        </w:rPr>
      </w:pPr>
      <w:r w:rsidRPr="00B579E9">
        <w:rPr>
          <w:rFonts w:ascii="Times New Roman" w:hAnsi="Times New Roman" w:cs="Times New Roman"/>
          <w:sz w:val="28"/>
          <w:szCs w:val="28"/>
        </w:rPr>
        <w:t>Застосування цієї універсальної методики забезпечило єдність підходів до оцінювання туристичного попиту та впливу туристичної діяльності на природне середовище за різними видами навантажень.</w:t>
      </w:r>
    </w:p>
    <w:p w14:paraId="7092B6CE" w14:textId="77777777" w:rsidR="00B579E9" w:rsidRDefault="00B579E9" w:rsidP="00835387">
      <w:pPr>
        <w:pStyle w:val="a9"/>
        <w:ind w:left="0" w:firstLine="709"/>
        <w:jc w:val="both"/>
        <w:rPr>
          <w:rFonts w:ascii="Times New Roman" w:hAnsi="Times New Roman" w:cs="Times New Roman"/>
          <w:sz w:val="28"/>
          <w:szCs w:val="28"/>
          <w:lang w:val="en-US"/>
        </w:rPr>
      </w:pPr>
    </w:p>
    <w:p w14:paraId="54B5F43E" w14:textId="2837DC3E" w:rsidR="00835387" w:rsidRDefault="009B7130" w:rsidP="009B7130">
      <w:pPr>
        <w:pStyle w:val="a9"/>
        <w:ind w:left="0" w:firstLine="709"/>
        <w:jc w:val="both"/>
        <w:rPr>
          <w:rFonts w:ascii="Times New Roman" w:hAnsi="Times New Roman" w:cs="Times New Roman"/>
          <w:sz w:val="28"/>
          <w:szCs w:val="28"/>
        </w:rPr>
      </w:pPr>
      <w:r w:rsidRPr="009B7130">
        <w:rPr>
          <w:rFonts w:ascii="Times New Roman" w:hAnsi="Times New Roman" w:cs="Times New Roman"/>
          <w:sz w:val="28"/>
          <w:szCs w:val="28"/>
          <w:highlight w:val="yellow"/>
        </w:rPr>
        <w:t>По карті Рис.3.8. Споживання води у територіальних громадах Івано-Франківської області у 2024 р., не погоджується, що в Болехівській громаді</w:t>
      </w:r>
      <w:r w:rsidRPr="009B7130">
        <w:rPr>
          <w:rFonts w:ascii="Times New Roman" w:hAnsi="Times New Roman" w:cs="Times New Roman"/>
          <w:sz w:val="28"/>
          <w:szCs w:val="28"/>
          <w:highlight w:val="yellow"/>
        </w:rPr>
        <w:t xml:space="preserve"> </w:t>
      </w:r>
      <w:r w:rsidRPr="009B7130">
        <w:rPr>
          <w:rFonts w:ascii="Times New Roman" w:hAnsi="Times New Roman" w:cs="Times New Roman"/>
          <w:sz w:val="28"/>
          <w:szCs w:val="28"/>
          <w:highlight w:val="yellow"/>
        </w:rPr>
        <w:t xml:space="preserve">може бути високе використання води тур.підприємствами, бо там не </w:t>
      </w:r>
      <w:r w:rsidRPr="009B7130">
        <w:rPr>
          <w:rFonts w:ascii="Times New Roman" w:hAnsi="Times New Roman" w:cs="Times New Roman"/>
          <w:sz w:val="28"/>
          <w:szCs w:val="28"/>
          <w:highlight w:val="yellow"/>
        </w:rPr>
        <w:t xml:space="preserve"> </w:t>
      </w:r>
      <w:r w:rsidRPr="009B7130">
        <w:rPr>
          <w:rFonts w:ascii="Times New Roman" w:hAnsi="Times New Roman" w:cs="Times New Roman"/>
          <w:sz w:val="28"/>
          <w:szCs w:val="28"/>
          <w:highlight w:val="yellow"/>
        </w:rPr>
        <w:t>дуже</w:t>
      </w:r>
      <w:r w:rsidRPr="009B7130">
        <w:rPr>
          <w:rFonts w:ascii="Times New Roman" w:hAnsi="Times New Roman" w:cs="Times New Roman"/>
          <w:sz w:val="28"/>
          <w:szCs w:val="28"/>
          <w:highlight w:val="yellow"/>
        </w:rPr>
        <w:t xml:space="preserve"> </w:t>
      </w:r>
      <w:r w:rsidRPr="009B7130">
        <w:rPr>
          <w:rFonts w:ascii="Times New Roman" w:hAnsi="Times New Roman" w:cs="Times New Roman"/>
          <w:sz w:val="28"/>
          <w:szCs w:val="28"/>
          <w:highlight w:val="yellow"/>
        </w:rPr>
        <w:t>розвинений туризм.</w:t>
      </w:r>
    </w:p>
    <w:p w14:paraId="0724CB05" w14:textId="77777777" w:rsidR="009B7130" w:rsidRDefault="009B7130" w:rsidP="009B7130">
      <w:pPr>
        <w:pStyle w:val="a9"/>
        <w:ind w:left="0" w:firstLine="709"/>
        <w:jc w:val="both"/>
        <w:rPr>
          <w:rFonts w:ascii="Times New Roman" w:hAnsi="Times New Roman" w:cs="Times New Roman"/>
          <w:sz w:val="28"/>
          <w:szCs w:val="28"/>
        </w:rPr>
      </w:pPr>
    </w:p>
    <w:p w14:paraId="2B27FDE4" w14:textId="1EF1641D" w:rsidR="009B7130" w:rsidRDefault="009B7130" w:rsidP="009B7130">
      <w:pPr>
        <w:pStyle w:val="a9"/>
        <w:ind w:left="0" w:firstLine="709"/>
        <w:jc w:val="both"/>
        <w:rPr>
          <w:rFonts w:ascii="Times New Roman" w:hAnsi="Times New Roman" w:cs="Times New Roman"/>
          <w:sz w:val="28"/>
          <w:szCs w:val="28"/>
        </w:rPr>
      </w:pPr>
      <w:r>
        <w:rPr>
          <w:rFonts w:ascii="Times New Roman" w:hAnsi="Times New Roman" w:cs="Times New Roman"/>
          <w:sz w:val="28"/>
          <w:szCs w:val="28"/>
        </w:rPr>
        <w:t>Дійсно, правильно зауважила керівниця – це описка. Описку виправлено.</w:t>
      </w:r>
    </w:p>
    <w:p w14:paraId="7503AD65" w14:textId="77777777" w:rsidR="00C22DF5" w:rsidRDefault="00C22DF5" w:rsidP="009B7130">
      <w:pPr>
        <w:pStyle w:val="a9"/>
        <w:ind w:left="0" w:firstLine="709"/>
        <w:jc w:val="both"/>
        <w:rPr>
          <w:rFonts w:ascii="Times New Roman" w:hAnsi="Times New Roman" w:cs="Times New Roman"/>
          <w:sz w:val="28"/>
          <w:szCs w:val="28"/>
        </w:rPr>
      </w:pPr>
    </w:p>
    <w:p w14:paraId="1E584972" w14:textId="4FF7EB1E" w:rsidR="009B7130" w:rsidRPr="00C22DF5" w:rsidRDefault="00C22DF5" w:rsidP="009B7130">
      <w:pPr>
        <w:pStyle w:val="a9"/>
        <w:ind w:left="0" w:firstLine="709"/>
        <w:jc w:val="both"/>
        <w:rPr>
          <w:rFonts w:ascii="Times New Roman" w:hAnsi="Times New Roman" w:cs="Times New Roman"/>
          <w:b/>
          <w:bCs/>
          <w:sz w:val="28"/>
          <w:szCs w:val="28"/>
        </w:rPr>
      </w:pPr>
      <w:r w:rsidRPr="00C22DF5">
        <w:rPr>
          <w:rFonts w:ascii="Times New Roman" w:hAnsi="Times New Roman" w:cs="Times New Roman"/>
          <w:b/>
          <w:bCs/>
          <w:sz w:val="28"/>
          <w:szCs w:val="28"/>
        </w:rPr>
        <w:t>КАРТИ</w:t>
      </w:r>
    </w:p>
    <w:p w14:paraId="28D0F29C" w14:textId="1E06B50C" w:rsidR="00C22DF5" w:rsidRPr="00436128" w:rsidRDefault="00436128" w:rsidP="009B7130">
      <w:pPr>
        <w:pStyle w:val="a9"/>
        <w:ind w:left="0" w:firstLine="709"/>
        <w:jc w:val="both"/>
        <w:rPr>
          <w:rFonts w:ascii="Times New Roman" w:hAnsi="Times New Roman" w:cs="Times New Roman"/>
          <w:b/>
          <w:bCs/>
          <w:sz w:val="28"/>
          <w:szCs w:val="28"/>
        </w:rPr>
      </w:pPr>
      <w:r w:rsidRPr="00436128">
        <w:rPr>
          <w:rFonts w:ascii="Times New Roman" w:hAnsi="Times New Roman" w:cs="Times New Roman"/>
          <w:b/>
          <w:bCs/>
          <w:sz w:val="28"/>
          <w:szCs w:val="28"/>
        </w:rPr>
        <w:t>Карта туристо-діб</w:t>
      </w:r>
    </w:p>
    <w:p w14:paraId="20E095E9" w14:textId="77777777" w:rsidR="00FA7E21" w:rsidRPr="00FA7E21" w:rsidRDefault="00FA7E21" w:rsidP="00FA7E21">
      <w:pPr>
        <w:pStyle w:val="a9"/>
        <w:ind w:left="0" w:firstLine="709"/>
        <w:jc w:val="both"/>
        <w:rPr>
          <w:rFonts w:ascii="Times New Roman" w:hAnsi="Times New Roman" w:cs="Times New Roman"/>
          <w:sz w:val="28"/>
          <w:szCs w:val="28"/>
        </w:rPr>
      </w:pPr>
      <w:r w:rsidRPr="00FA7E21">
        <w:rPr>
          <w:rFonts w:ascii="Times New Roman" w:hAnsi="Times New Roman" w:cs="Times New Roman"/>
          <w:sz w:val="28"/>
          <w:szCs w:val="28"/>
        </w:rPr>
        <w:t>Для кількісної оцінки інтенсивності туристичного навантаження застосовано відносний показник, що обчислюється як співвідношення сукупної кількості туристо-діб, зареєстрованих у межах адміністративної одиниці протягом календарного року, до загальної площі відповідної територіальної громади (туристо-доби/км²). Даний методологічний підхід забезпечує можливість коректного порівняльного аналізу рекреаційного тиску на територіях різної площі та конфігурації, формуючи універсальну основу для просторової диференціації досліджуваного явища.</w:t>
      </w:r>
    </w:p>
    <w:p w14:paraId="5891DE21" w14:textId="77777777" w:rsidR="00FA7E21" w:rsidRPr="00FA7E21" w:rsidRDefault="00FA7E21" w:rsidP="00FA7E21">
      <w:pPr>
        <w:pStyle w:val="a9"/>
        <w:ind w:left="0" w:firstLine="709"/>
        <w:jc w:val="both"/>
        <w:rPr>
          <w:rFonts w:ascii="Times New Roman" w:hAnsi="Times New Roman" w:cs="Times New Roman"/>
          <w:sz w:val="28"/>
          <w:szCs w:val="28"/>
        </w:rPr>
      </w:pPr>
      <w:r w:rsidRPr="00FA7E21">
        <w:rPr>
          <w:rFonts w:ascii="Times New Roman" w:hAnsi="Times New Roman" w:cs="Times New Roman"/>
          <w:sz w:val="28"/>
          <w:szCs w:val="28"/>
        </w:rPr>
        <w:t xml:space="preserve">Аналіз емпіричних даних за 2024 рік виявляє виражену просторову концентрацію туристичного навантаження в гірських територіальних громадах Карпатського регіону. Максимальні значення інтенсивності зафіксовано у </w:t>
      </w:r>
      <w:r w:rsidRPr="00FA7E21">
        <w:rPr>
          <w:rFonts w:ascii="Times New Roman" w:hAnsi="Times New Roman" w:cs="Times New Roman"/>
          <w:sz w:val="28"/>
          <w:szCs w:val="28"/>
        </w:rPr>
        <w:lastRenderedPageBreak/>
        <w:t>Поляницькій сільській громаді (1 709,5 туристо-діб/км²), де відносно компактна територія характеризується високою концентрацією відвідувачів. Значні показники також демонструють Яремчанська міська громада (522,7 туристо-діб/км²) та Ворохтянська селищна громада (328,6 туристо-діб/км²).</w:t>
      </w:r>
    </w:p>
    <w:p w14:paraId="6F036DB4" w14:textId="77777777" w:rsidR="00FA7E21" w:rsidRPr="00FA7E21" w:rsidRDefault="00FA7E21" w:rsidP="00FA7E21">
      <w:pPr>
        <w:pStyle w:val="a9"/>
        <w:ind w:left="0" w:firstLine="709"/>
        <w:jc w:val="both"/>
        <w:rPr>
          <w:rFonts w:ascii="Times New Roman" w:hAnsi="Times New Roman" w:cs="Times New Roman"/>
          <w:sz w:val="28"/>
          <w:szCs w:val="28"/>
        </w:rPr>
      </w:pPr>
      <w:r w:rsidRPr="00FA7E21">
        <w:rPr>
          <w:rFonts w:ascii="Times New Roman" w:hAnsi="Times New Roman" w:cs="Times New Roman"/>
          <w:sz w:val="28"/>
          <w:szCs w:val="28"/>
        </w:rPr>
        <w:t>Івано-Франківська міська громада, попри нижчий відносний показник інтенсивності (78,4 туристо-діб/км²), характеризується значним абсолютним обсягом ночівель, що пояснюється поліфункціональністю міського середовища та диверсифікованою структурою туристичного попиту. Низькі значення індикатора або відсутність статистичних даних у багатьох територіальних громадах (візуалізовані на картографічних матеріалах штриховкою) відображають недостатній розвиток формалізованої туристичної інфраструктури.</w:t>
      </w:r>
    </w:p>
    <w:p w14:paraId="6A9DB06A" w14:textId="77777777" w:rsidR="00FA7E21" w:rsidRPr="00FA7E21" w:rsidRDefault="00FA7E21" w:rsidP="00FA7E21">
      <w:pPr>
        <w:pStyle w:val="a9"/>
        <w:ind w:left="0" w:firstLine="709"/>
        <w:jc w:val="both"/>
        <w:rPr>
          <w:rFonts w:ascii="Times New Roman" w:hAnsi="Times New Roman" w:cs="Times New Roman"/>
          <w:sz w:val="28"/>
          <w:szCs w:val="28"/>
        </w:rPr>
      </w:pPr>
      <w:r w:rsidRPr="00FA7E21">
        <w:rPr>
          <w:rFonts w:ascii="Times New Roman" w:hAnsi="Times New Roman" w:cs="Times New Roman"/>
          <w:sz w:val="28"/>
          <w:szCs w:val="28"/>
        </w:rPr>
        <w:t>Виявлена просторова концентрація рекреаційного попиту в обмежених ареалах гірських територіальних громад створює передумови для формування сезонних піків антропогенного навантаження на екосистеми та інженерно-технічну інфраструктуру локальних територій, що потребує впровадження адаптивних механізмів управління туристичними потоками.</w:t>
      </w:r>
    </w:p>
    <w:p w14:paraId="38362BAC" w14:textId="5503F88D" w:rsidR="00FA7E21" w:rsidRDefault="00FA7E21" w:rsidP="009B7130">
      <w:pPr>
        <w:pStyle w:val="a9"/>
        <w:ind w:left="0" w:firstLine="709"/>
        <w:jc w:val="both"/>
        <w:rPr>
          <w:rFonts w:ascii="Times New Roman" w:hAnsi="Times New Roman" w:cs="Times New Roman"/>
          <w:sz w:val="28"/>
          <w:szCs w:val="28"/>
        </w:rPr>
      </w:pPr>
      <w:r w:rsidRPr="00FA7E21">
        <w:rPr>
          <w:rFonts w:ascii="Times New Roman" w:hAnsi="Times New Roman" w:cs="Times New Roman"/>
          <w:sz w:val="28"/>
          <w:szCs w:val="28"/>
        </w:rPr>
        <w:t>Рис. X.X. Туристичне навантаження (туристо-добові на 1 км²) у територіальних громадах Івано-Франківської області, 2024 р.</w:t>
      </w:r>
    </w:p>
    <w:p w14:paraId="65D9E182" w14:textId="5D8E4FC4" w:rsidR="00FA7E21" w:rsidRDefault="00FA7E21" w:rsidP="00FA7E21">
      <w:pPr>
        <w:pStyle w:val="a9"/>
        <w:ind w:left="0" w:firstLine="709"/>
        <w:jc w:val="both"/>
        <w:rPr>
          <w:rFonts w:ascii="Times New Roman" w:hAnsi="Times New Roman" w:cs="Times New Roman"/>
          <w:sz w:val="28"/>
          <w:szCs w:val="28"/>
        </w:rPr>
      </w:pPr>
      <w:r>
        <w:rPr>
          <w:rFonts w:ascii="Times New Roman" w:hAnsi="Times New Roman" w:cs="Times New Roman"/>
          <w:sz w:val="28"/>
          <w:szCs w:val="28"/>
        </w:rPr>
        <w:t>Карти + табличні дані в папці КАРТИ_</w:t>
      </w:r>
      <w:r>
        <w:rPr>
          <w:rFonts w:ascii="Times New Roman" w:hAnsi="Times New Roman" w:cs="Times New Roman"/>
          <w:sz w:val="28"/>
          <w:szCs w:val="28"/>
        </w:rPr>
        <w:t>ТУРИСТО.</w:t>
      </w:r>
    </w:p>
    <w:p w14:paraId="748F66BB" w14:textId="3584B9E5" w:rsidR="00B01B9C" w:rsidRDefault="00B01B9C" w:rsidP="00FA7E21">
      <w:pPr>
        <w:pStyle w:val="a9"/>
        <w:ind w:left="0" w:firstLine="709"/>
        <w:jc w:val="both"/>
        <w:rPr>
          <w:rFonts w:ascii="Times New Roman" w:hAnsi="Times New Roman" w:cs="Times New Roman"/>
          <w:b/>
          <w:bCs/>
          <w:sz w:val="28"/>
          <w:szCs w:val="28"/>
        </w:rPr>
      </w:pPr>
      <w:r w:rsidRPr="00B01B9C">
        <w:rPr>
          <w:rFonts w:ascii="Times New Roman" w:hAnsi="Times New Roman" w:cs="Times New Roman"/>
          <w:b/>
          <w:bCs/>
          <w:sz w:val="28"/>
          <w:szCs w:val="28"/>
        </w:rPr>
        <w:t>Карт</w:t>
      </w:r>
      <w:r>
        <w:rPr>
          <w:rFonts w:ascii="Times New Roman" w:hAnsi="Times New Roman" w:cs="Times New Roman"/>
          <w:b/>
          <w:bCs/>
          <w:sz w:val="28"/>
          <w:szCs w:val="28"/>
        </w:rPr>
        <w:t>а</w:t>
      </w:r>
      <w:r w:rsidRPr="00B01B9C">
        <w:rPr>
          <w:rFonts w:ascii="Times New Roman" w:hAnsi="Times New Roman" w:cs="Times New Roman"/>
          <w:b/>
          <w:bCs/>
          <w:sz w:val="28"/>
          <w:szCs w:val="28"/>
        </w:rPr>
        <w:t xml:space="preserve"> водоспоживання</w:t>
      </w:r>
    </w:p>
    <w:p w14:paraId="08027D2C" w14:textId="77777777" w:rsidR="00D74F4E" w:rsidRDefault="00D74F4E" w:rsidP="00AE2C74">
      <w:pPr>
        <w:pStyle w:val="a9"/>
        <w:ind w:left="0" w:firstLine="709"/>
        <w:jc w:val="both"/>
        <w:rPr>
          <w:rFonts w:ascii="Times New Roman" w:hAnsi="Times New Roman" w:cs="Times New Roman"/>
          <w:sz w:val="28"/>
          <w:szCs w:val="28"/>
        </w:rPr>
      </w:pPr>
      <w:r w:rsidRPr="00D74F4E">
        <w:rPr>
          <w:rFonts w:ascii="Times New Roman" w:hAnsi="Times New Roman" w:cs="Times New Roman"/>
          <w:sz w:val="28"/>
          <w:szCs w:val="28"/>
        </w:rPr>
        <w:t>Аналіз питомого водоспоживання (м³/км²) за 2024 рік виявляє виражену просторову концентрацію у промислово-урбанізованих центрах регіону. Максимальні значення зафіксовано у Ямницькій сільській громаді (2 078,4 м³/км²), що детерміновано функціонуванням потужного індустріального комплексу з високими показниками водоємності виробничих процесів. Значні рівні водоспоживання також характеризують Калуську міську громаду (945,7 м³/км²) та Долинську міську громаду (820,3 м³/км²), де спостерігається кумулятивний ефект від поєднання промислового та комунально-побутового водокористування.</w:t>
      </w:r>
    </w:p>
    <w:p w14:paraId="6CAA8082" w14:textId="77777777" w:rsidR="00D74F4E" w:rsidRPr="00D74F4E" w:rsidRDefault="00D74F4E" w:rsidP="00D74F4E">
      <w:pPr>
        <w:pStyle w:val="a9"/>
        <w:ind w:left="0" w:firstLine="709"/>
        <w:jc w:val="both"/>
        <w:rPr>
          <w:rFonts w:ascii="Times New Roman" w:hAnsi="Times New Roman" w:cs="Times New Roman"/>
          <w:sz w:val="28"/>
          <w:szCs w:val="28"/>
        </w:rPr>
      </w:pPr>
      <w:r w:rsidRPr="00D74F4E">
        <w:rPr>
          <w:rFonts w:ascii="Times New Roman" w:hAnsi="Times New Roman" w:cs="Times New Roman"/>
          <w:sz w:val="28"/>
          <w:szCs w:val="28"/>
        </w:rPr>
        <w:t>Структурний аналіз водоспоживання демонструє суттєву диференціацію територій за часткою туристичного сектора. Найвищі коефіцієнти зафіксовано у громадах з вираженою рекреаційною спеціалізацією:</w:t>
      </w:r>
    </w:p>
    <w:p w14:paraId="6410E27A" w14:textId="77777777" w:rsidR="00D74F4E" w:rsidRPr="00D74F4E" w:rsidRDefault="00D74F4E" w:rsidP="00D74F4E">
      <w:pPr>
        <w:pStyle w:val="a9"/>
        <w:numPr>
          <w:ilvl w:val="0"/>
          <w:numId w:val="2"/>
        </w:numPr>
        <w:ind w:left="0" w:firstLine="0"/>
        <w:jc w:val="both"/>
        <w:rPr>
          <w:rFonts w:ascii="Times New Roman" w:hAnsi="Times New Roman" w:cs="Times New Roman"/>
          <w:sz w:val="28"/>
          <w:szCs w:val="28"/>
        </w:rPr>
      </w:pPr>
      <w:r w:rsidRPr="00D74F4E">
        <w:rPr>
          <w:rFonts w:ascii="Times New Roman" w:hAnsi="Times New Roman" w:cs="Times New Roman"/>
          <w:sz w:val="28"/>
          <w:szCs w:val="28"/>
        </w:rPr>
        <w:t>Поляницька сільська громада (0,834)</w:t>
      </w:r>
    </w:p>
    <w:p w14:paraId="76CD47D8" w14:textId="77777777" w:rsidR="00D74F4E" w:rsidRPr="00D74F4E" w:rsidRDefault="00D74F4E" w:rsidP="00D74F4E">
      <w:pPr>
        <w:pStyle w:val="a9"/>
        <w:numPr>
          <w:ilvl w:val="0"/>
          <w:numId w:val="2"/>
        </w:numPr>
        <w:ind w:left="0" w:firstLine="0"/>
        <w:jc w:val="both"/>
        <w:rPr>
          <w:rFonts w:ascii="Times New Roman" w:hAnsi="Times New Roman" w:cs="Times New Roman"/>
          <w:sz w:val="28"/>
          <w:szCs w:val="28"/>
        </w:rPr>
      </w:pPr>
      <w:r w:rsidRPr="00D74F4E">
        <w:rPr>
          <w:rFonts w:ascii="Times New Roman" w:hAnsi="Times New Roman" w:cs="Times New Roman"/>
          <w:sz w:val="28"/>
          <w:szCs w:val="28"/>
        </w:rPr>
        <w:t>Яремчанська міська громада (0,615)</w:t>
      </w:r>
    </w:p>
    <w:p w14:paraId="3C4A2E64" w14:textId="77777777" w:rsidR="00D74F4E" w:rsidRPr="00D74F4E" w:rsidRDefault="00D74F4E" w:rsidP="00D74F4E">
      <w:pPr>
        <w:pStyle w:val="a9"/>
        <w:numPr>
          <w:ilvl w:val="0"/>
          <w:numId w:val="2"/>
        </w:numPr>
        <w:ind w:left="0" w:firstLine="0"/>
        <w:jc w:val="both"/>
        <w:rPr>
          <w:rFonts w:ascii="Times New Roman" w:hAnsi="Times New Roman" w:cs="Times New Roman"/>
          <w:sz w:val="28"/>
          <w:szCs w:val="28"/>
        </w:rPr>
      </w:pPr>
      <w:r w:rsidRPr="00D74F4E">
        <w:rPr>
          <w:rFonts w:ascii="Times New Roman" w:hAnsi="Times New Roman" w:cs="Times New Roman"/>
          <w:sz w:val="28"/>
          <w:szCs w:val="28"/>
        </w:rPr>
        <w:t>Ворохтянська селищна громада (0,542)</w:t>
      </w:r>
    </w:p>
    <w:p w14:paraId="04E2952A" w14:textId="77777777" w:rsidR="00D74F4E" w:rsidRPr="00D74F4E" w:rsidRDefault="00D74F4E" w:rsidP="00D74F4E">
      <w:pPr>
        <w:pStyle w:val="a9"/>
        <w:ind w:left="0" w:firstLine="709"/>
        <w:jc w:val="both"/>
        <w:rPr>
          <w:rFonts w:ascii="Times New Roman" w:hAnsi="Times New Roman" w:cs="Times New Roman"/>
          <w:sz w:val="28"/>
          <w:szCs w:val="28"/>
        </w:rPr>
      </w:pPr>
      <w:r w:rsidRPr="00D74F4E">
        <w:rPr>
          <w:rFonts w:ascii="Times New Roman" w:hAnsi="Times New Roman" w:cs="Times New Roman"/>
          <w:sz w:val="28"/>
          <w:szCs w:val="28"/>
        </w:rPr>
        <w:t>У цих адміністративних одиницях спостерігається домінування рекреаційно-орієнтованих компонентів у структурі водокористування, що включає водозабезпечення закладів розміщення, об'єктів харчування, транспортної та супутньої інфраструктури туристичного призначення.</w:t>
      </w:r>
    </w:p>
    <w:p w14:paraId="2FB6D91A" w14:textId="596045A8" w:rsidR="00D74F4E" w:rsidRDefault="00D74F4E" w:rsidP="00AE2C74">
      <w:pPr>
        <w:pStyle w:val="a9"/>
        <w:ind w:left="0" w:firstLine="709"/>
        <w:jc w:val="both"/>
        <w:rPr>
          <w:rFonts w:ascii="Times New Roman" w:hAnsi="Times New Roman" w:cs="Times New Roman"/>
          <w:sz w:val="28"/>
          <w:szCs w:val="28"/>
        </w:rPr>
      </w:pPr>
      <w:r w:rsidRPr="00D74F4E">
        <w:rPr>
          <w:rFonts w:ascii="Times New Roman" w:hAnsi="Times New Roman" w:cs="Times New Roman"/>
          <w:sz w:val="28"/>
          <w:szCs w:val="28"/>
        </w:rPr>
        <w:t xml:space="preserve">Виявлена структурна специфіка водоспоживання в туристично-орієнтованих громадах свідчить про підвищену вразливість їх водогосподарських систем до сезонних флуктуацій рекреаційного попиту. Це </w:t>
      </w:r>
      <w:r w:rsidRPr="00D74F4E">
        <w:rPr>
          <w:rFonts w:ascii="Times New Roman" w:hAnsi="Times New Roman" w:cs="Times New Roman"/>
          <w:sz w:val="28"/>
          <w:szCs w:val="28"/>
        </w:rPr>
        <w:lastRenderedPageBreak/>
        <w:t>формує передумови для виникнення пікових навантажень на водні ресурси та водогосподарську інфраструктуру в періоди максимальної туристичної активності, що потребує впровадження адаптивних механізмів управління водокористуванням з урахуванням сезонної динаміки</w:t>
      </w:r>
    </w:p>
    <w:p w14:paraId="64F63F91" w14:textId="6288A88B" w:rsidR="00AE2C74" w:rsidRDefault="00AE2C74" w:rsidP="00AE2C74">
      <w:pPr>
        <w:pStyle w:val="a9"/>
        <w:ind w:left="0" w:firstLine="709"/>
        <w:jc w:val="both"/>
        <w:rPr>
          <w:rFonts w:ascii="Times New Roman" w:hAnsi="Times New Roman" w:cs="Times New Roman"/>
          <w:sz w:val="28"/>
          <w:szCs w:val="28"/>
        </w:rPr>
      </w:pPr>
      <w:r w:rsidRPr="00FA7E21">
        <w:rPr>
          <w:rFonts w:ascii="Times New Roman" w:hAnsi="Times New Roman" w:cs="Times New Roman"/>
          <w:sz w:val="28"/>
          <w:szCs w:val="28"/>
        </w:rPr>
        <w:t>Рис. X.X.</w:t>
      </w:r>
      <w:r>
        <w:rPr>
          <w:rFonts w:ascii="Times New Roman" w:hAnsi="Times New Roman" w:cs="Times New Roman"/>
          <w:sz w:val="28"/>
          <w:szCs w:val="28"/>
        </w:rPr>
        <w:t xml:space="preserve"> </w:t>
      </w:r>
      <w:r w:rsidRPr="00AE2C74">
        <w:rPr>
          <w:rFonts w:ascii="Times New Roman" w:hAnsi="Times New Roman" w:cs="Times New Roman"/>
          <w:sz w:val="28"/>
          <w:szCs w:val="28"/>
        </w:rPr>
        <w:t>Інтенсивність водоспоживання (м³/км²) та частка туристичних підприємств у загальному водоспоживанні територіальних громад Івано-Франківської області, 2024 р.</w:t>
      </w:r>
    </w:p>
    <w:p w14:paraId="32BD08DC" w14:textId="6491D196" w:rsidR="00AE2C74" w:rsidRDefault="00AE2C74" w:rsidP="00AE2C74">
      <w:pPr>
        <w:pStyle w:val="a9"/>
        <w:ind w:left="0" w:firstLine="709"/>
        <w:jc w:val="both"/>
        <w:rPr>
          <w:rFonts w:ascii="Times New Roman" w:hAnsi="Times New Roman" w:cs="Times New Roman"/>
          <w:sz w:val="28"/>
          <w:szCs w:val="28"/>
        </w:rPr>
      </w:pPr>
      <w:r>
        <w:rPr>
          <w:rFonts w:ascii="Times New Roman" w:hAnsi="Times New Roman" w:cs="Times New Roman"/>
          <w:sz w:val="28"/>
          <w:szCs w:val="28"/>
        </w:rPr>
        <w:t>Карти + табличні дані в папці КАРТИ_</w:t>
      </w:r>
      <w:r>
        <w:rPr>
          <w:rFonts w:ascii="Times New Roman" w:hAnsi="Times New Roman" w:cs="Times New Roman"/>
          <w:sz w:val="28"/>
          <w:szCs w:val="28"/>
        </w:rPr>
        <w:t>ВОДА</w:t>
      </w:r>
      <w:r>
        <w:rPr>
          <w:rFonts w:ascii="Times New Roman" w:hAnsi="Times New Roman" w:cs="Times New Roman"/>
          <w:sz w:val="28"/>
          <w:szCs w:val="28"/>
        </w:rPr>
        <w:t>.</w:t>
      </w:r>
    </w:p>
    <w:p w14:paraId="2135E218" w14:textId="77777777" w:rsidR="00AE2C74" w:rsidRPr="00AE2C74" w:rsidRDefault="00AE2C74" w:rsidP="00AE2C74">
      <w:pPr>
        <w:pStyle w:val="a9"/>
        <w:ind w:left="0" w:firstLine="709"/>
        <w:jc w:val="both"/>
        <w:rPr>
          <w:rFonts w:ascii="Times New Roman" w:hAnsi="Times New Roman" w:cs="Times New Roman"/>
          <w:sz w:val="28"/>
          <w:szCs w:val="28"/>
        </w:rPr>
      </w:pPr>
    </w:p>
    <w:p w14:paraId="78A5713E" w14:textId="137F0D39" w:rsidR="009B7130" w:rsidRDefault="00C22DF5" w:rsidP="009B7130">
      <w:pPr>
        <w:pStyle w:val="a9"/>
        <w:ind w:left="0" w:firstLine="709"/>
        <w:jc w:val="both"/>
        <w:rPr>
          <w:rFonts w:ascii="Times New Roman" w:hAnsi="Times New Roman" w:cs="Times New Roman"/>
          <w:b/>
          <w:bCs/>
          <w:sz w:val="28"/>
          <w:szCs w:val="28"/>
        </w:rPr>
      </w:pPr>
      <w:r w:rsidRPr="00C22DF5">
        <w:rPr>
          <w:rFonts w:ascii="Times New Roman" w:hAnsi="Times New Roman" w:cs="Times New Roman"/>
          <w:b/>
          <w:bCs/>
          <w:sz w:val="28"/>
          <w:szCs w:val="28"/>
        </w:rPr>
        <w:t>Карта викидів в атмосферу</w:t>
      </w:r>
    </w:p>
    <w:p w14:paraId="66EC5CA9" w14:textId="6C72325F" w:rsidR="00C22DF5" w:rsidRDefault="00C22DF5" w:rsidP="009B7130">
      <w:pPr>
        <w:pStyle w:val="a9"/>
        <w:ind w:left="0" w:firstLine="709"/>
        <w:jc w:val="both"/>
        <w:rPr>
          <w:rFonts w:ascii="Times New Roman" w:hAnsi="Times New Roman" w:cs="Times New Roman"/>
          <w:sz w:val="28"/>
          <w:szCs w:val="28"/>
        </w:rPr>
      </w:pPr>
      <w:r w:rsidRPr="00C22DF5">
        <w:rPr>
          <w:rFonts w:ascii="Times New Roman" w:hAnsi="Times New Roman" w:cs="Times New Roman"/>
          <w:sz w:val="28"/>
          <w:szCs w:val="28"/>
        </w:rPr>
        <w:t>Аналіз просторового розподілу питомих викидів у атмосферу (т/км²) демонструє чітку диференціацію територій за інтенсивністю антропогенного навантаження. Бурштинська міська громада характеризується екстремально високими показниками (24 206,4 т/км²), що детерміновано функціонуванням потужного енергогенеруючого об'єкта — Бурштинської ТЕС. Калуська міська громада, як значний центр хімічної промисловості, демонструє суттєво нижчі, але все ж значні обсяги емісії (1 268,7 т/км²).</w:t>
      </w:r>
    </w:p>
    <w:p w14:paraId="0DD62C67" w14:textId="0543031C" w:rsidR="00C22DF5" w:rsidRDefault="00C22DF5" w:rsidP="009B7130">
      <w:pPr>
        <w:pStyle w:val="a9"/>
        <w:ind w:left="0" w:firstLine="709"/>
        <w:jc w:val="both"/>
        <w:rPr>
          <w:rFonts w:ascii="Times New Roman" w:hAnsi="Times New Roman" w:cs="Times New Roman"/>
          <w:sz w:val="28"/>
          <w:szCs w:val="28"/>
        </w:rPr>
      </w:pPr>
      <w:r w:rsidRPr="00C22DF5">
        <w:rPr>
          <w:rFonts w:ascii="Times New Roman" w:hAnsi="Times New Roman" w:cs="Times New Roman"/>
          <w:sz w:val="28"/>
          <w:szCs w:val="28"/>
        </w:rPr>
        <w:t>Проміжну позицію за інтенсивністю викидів займають Долинська міська громада (306,2 т/км²) та Солотвинська селищна громада (88,1 т/км²). Решта адміністративних одиниць регіону характеризується істотно нижчими показниками, що підтверджує концентрацію основних джерел забруднення в обмеженій кількості промислових центрів.</w:t>
      </w:r>
    </w:p>
    <w:p w14:paraId="6089CEEF" w14:textId="77777777" w:rsidR="00C22DF5" w:rsidRPr="00C22DF5" w:rsidRDefault="00C22DF5" w:rsidP="00C22DF5">
      <w:pPr>
        <w:pStyle w:val="a9"/>
        <w:ind w:left="0" w:firstLine="709"/>
        <w:jc w:val="both"/>
        <w:rPr>
          <w:rFonts w:ascii="Times New Roman" w:hAnsi="Times New Roman" w:cs="Times New Roman"/>
          <w:sz w:val="28"/>
          <w:szCs w:val="28"/>
        </w:rPr>
      </w:pPr>
      <w:r w:rsidRPr="00C22DF5">
        <w:rPr>
          <w:rFonts w:ascii="Times New Roman" w:hAnsi="Times New Roman" w:cs="Times New Roman"/>
          <w:sz w:val="28"/>
          <w:szCs w:val="28"/>
        </w:rPr>
        <w:t>Дослідження виявило закономірність: частка туристичного сектору в структурі атмосферних викидів досягає максимальних значень у громадах з обмеженою промисловою базою. Найвищі коефіцієнти зафіксовано у:</w:t>
      </w:r>
    </w:p>
    <w:p w14:paraId="21D4835D" w14:textId="77777777" w:rsidR="00C22DF5" w:rsidRPr="00C22DF5" w:rsidRDefault="00C22DF5" w:rsidP="00C22DF5">
      <w:pPr>
        <w:pStyle w:val="a9"/>
        <w:numPr>
          <w:ilvl w:val="0"/>
          <w:numId w:val="2"/>
        </w:numPr>
        <w:ind w:left="0" w:firstLine="0"/>
        <w:jc w:val="both"/>
        <w:rPr>
          <w:rFonts w:ascii="Times New Roman" w:hAnsi="Times New Roman" w:cs="Times New Roman"/>
          <w:sz w:val="28"/>
          <w:szCs w:val="28"/>
        </w:rPr>
      </w:pPr>
      <w:r w:rsidRPr="00C22DF5">
        <w:rPr>
          <w:rFonts w:ascii="Times New Roman" w:hAnsi="Times New Roman" w:cs="Times New Roman"/>
          <w:sz w:val="28"/>
          <w:szCs w:val="28"/>
        </w:rPr>
        <w:t>Ворохтянській селищній громаді (0,966)</w:t>
      </w:r>
    </w:p>
    <w:p w14:paraId="70C046C5" w14:textId="77777777" w:rsidR="00C22DF5" w:rsidRPr="00C22DF5" w:rsidRDefault="00C22DF5" w:rsidP="00C22DF5">
      <w:pPr>
        <w:pStyle w:val="a9"/>
        <w:numPr>
          <w:ilvl w:val="0"/>
          <w:numId w:val="2"/>
        </w:numPr>
        <w:ind w:left="0" w:firstLine="0"/>
        <w:jc w:val="both"/>
        <w:rPr>
          <w:rFonts w:ascii="Times New Roman" w:hAnsi="Times New Roman" w:cs="Times New Roman"/>
          <w:sz w:val="28"/>
          <w:szCs w:val="28"/>
        </w:rPr>
      </w:pPr>
      <w:r w:rsidRPr="00C22DF5">
        <w:rPr>
          <w:rFonts w:ascii="Times New Roman" w:hAnsi="Times New Roman" w:cs="Times New Roman"/>
          <w:sz w:val="28"/>
          <w:szCs w:val="28"/>
        </w:rPr>
        <w:t>Богородчанській селищній громаді (0,773)</w:t>
      </w:r>
    </w:p>
    <w:p w14:paraId="1B67F86B" w14:textId="77777777" w:rsidR="00C22DF5" w:rsidRPr="00C22DF5" w:rsidRDefault="00C22DF5" w:rsidP="00C22DF5">
      <w:pPr>
        <w:pStyle w:val="a9"/>
        <w:numPr>
          <w:ilvl w:val="0"/>
          <w:numId w:val="2"/>
        </w:numPr>
        <w:ind w:left="0" w:firstLine="0"/>
        <w:jc w:val="both"/>
        <w:rPr>
          <w:rFonts w:ascii="Times New Roman" w:hAnsi="Times New Roman" w:cs="Times New Roman"/>
          <w:sz w:val="28"/>
          <w:szCs w:val="28"/>
        </w:rPr>
      </w:pPr>
      <w:r w:rsidRPr="00C22DF5">
        <w:rPr>
          <w:rFonts w:ascii="Times New Roman" w:hAnsi="Times New Roman" w:cs="Times New Roman"/>
          <w:sz w:val="28"/>
          <w:szCs w:val="28"/>
        </w:rPr>
        <w:t>Надвірнянській міській громаді (0,526)</w:t>
      </w:r>
    </w:p>
    <w:p w14:paraId="7EB1D64B" w14:textId="77777777" w:rsidR="00C22DF5" w:rsidRPr="00C22DF5" w:rsidRDefault="00C22DF5" w:rsidP="00C22DF5">
      <w:pPr>
        <w:pStyle w:val="a9"/>
        <w:numPr>
          <w:ilvl w:val="0"/>
          <w:numId w:val="2"/>
        </w:numPr>
        <w:ind w:left="0" w:firstLine="0"/>
        <w:jc w:val="both"/>
        <w:rPr>
          <w:rFonts w:ascii="Times New Roman" w:hAnsi="Times New Roman" w:cs="Times New Roman"/>
          <w:sz w:val="28"/>
          <w:szCs w:val="28"/>
        </w:rPr>
      </w:pPr>
      <w:r w:rsidRPr="00C22DF5">
        <w:rPr>
          <w:rFonts w:ascii="Times New Roman" w:hAnsi="Times New Roman" w:cs="Times New Roman"/>
          <w:sz w:val="28"/>
          <w:szCs w:val="28"/>
        </w:rPr>
        <w:t>Солотвинській селищній громаді (0,418)</w:t>
      </w:r>
    </w:p>
    <w:p w14:paraId="0776E8A5" w14:textId="77777777" w:rsidR="00C22DF5" w:rsidRDefault="00C22DF5" w:rsidP="00C22DF5">
      <w:pPr>
        <w:pStyle w:val="a9"/>
        <w:ind w:left="0" w:firstLine="709"/>
        <w:jc w:val="both"/>
        <w:rPr>
          <w:rFonts w:ascii="Times New Roman" w:hAnsi="Times New Roman" w:cs="Times New Roman"/>
          <w:sz w:val="28"/>
          <w:szCs w:val="28"/>
        </w:rPr>
      </w:pPr>
      <w:r w:rsidRPr="00C22DF5">
        <w:rPr>
          <w:rFonts w:ascii="Times New Roman" w:hAnsi="Times New Roman" w:cs="Times New Roman"/>
          <w:sz w:val="28"/>
          <w:szCs w:val="28"/>
        </w:rPr>
        <w:t>Отримані результати підтверджують гіпотезу про те, що в територіальних одиницях з низьким рівнем індустріалізації транспортні та теплогенераційні процеси, асоційовані з рекреаційною діяльністю, формують значну частку загального обсягу атмосферних викидів.</w:t>
      </w:r>
    </w:p>
    <w:p w14:paraId="395DB7EB" w14:textId="73D90012" w:rsidR="00C22DF5" w:rsidRPr="00C22DF5" w:rsidRDefault="00C22DF5" w:rsidP="00C22DF5">
      <w:pPr>
        <w:pStyle w:val="a9"/>
        <w:ind w:left="0" w:firstLine="709"/>
        <w:jc w:val="both"/>
        <w:rPr>
          <w:rFonts w:ascii="Times New Roman" w:hAnsi="Times New Roman" w:cs="Times New Roman"/>
          <w:sz w:val="28"/>
          <w:szCs w:val="28"/>
        </w:rPr>
      </w:pPr>
      <w:r w:rsidRPr="00C22DF5">
        <w:rPr>
          <w:rFonts w:ascii="Times New Roman" w:hAnsi="Times New Roman" w:cs="Times New Roman"/>
          <w:b/>
          <w:bCs/>
          <w:sz w:val="28"/>
          <w:szCs w:val="28"/>
        </w:rPr>
        <w:t>Рис. 3.9.</w:t>
      </w:r>
      <w:r w:rsidRPr="00C22DF5">
        <w:rPr>
          <w:rFonts w:ascii="Times New Roman" w:hAnsi="Times New Roman" w:cs="Times New Roman"/>
          <w:sz w:val="28"/>
          <w:szCs w:val="28"/>
        </w:rPr>
        <w:t xml:space="preserve"> Інтенсивність викидів забруднювальних речовин в атмосферу у територіальних громадах Івано-Франківської області у 2024 р., розрахована на 1 км² площі громади</w:t>
      </w:r>
      <w:r>
        <w:rPr>
          <w:rFonts w:ascii="Times New Roman" w:hAnsi="Times New Roman" w:cs="Times New Roman"/>
          <w:sz w:val="28"/>
          <w:szCs w:val="28"/>
        </w:rPr>
        <w:t xml:space="preserve"> (тон/</w:t>
      </w:r>
      <w:r w:rsidRPr="00C22DF5">
        <w:rPr>
          <w:rFonts w:ascii="Times New Roman" w:hAnsi="Times New Roman" w:cs="Times New Roman"/>
          <w:sz w:val="28"/>
          <w:szCs w:val="28"/>
        </w:rPr>
        <w:t xml:space="preserve"> </w:t>
      </w:r>
      <w:r w:rsidRPr="00C22DF5">
        <w:rPr>
          <w:rFonts w:ascii="Times New Roman" w:hAnsi="Times New Roman" w:cs="Times New Roman"/>
          <w:sz w:val="28"/>
          <w:szCs w:val="28"/>
        </w:rPr>
        <w:t>км²</w:t>
      </w:r>
      <w:r>
        <w:rPr>
          <w:rFonts w:ascii="Times New Roman" w:hAnsi="Times New Roman" w:cs="Times New Roman"/>
          <w:sz w:val="28"/>
          <w:szCs w:val="28"/>
        </w:rPr>
        <w:t>)</w:t>
      </w:r>
      <w:r w:rsidRPr="00C22DF5">
        <w:rPr>
          <w:rFonts w:ascii="Times New Roman" w:hAnsi="Times New Roman" w:cs="Times New Roman"/>
          <w:sz w:val="28"/>
          <w:szCs w:val="28"/>
        </w:rPr>
        <w:t>. Частка туристичного сектору визначена за даними суб’єктів, що сплачували туристичний збір.</w:t>
      </w:r>
    </w:p>
    <w:p w14:paraId="686A972E" w14:textId="7B0C32FC" w:rsidR="00C22DF5" w:rsidRDefault="00C22DF5" w:rsidP="009B7130">
      <w:pPr>
        <w:pStyle w:val="a9"/>
        <w:ind w:left="0" w:firstLine="709"/>
        <w:jc w:val="both"/>
        <w:rPr>
          <w:rFonts w:ascii="Times New Roman" w:hAnsi="Times New Roman" w:cs="Times New Roman"/>
          <w:sz w:val="28"/>
          <w:szCs w:val="28"/>
        </w:rPr>
      </w:pPr>
      <w:r>
        <w:rPr>
          <w:rFonts w:ascii="Times New Roman" w:hAnsi="Times New Roman" w:cs="Times New Roman"/>
          <w:sz w:val="28"/>
          <w:szCs w:val="28"/>
        </w:rPr>
        <w:t>Карти + табличні дані в папці КАРТИ_ВИКИДИ_АТМ</w:t>
      </w:r>
    </w:p>
    <w:p w14:paraId="726B40A9" w14:textId="77777777" w:rsidR="00C22DF5" w:rsidRDefault="00C22DF5" w:rsidP="009B7130">
      <w:pPr>
        <w:pStyle w:val="a9"/>
        <w:ind w:left="0" w:firstLine="709"/>
        <w:jc w:val="both"/>
        <w:rPr>
          <w:rFonts w:ascii="Times New Roman" w:hAnsi="Times New Roman" w:cs="Times New Roman"/>
          <w:sz w:val="28"/>
          <w:szCs w:val="28"/>
        </w:rPr>
      </w:pPr>
    </w:p>
    <w:p w14:paraId="6DA33D38" w14:textId="5BF4D638" w:rsidR="00C22DF5" w:rsidRPr="004C56A9" w:rsidRDefault="004C56A9" w:rsidP="009B7130">
      <w:pPr>
        <w:pStyle w:val="a9"/>
        <w:ind w:left="0" w:firstLine="709"/>
        <w:jc w:val="both"/>
        <w:rPr>
          <w:rFonts w:ascii="Times New Roman" w:hAnsi="Times New Roman" w:cs="Times New Roman"/>
          <w:b/>
          <w:bCs/>
          <w:sz w:val="28"/>
          <w:szCs w:val="28"/>
        </w:rPr>
      </w:pPr>
      <w:r w:rsidRPr="004C56A9">
        <w:rPr>
          <w:rFonts w:ascii="Times New Roman" w:hAnsi="Times New Roman" w:cs="Times New Roman"/>
          <w:b/>
          <w:bCs/>
          <w:sz w:val="28"/>
          <w:szCs w:val="28"/>
        </w:rPr>
        <w:t>Карта викидів в водойми</w:t>
      </w:r>
    </w:p>
    <w:p w14:paraId="3A27D281" w14:textId="77777777" w:rsidR="004C56A9" w:rsidRDefault="004C56A9" w:rsidP="009B7130">
      <w:pPr>
        <w:pStyle w:val="a9"/>
        <w:ind w:left="0" w:firstLine="709"/>
        <w:jc w:val="both"/>
        <w:rPr>
          <w:rFonts w:ascii="Times New Roman" w:hAnsi="Times New Roman" w:cs="Times New Roman"/>
          <w:sz w:val="28"/>
          <w:szCs w:val="28"/>
        </w:rPr>
      </w:pPr>
    </w:p>
    <w:p w14:paraId="772BC364" w14:textId="2F9F2E4C" w:rsidR="004C56A9" w:rsidRDefault="004C56A9" w:rsidP="009B7130">
      <w:pPr>
        <w:pStyle w:val="a9"/>
        <w:ind w:left="0" w:firstLine="709"/>
        <w:jc w:val="both"/>
        <w:rPr>
          <w:rFonts w:ascii="Times New Roman" w:hAnsi="Times New Roman" w:cs="Times New Roman"/>
          <w:sz w:val="28"/>
          <w:szCs w:val="28"/>
        </w:rPr>
      </w:pPr>
      <w:r w:rsidRPr="004C56A9">
        <w:rPr>
          <w:rFonts w:ascii="Times New Roman" w:hAnsi="Times New Roman" w:cs="Times New Roman"/>
          <w:sz w:val="28"/>
          <w:szCs w:val="28"/>
        </w:rPr>
        <w:t xml:space="preserve">Інтенсивність скидів у водні об’єкти на км² виявляє концентрацію впливів у промислово-комунальних осередках регіону. Найвищі значення зафіксовані у </w:t>
      </w:r>
      <w:r w:rsidRPr="004C56A9">
        <w:rPr>
          <w:rFonts w:ascii="Times New Roman" w:hAnsi="Times New Roman" w:cs="Times New Roman"/>
          <w:sz w:val="28"/>
          <w:szCs w:val="28"/>
        </w:rPr>
        <w:lastRenderedPageBreak/>
        <w:t>Бурштинській міській громаді (28,7 т/км²) та Галицькій міській громаді (16,3 т/км²), де функціонують об’єкти енергетики та комунального господарства. Додатково виділяються Калуська та Долинська громади, що мають сталу індустріальну базу.</w:t>
      </w:r>
      <w:r w:rsidRPr="004C56A9">
        <w:rPr>
          <w:rFonts w:ascii="Times New Roman" w:hAnsi="Times New Roman" w:cs="Times New Roman"/>
          <w:sz w:val="28"/>
          <w:szCs w:val="28"/>
        </w:rPr>
        <w:br/>
        <w:t>Водночас частка туристичних підприємств у загальних обсягах скидів є найбільшою у Яремчанській міській (0,962) та Поляницькій сільській громадах (0,885). Це пояснюється тим, що у рекреаційних територіях промислова складова обмежена, а вагомими залишаються впливи від туристичної інфраструктури (готелі, заклади харчування, об’єкти відпочинку), що формують основні навантаження на водні ресурси. Таким чином, для Карпатських громад екологічні ризики у сфері водокористування значною мірою зумовлюються рекреаційною діяльністю.</w:t>
      </w:r>
    </w:p>
    <w:p w14:paraId="2AD6F38C" w14:textId="77777777" w:rsidR="004C56A9" w:rsidRDefault="004C56A9" w:rsidP="004C56A9">
      <w:pPr>
        <w:pStyle w:val="a9"/>
        <w:ind w:left="0" w:firstLine="709"/>
        <w:jc w:val="both"/>
        <w:rPr>
          <w:rFonts w:ascii="Times New Roman" w:hAnsi="Times New Roman" w:cs="Times New Roman"/>
          <w:sz w:val="28"/>
          <w:szCs w:val="28"/>
        </w:rPr>
      </w:pPr>
      <w:r w:rsidRPr="00FA7E21">
        <w:rPr>
          <w:rFonts w:ascii="Times New Roman" w:hAnsi="Times New Roman" w:cs="Times New Roman"/>
          <w:sz w:val="28"/>
          <w:szCs w:val="28"/>
        </w:rPr>
        <w:t xml:space="preserve">Рис. X.X. </w:t>
      </w:r>
      <w:r w:rsidRPr="004C56A9">
        <w:rPr>
          <w:rFonts w:ascii="Times New Roman" w:hAnsi="Times New Roman" w:cs="Times New Roman"/>
          <w:sz w:val="28"/>
          <w:szCs w:val="28"/>
        </w:rPr>
        <w:t>Інтенсивність скидів у водні об’єкти (т/км²) та частка туристичних підприємств у їх структурі за територіальними громадами Івано-Франківської області, 2024 р.</w:t>
      </w:r>
    </w:p>
    <w:p w14:paraId="4ACBCD3E" w14:textId="389BFA54" w:rsidR="004C56A9" w:rsidRDefault="004C56A9" w:rsidP="004C56A9">
      <w:pPr>
        <w:pStyle w:val="a9"/>
        <w:ind w:left="0" w:firstLine="709"/>
        <w:jc w:val="both"/>
        <w:rPr>
          <w:rFonts w:ascii="Times New Roman" w:hAnsi="Times New Roman" w:cs="Times New Roman"/>
          <w:sz w:val="28"/>
          <w:szCs w:val="28"/>
        </w:rPr>
      </w:pPr>
      <w:r>
        <w:rPr>
          <w:rFonts w:ascii="Times New Roman" w:hAnsi="Times New Roman" w:cs="Times New Roman"/>
          <w:sz w:val="28"/>
          <w:szCs w:val="28"/>
        </w:rPr>
        <w:t>Карти + табличні дані в папці КАРТИ_</w:t>
      </w:r>
      <w:r>
        <w:rPr>
          <w:rFonts w:ascii="Times New Roman" w:hAnsi="Times New Roman" w:cs="Times New Roman"/>
          <w:sz w:val="28"/>
          <w:szCs w:val="28"/>
        </w:rPr>
        <w:t>ВИКИДИ_ВОДОЙМИ</w:t>
      </w:r>
      <w:r>
        <w:rPr>
          <w:rFonts w:ascii="Times New Roman" w:hAnsi="Times New Roman" w:cs="Times New Roman"/>
          <w:sz w:val="28"/>
          <w:szCs w:val="28"/>
        </w:rPr>
        <w:t>.</w:t>
      </w:r>
    </w:p>
    <w:p w14:paraId="37F81267" w14:textId="77777777" w:rsidR="004C56A9" w:rsidRDefault="004C56A9" w:rsidP="009B7130">
      <w:pPr>
        <w:pStyle w:val="a9"/>
        <w:ind w:left="0" w:firstLine="709"/>
        <w:jc w:val="both"/>
        <w:rPr>
          <w:rFonts w:ascii="Times New Roman" w:hAnsi="Times New Roman" w:cs="Times New Roman"/>
          <w:sz w:val="28"/>
          <w:szCs w:val="28"/>
        </w:rPr>
      </w:pPr>
    </w:p>
    <w:p w14:paraId="0F0ED9A3" w14:textId="168F54B4" w:rsidR="007B7852" w:rsidRPr="004C56A9" w:rsidRDefault="007B7852" w:rsidP="007B7852">
      <w:pPr>
        <w:pStyle w:val="a9"/>
        <w:ind w:left="0" w:firstLine="709"/>
        <w:jc w:val="both"/>
        <w:rPr>
          <w:rFonts w:ascii="Times New Roman" w:hAnsi="Times New Roman" w:cs="Times New Roman"/>
          <w:b/>
          <w:bCs/>
          <w:sz w:val="28"/>
          <w:szCs w:val="28"/>
        </w:rPr>
      </w:pPr>
      <w:r w:rsidRPr="004C56A9">
        <w:rPr>
          <w:rFonts w:ascii="Times New Roman" w:hAnsi="Times New Roman" w:cs="Times New Roman"/>
          <w:b/>
          <w:bCs/>
          <w:sz w:val="28"/>
          <w:szCs w:val="28"/>
        </w:rPr>
        <w:t xml:space="preserve">Карта </w:t>
      </w:r>
      <w:r>
        <w:rPr>
          <w:rFonts w:ascii="Times New Roman" w:hAnsi="Times New Roman" w:cs="Times New Roman"/>
          <w:b/>
          <w:bCs/>
          <w:sz w:val="28"/>
          <w:szCs w:val="28"/>
        </w:rPr>
        <w:t>розміщення ТПВ</w:t>
      </w:r>
    </w:p>
    <w:p w14:paraId="18A863F1" w14:textId="0EED4CBF" w:rsidR="007B7852" w:rsidRDefault="00940AB6" w:rsidP="009B7130">
      <w:pPr>
        <w:pStyle w:val="a9"/>
        <w:ind w:left="0" w:firstLine="709"/>
        <w:jc w:val="both"/>
        <w:rPr>
          <w:rFonts w:ascii="Times New Roman" w:hAnsi="Times New Roman" w:cs="Times New Roman"/>
          <w:sz w:val="28"/>
          <w:szCs w:val="28"/>
        </w:rPr>
      </w:pPr>
      <w:r w:rsidRPr="00940AB6">
        <w:rPr>
          <w:rFonts w:ascii="Times New Roman" w:hAnsi="Times New Roman" w:cs="Times New Roman"/>
          <w:sz w:val="28"/>
          <w:szCs w:val="28"/>
        </w:rPr>
        <w:t>Аналіз просторового розподілу питомого показника утворення твердих побутових відходів (т/км²) виявляє виражену концентрацію у Ямницькій сільській громаді, де зафіксовано екстремально високе значення (7,4·10¹² т/км²). Цей феномен детермінований локалізацією на території громади значної кількості промислових об'єктів та інфраструктури поводження з відходами, включаючи полігони їх розміщення. Прилеглі адміністративні одиниці характеризуються суттєво нижчими, але все ж помітними показниками інтенсивності. Водночас, більшість територіальних громад регіону демонструють низькі значення питомого утворення ТПВ, що відображає нерівномірність просторового розподілу джерел генерації відходів.</w:t>
      </w:r>
    </w:p>
    <w:p w14:paraId="5AC41B4A" w14:textId="5B824A09" w:rsidR="00940AB6" w:rsidRDefault="00940AB6" w:rsidP="009B7130">
      <w:pPr>
        <w:pStyle w:val="a9"/>
        <w:ind w:left="0" w:firstLine="709"/>
        <w:jc w:val="both"/>
        <w:rPr>
          <w:rFonts w:ascii="Times New Roman" w:hAnsi="Times New Roman" w:cs="Times New Roman"/>
          <w:sz w:val="28"/>
          <w:szCs w:val="28"/>
        </w:rPr>
      </w:pPr>
      <w:r w:rsidRPr="00940AB6">
        <w:rPr>
          <w:rFonts w:ascii="Times New Roman" w:hAnsi="Times New Roman" w:cs="Times New Roman"/>
          <w:sz w:val="28"/>
          <w:szCs w:val="28"/>
        </w:rPr>
        <w:t>Структурний аналіз генерації твердих побутових відходів за секторами економіки демонструє відносно обмежений внесок туристичних підприємств у загальний обсяг ТПВ навіть у громадах з вираженою рекреаційною спеціалізацією. Максимальні значення частки туристичного сектора зафіксовано у Ворохтянській (0,242) та Поляницькій (0,214) сільських громадах.</w:t>
      </w:r>
    </w:p>
    <w:p w14:paraId="238BF6DD" w14:textId="77777777" w:rsidR="00940AB6" w:rsidRPr="00940AB6" w:rsidRDefault="00940AB6" w:rsidP="00940AB6">
      <w:pPr>
        <w:pStyle w:val="a9"/>
        <w:ind w:firstLine="709"/>
        <w:jc w:val="both"/>
        <w:rPr>
          <w:rFonts w:ascii="Times New Roman" w:hAnsi="Times New Roman" w:cs="Times New Roman"/>
          <w:sz w:val="28"/>
          <w:szCs w:val="28"/>
        </w:rPr>
      </w:pPr>
      <w:r w:rsidRPr="00940AB6">
        <w:rPr>
          <w:rFonts w:ascii="Times New Roman" w:hAnsi="Times New Roman" w:cs="Times New Roman"/>
          <w:sz w:val="28"/>
          <w:szCs w:val="28"/>
        </w:rPr>
        <w:t>Відносно низька частка туристичного сектора у структурі генерації ТПВ пояснюється комплексом факторів:</w:t>
      </w:r>
    </w:p>
    <w:p w14:paraId="4B8A4A6F" w14:textId="77777777" w:rsidR="00940AB6" w:rsidRPr="00940AB6" w:rsidRDefault="00940AB6" w:rsidP="00940AB6">
      <w:pPr>
        <w:pStyle w:val="a9"/>
        <w:numPr>
          <w:ilvl w:val="0"/>
          <w:numId w:val="4"/>
        </w:numPr>
        <w:jc w:val="both"/>
        <w:rPr>
          <w:rFonts w:ascii="Times New Roman" w:hAnsi="Times New Roman" w:cs="Times New Roman"/>
          <w:sz w:val="28"/>
          <w:szCs w:val="28"/>
        </w:rPr>
      </w:pPr>
      <w:r w:rsidRPr="00940AB6">
        <w:rPr>
          <w:rFonts w:ascii="Times New Roman" w:hAnsi="Times New Roman" w:cs="Times New Roman"/>
          <w:sz w:val="28"/>
          <w:szCs w:val="28"/>
        </w:rPr>
        <w:t>Виражена сезонність функціонування рекреаційних закладів, що обмежує кумулятивний річний обсяг утворення відходів</w:t>
      </w:r>
    </w:p>
    <w:p w14:paraId="13566F7A" w14:textId="77777777" w:rsidR="00940AB6" w:rsidRPr="00940AB6" w:rsidRDefault="00940AB6" w:rsidP="00940AB6">
      <w:pPr>
        <w:pStyle w:val="a9"/>
        <w:numPr>
          <w:ilvl w:val="0"/>
          <w:numId w:val="4"/>
        </w:numPr>
        <w:jc w:val="both"/>
        <w:rPr>
          <w:rFonts w:ascii="Times New Roman" w:hAnsi="Times New Roman" w:cs="Times New Roman"/>
          <w:sz w:val="28"/>
          <w:szCs w:val="28"/>
        </w:rPr>
      </w:pPr>
      <w:r w:rsidRPr="00940AB6">
        <w:rPr>
          <w:rFonts w:ascii="Times New Roman" w:hAnsi="Times New Roman" w:cs="Times New Roman"/>
          <w:sz w:val="28"/>
          <w:szCs w:val="28"/>
        </w:rPr>
        <w:t>Домінування індустріальних та комунально-побутових джерел у загальній структурі генерації ТПВ, що характеризуються значно вищими абсолютними обсягами утворення відходів</w:t>
      </w:r>
    </w:p>
    <w:p w14:paraId="75FF450D" w14:textId="77777777" w:rsidR="00940AB6" w:rsidRPr="00940AB6" w:rsidRDefault="00940AB6" w:rsidP="00940AB6">
      <w:pPr>
        <w:pStyle w:val="a9"/>
        <w:ind w:firstLine="709"/>
        <w:jc w:val="both"/>
        <w:rPr>
          <w:rFonts w:ascii="Times New Roman" w:hAnsi="Times New Roman" w:cs="Times New Roman"/>
          <w:sz w:val="28"/>
          <w:szCs w:val="28"/>
        </w:rPr>
      </w:pPr>
      <w:r w:rsidRPr="00940AB6">
        <w:rPr>
          <w:rFonts w:ascii="Times New Roman" w:hAnsi="Times New Roman" w:cs="Times New Roman"/>
          <w:sz w:val="28"/>
          <w:szCs w:val="28"/>
        </w:rPr>
        <w:t>Отримані результати свідчать про необхідність диференційованого підходу до управління потоками твердих побутових відходів з урахуванням секторальної специфіки їх утворення та просторової концентрації.</w:t>
      </w:r>
    </w:p>
    <w:p w14:paraId="194BF442" w14:textId="645325CC" w:rsidR="007B7852" w:rsidRDefault="007B7852" w:rsidP="007B7852">
      <w:pPr>
        <w:pStyle w:val="a9"/>
        <w:ind w:left="0" w:firstLine="709"/>
        <w:jc w:val="both"/>
        <w:rPr>
          <w:rFonts w:ascii="Times New Roman" w:hAnsi="Times New Roman" w:cs="Times New Roman"/>
          <w:sz w:val="28"/>
          <w:szCs w:val="28"/>
        </w:rPr>
      </w:pPr>
      <w:r w:rsidRPr="00FA7E21">
        <w:rPr>
          <w:rFonts w:ascii="Times New Roman" w:hAnsi="Times New Roman" w:cs="Times New Roman"/>
          <w:sz w:val="28"/>
          <w:szCs w:val="28"/>
        </w:rPr>
        <w:lastRenderedPageBreak/>
        <w:t xml:space="preserve">Рис. X.X. </w:t>
      </w:r>
      <w:r w:rsidRPr="007B7852">
        <w:rPr>
          <w:rFonts w:ascii="Times New Roman" w:hAnsi="Times New Roman" w:cs="Times New Roman"/>
          <w:sz w:val="28"/>
          <w:szCs w:val="28"/>
        </w:rPr>
        <w:t xml:space="preserve">Інтенсивність </w:t>
      </w:r>
      <w:r>
        <w:rPr>
          <w:rFonts w:ascii="Times New Roman" w:hAnsi="Times New Roman" w:cs="Times New Roman"/>
          <w:sz w:val="28"/>
          <w:szCs w:val="28"/>
        </w:rPr>
        <w:t>розміщення</w:t>
      </w:r>
      <w:r w:rsidRPr="007B7852">
        <w:rPr>
          <w:rFonts w:ascii="Times New Roman" w:hAnsi="Times New Roman" w:cs="Times New Roman"/>
          <w:sz w:val="28"/>
          <w:szCs w:val="28"/>
        </w:rPr>
        <w:t xml:space="preserve"> твердих побутових відходів </w:t>
      </w:r>
      <w:r>
        <w:rPr>
          <w:rFonts w:ascii="Times New Roman" w:hAnsi="Times New Roman" w:cs="Times New Roman"/>
          <w:sz w:val="28"/>
          <w:szCs w:val="28"/>
        </w:rPr>
        <w:t xml:space="preserve">(тон </w:t>
      </w:r>
      <w:r w:rsidRPr="007B7852">
        <w:rPr>
          <w:rFonts w:ascii="Times New Roman" w:hAnsi="Times New Roman" w:cs="Times New Roman"/>
          <w:sz w:val="28"/>
          <w:szCs w:val="28"/>
        </w:rPr>
        <w:t>на км²</w:t>
      </w:r>
      <w:r>
        <w:rPr>
          <w:rFonts w:ascii="Times New Roman" w:hAnsi="Times New Roman" w:cs="Times New Roman"/>
          <w:sz w:val="28"/>
          <w:szCs w:val="28"/>
        </w:rPr>
        <w:t>)</w:t>
      </w:r>
      <w:r w:rsidRPr="007B7852">
        <w:rPr>
          <w:rFonts w:ascii="Times New Roman" w:hAnsi="Times New Roman" w:cs="Times New Roman"/>
          <w:sz w:val="28"/>
          <w:szCs w:val="28"/>
        </w:rPr>
        <w:t xml:space="preserve"> та частка туристичних підприємств у їх обсягах за громадами Івано-Франківської області, 2024 р.</w:t>
      </w:r>
    </w:p>
    <w:p w14:paraId="11E64DAA" w14:textId="0106E65A" w:rsidR="007B7852" w:rsidRDefault="007B7852" w:rsidP="007B7852">
      <w:pPr>
        <w:pStyle w:val="a9"/>
        <w:ind w:left="0" w:firstLine="709"/>
        <w:jc w:val="both"/>
        <w:rPr>
          <w:rFonts w:ascii="Times New Roman" w:hAnsi="Times New Roman" w:cs="Times New Roman"/>
          <w:sz w:val="28"/>
          <w:szCs w:val="28"/>
        </w:rPr>
      </w:pPr>
      <w:r>
        <w:rPr>
          <w:rFonts w:ascii="Times New Roman" w:hAnsi="Times New Roman" w:cs="Times New Roman"/>
          <w:sz w:val="28"/>
          <w:szCs w:val="28"/>
        </w:rPr>
        <w:t>Карти + табличні дані в папці КАРТИ_ВИКИДИ_</w:t>
      </w:r>
      <w:r>
        <w:rPr>
          <w:rFonts w:ascii="Times New Roman" w:hAnsi="Times New Roman" w:cs="Times New Roman"/>
          <w:sz w:val="28"/>
          <w:szCs w:val="28"/>
        </w:rPr>
        <w:t>ТПВ</w:t>
      </w:r>
      <w:r>
        <w:rPr>
          <w:rFonts w:ascii="Times New Roman" w:hAnsi="Times New Roman" w:cs="Times New Roman"/>
          <w:sz w:val="28"/>
          <w:szCs w:val="28"/>
        </w:rPr>
        <w:t>.</w:t>
      </w:r>
    </w:p>
    <w:p w14:paraId="131EFE9F" w14:textId="77777777" w:rsidR="007B7852" w:rsidRPr="007B7852" w:rsidRDefault="007B7852" w:rsidP="009B7130">
      <w:pPr>
        <w:pStyle w:val="a9"/>
        <w:ind w:left="0" w:firstLine="709"/>
        <w:jc w:val="both"/>
        <w:rPr>
          <w:rFonts w:ascii="Times New Roman" w:hAnsi="Times New Roman" w:cs="Times New Roman"/>
          <w:sz w:val="28"/>
          <w:szCs w:val="28"/>
        </w:rPr>
      </w:pPr>
    </w:p>
    <w:sectPr w:rsidR="007B7852" w:rsidRPr="007B785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3BB0"/>
    <w:multiLevelType w:val="multilevel"/>
    <w:tmpl w:val="1884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0035A"/>
    <w:multiLevelType w:val="multilevel"/>
    <w:tmpl w:val="935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D179BA"/>
    <w:multiLevelType w:val="hybridMultilevel"/>
    <w:tmpl w:val="9A1CB82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76F725B0"/>
    <w:multiLevelType w:val="multilevel"/>
    <w:tmpl w:val="2F64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012802">
    <w:abstractNumId w:val="2"/>
  </w:num>
  <w:num w:numId="2" w16cid:durableId="345985531">
    <w:abstractNumId w:val="1"/>
  </w:num>
  <w:num w:numId="3" w16cid:durableId="1363482288">
    <w:abstractNumId w:val="0"/>
  </w:num>
  <w:num w:numId="4" w16cid:durableId="217253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764"/>
    <w:rsid w:val="00115ECC"/>
    <w:rsid w:val="001D3FF2"/>
    <w:rsid w:val="00402E7A"/>
    <w:rsid w:val="00436128"/>
    <w:rsid w:val="004A6297"/>
    <w:rsid w:val="004C56A9"/>
    <w:rsid w:val="00582415"/>
    <w:rsid w:val="006B76F2"/>
    <w:rsid w:val="007B7852"/>
    <w:rsid w:val="007D09FB"/>
    <w:rsid w:val="00835387"/>
    <w:rsid w:val="008570FA"/>
    <w:rsid w:val="008E7D81"/>
    <w:rsid w:val="00925EBD"/>
    <w:rsid w:val="00940AB6"/>
    <w:rsid w:val="009B7130"/>
    <w:rsid w:val="00A617EA"/>
    <w:rsid w:val="00AE2C74"/>
    <w:rsid w:val="00B01B9C"/>
    <w:rsid w:val="00B579E9"/>
    <w:rsid w:val="00C02707"/>
    <w:rsid w:val="00C22DF5"/>
    <w:rsid w:val="00D412F7"/>
    <w:rsid w:val="00D74F4E"/>
    <w:rsid w:val="00E90764"/>
    <w:rsid w:val="00EF0D48"/>
    <w:rsid w:val="00FA7E2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1455E"/>
  <w15:chartTrackingRefBased/>
  <w15:docId w15:val="{62234ECD-D487-4B5F-B842-0CFBA200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907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907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9076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9076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9076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907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907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907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907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076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9076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9076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9076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9076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9076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90764"/>
    <w:rPr>
      <w:rFonts w:eastAsiaTheme="majorEastAsia" w:cstheme="majorBidi"/>
      <w:color w:val="595959" w:themeColor="text1" w:themeTint="A6"/>
    </w:rPr>
  </w:style>
  <w:style w:type="character" w:customStyle="1" w:styleId="80">
    <w:name w:val="Заголовок 8 Знак"/>
    <w:basedOn w:val="a0"/>
    <w:link w:val="8"/>
    <w:uiPriority w:val="9"/>
    <w:semiHidden/>
    <w:rsid w:val="00E9076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90764"/>
    <w:rPr>
      <w:rFonts w:eastAsiaTheme="majorEastAsia" w:cstheme="majorBidi"/>
      <w:color w:val="272727" w:themeColor="text1" w:themeTint="D8"/>
    </w:rPr>
  </w:style>
  <w:style w:type="paragraph" w:styleId="a3">
    <w:name w:val="Title"/>
    <w:basedOn w:val="a"/>
    <w:next w:val="a"/>
    <w:link w:val="a4"/>
    <w:uiPriority w:val="10"/>
    <w:qFormat/>
    <w:rsid w:val="00E90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907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0764"/>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907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90764"/>
    <w:pPr>
      <w:spacing w:before="160"/>
      <w:jc w:val="center"/>
    </w:pPr>
    <w:rPr>
      <w:i/>
      <w:iCs/>
      <w:color w:val="404040" w:themeColor="text1" w:themeTint="BF"/>
    </w:rPr>
  </w:style>
  <w:style w:type="character" w:customStyle="1" w:styleId="a8">
    <w:name w:val="Цитата Знак"/>
    <w:basedOn w:val="a0"/>
    <w:link w:val="a7"/>
    <w:uiPriority w:val="29"/>
    <w:rsid w:val="00E90764"/>
    <w:rPr>
      <w:i/>
      <w:iCs/>
      <w:color w:val="404040" w:themeColor="text1" w:themeTint="BF"/>
    </w:rPr>
  </w:style>
  <w:style w:type="paragraph" w:styleId="a9">
    <w:name w:val="List Paragraph"/>
    <w:basedOn w:val="a"/>
    <w:uiPriority w:val="34"/>
    <w:qFormat/>
    <w:rsid w:val="00E90764"/>
    <w:pPr>
      <w:ind w:left="720"/>
      <w:contextualSpacing/>
    </w:pPr>
  </w:style>
  <w:style w:type="character" w:styleId="aa">
    <w:name w:val="Intense Emphasis"/>
    <w:basedOn w:val="a0"/>
    <w:uiPriority w:val="21"/>
    <w:qFormat/>
    <w:rsid w:val="00E90764"/>
    <w:rPr>
      <w:i/>
      <w:iCs/>
      <w:color w:val="2F5496" w:themeColor="accent1" w:themeShade="BF"/>
    </w:rPr>
  </w:style>
  <w:style w:type="paragraph" w:styleId="ab">
    <w:name w:val="Intense Quote"/>
    <w:basedOn w:val="a"/>
    <w:next w:val="a"/>
    <w:link w:val="ac"/>
    <w:uiPriority w:val="30"/>
    <w:qFormat/>
    <w:rsid w:val="00E907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E90764"/>
    <w:rPr>
      <w:i/>
      <w:iCs/>
      <w:color w:val="2F5496" w:themeColor="accent1" w:themeShade="BF"/>
    </w:rPr>
  </w:style>
  <w:style w:type="character" w:styleId="ad">
    <w:name w:val="Intense Reference"/>
    <w:basedOn w:val="a0"/>
    <w:uiPriority w:val="32"/>
    <w:qFormat/>
    <w:rsid w:val="00E90764"/>
    <w:rPr>
      <w:b/>
      <w:bCs/>
      <w:smallCaps/>
      <w:color w:val="2F5496" w:themeColor="accent1" w:themeShade="BF"/>
      <w:spacing w:val="5"/>
    </w:rPr>
  </w:style>
  <w:style w:type="character" w:styleId="ae">
    <w:name w:val="Placeholder Text"/>
    <w:basedOn w:val="a0"/>
    <w:uiPriority w:val="99"/>
    <w:semiHidden/>
    <w:rsid w:val="00B579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1373</TotalTime>
  <Pages>6</Pages>
  <Words>7768</Words>
  <Characters>4429</Characters>
  <Application>Microsoft Office Word</Application>
  <DocSecurity>0</DocSecurity>
  <Lines>36</Lines>
  <Paragraphs>24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В. Фролов</dc:creator>
  <cp:keywords/>
  <dc:description/>
  <cp:lastModifiedBy>Олександр В. Фролов</cp:lastModifiedBy>
  <cp:revision>13</cp:revision>
  <dcterms:created xsi:type="dcterms:W3CDTF">2025-09-18T08:15:00Z</dcterms:created>
  <dcterms:modified xsi:type="dcterms:W3CDTF">2025-09-19T07:34:00Z</dcterms:modified>
</cp:coreProperties>
</file>