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Панельні оцінки з фіксованими ефектами (ТГ×рік, 2019–2024)</w:t>
      </w:r>
    </w:p>
    <w:p>
      <w:r>
        <w:rPr>
          <w:b/>
        </w:rPr>
        <w:t>Табл. 2.2.1. Y ∈ {W, AIR, DW, MSW} на TN(t−1) (двовимірні FE; кластер-SE за ТГ)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β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SE(β)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t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nobs_x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Залежна змінна (Y)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Вибірка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R²(within)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β (стандартиз.)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nobs_y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N_ТГ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Ефект IQR (натр.од.)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Ефект IQR (% до медіани Y)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11645.086923352168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30443.735385443935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0.38251176394471076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0.7020818047693469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0.5924103006196277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0.08423291509585104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263661.4338891317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56.91492966436088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13566.582936085559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30011.563071467393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0.45204519683893396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0.6512364227974734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0.593515202687338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0.09849611191504185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357445.3139850821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66.72250369259926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0.8590099437269709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0.6853174570599297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1.2534482156812359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0.21004263371066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158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AIR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0.9544653728871246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0.04023932867598887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158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0.4469837970617645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0.5645290336048085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0.7917817693229041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0.4284879341304214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AIR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0.5696161330851774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0.09390703133945832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0.001396084492080714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0.001089075422605392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1.2818988135283276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0.19987814423453287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DW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0.888414966113457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0.0684863876931514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0.023393806004602797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38.49498106980701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0.00042284106342988247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0.00013030117974536072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3.2451054108352184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0.0011740715410408198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DW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0.9771604665683917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0.044340911752333935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0.008187493996812898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14.633691491797043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0.017051617657151456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0.0502931492201394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0.3390445402914499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0.7345761768771837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MSW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0.7931528089016832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0.018871567963855144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0.009029745240420384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0.052930134357292345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0.17059743660326318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0.8645403136720008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133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MSW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0.7932060246951327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0.01005393193727475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133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</w:tr>
    </w:tbl>
    <w:p>
      <w:r>
        <w:t xml:space="preserve">Примітки: оцінки виконано на нормованих індикаторах (на км²). </w:t>
      </w:r>
      <w:r>
        <w:rPr>
          <w:i/>
        </w:rPr>
        <w:t xml:space="preserve">«Вибірка = no_heavy» — без Бурштинської, Калуської та Ямницької громад. </w:t>
      </w:r>
      <w:r>
        <w:rPr>
          <w:i/>
        </w:rPr>
        <w:t>Ефект IQR — зміна Y за переходу TN(t−1) від 25-го до 75-го перцентиля.</w:t>
      </w:r>
    </w:p>
    <w:p/>
    <w:p>
      <w:r>
        <w:rPr>
          <w:b/>
        </w:rPr>
        <w:t>Табл. 2.2.2. TN на Y(t−1) (двовимірні FE; кластер-SE за ТГ)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Предиктор (лаг, t-1)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Вибірка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γ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SE(γ)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n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-2.9546739892336716e-08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6.976400884135378e-07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-0.04235241119748037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0.9662177646443221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80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8.36634448196671e-09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7.39235196327881e-07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0.011317567837037747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0.9909700801271388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75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AIR(T−1)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0.0020580010028467795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0.0013860884065314914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1.4847545027785518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0.1376088681125601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153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AIR(T−1)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0.0021674135218910833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0.0014983949689735911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1.4464901222778221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0.14803978054482445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143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DW(T−1)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5.380787651809399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5.0964434670263845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1.0557926692648905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0.2910629481445809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115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DW(T−1)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23.085012784269495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28.563155036821286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0.8082094836690898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0.4189699992046254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105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MSW(T−1)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0.002294984279383805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0.02503260990489239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0.09167978441334125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0.9269524594384053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145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MSW(T−1)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-0.01096956223346015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0.01728135237840065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-0.6347629510275258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0.5255830299983033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135</w:t>
            </w:r>
          </w:p>
        </w:tc>
      </w:tr>
    </w:tbl>
    <w:p>
      <w:r>
        <w:t>Примітки: статистично значущих ефектів не виявлено (p ≥ 0.14 у всіх специфікаціях).</w:t>
      </w:r>
    </w:p>
    <w:p/>
    <w:p>
      <w:pPr>
        <w:jc w:val="center"/>
      </w:pPr>
      <w:r>
        <w:t>Рис. 2.2.1. Ефект IQR (бар-чарт)</w:t>
      </w:r>
    </w:p>
    <w:p>
      <w:r>
        <w:drawing>
          <wp:inline xmlns:a="http://schemas.openxmlformats.org/drawingml/2006/main" xmlns:pic="http://schemas.openxmlformats.org/drawingml/2006/picture">
            <wp:extent cx="5669280" cy="33828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QR_effects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828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t>Рис. 2.2.2. Forest plot β з 95% ДІ</w:t>
      </w:r>
    </w:p>
    <w:p>
      <w:r>
        <w:drawing>
          <wp:inline xmlns:a="http://schemas.openxmlformats.org/drawingml/2006/main" xmlns:pic="http://schemas.openxmlformats.org/drawingml/2006/picture">
            <wp:extent cx="5669280" cy="32004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est_bet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004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t>Рис. 2.2.3. Caterpillar α_i (W_km2)</w:t>
      </w:r>
    </w:p>
    <w:p>
      <w:r>
        <w:drawing>
          <wp:inline xmlns:a="http://schemas.openxmlformats.org/drawingml/2006/main" xmlns:pic="http://schemas.openxmlformats.org/drawingml/2006/picture">
            <wp:extent cx="5669280" cy="39879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erpillar_W_alph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98790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t>Рис. 2.2.4. FWL: W_km2~TN_lag1 (частк.залишки)</w:t>
      </w:r>
    </w:p>
    <w:p>
      <w:r>
        <w:drawing>
          <wp:inline xmlns:a="http://schemas.openxmlformats.org/drawingml/2006/main" xmlns:pic="http://schemas.openxmlformats.org/drawingml/2006/picture">
            <wp:extent cx="5669280" cy="327779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wl_W_scat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7779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t>Рис. 2.2.5. Observed vs Fitted (W_km2)</w:t>
      </w:r>
    </w:p>
    <w:p>
      <w:r>
        <w:drawing>
          <wp:inline xmlns:a="http://schemas.openxmlformats.org/drawingml/2006/main" xmlns:pic="http://schemas.openxmlformats.org/drawingml/2006/picture">
            <wp:extent cx="5669280" cy="337634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t_vs_obs_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763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