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49AE7" w14:textId="77777777" w:rsidR="00546493" w:rsidRPr="00546493" w:rsidRDefault="00546493" w:rsidP="00F32593">
      <w:pPr>
        <w:spacing w:before="360" w:after="8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Оцінка впливу туристичної галузі на стан довкілля Івано-Франківської області</w:t>
      </w:r>
    </w:p>
    <w:p w14:paraId="7ED745CA" w14:textId="77777777" w:rsidR="00546493" w:rsidRPr="00546493" w:rsidRDefault="00546493" w:rsidP="00F32593">
      <w:pPr>
        <w:spacing w:before="280" w:after="8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Вступ</w:t>
      </w:r>
    </w:p>
    <w:p w14:paraId="239D473A" w14:textId="1D1487D5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Туризм є складним соціально-економічним явищем, яке інтегрує значну кількість секторів матеріального та нематеріального виробництва і впливає на розвиток суміжних галузей. Його роль в економіці регіонів значно перевищує межі суто туристичних підприємств, оскільки попит відвідувачів стимулює діяльність у сферах транспорту, харчування, культури, роздрібної торгівлі, спорту тощо</w:t>
      </w:r>
      <w:r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1"/>
      </w:r>
      <w:r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2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63C244D3" w14:textId="5753B99A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Однак у системі національних рахунків туризм не виділений як окрема галузь, що ускладнює точну оцінку його внеску. Саме тому в міжнародній практиці використовується методологія </w:t>
      </w:r>
      <w:proofErr w:type="spellStart"/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Tourism</w:t>
      </w:r>
      <w:proofErr w:type="spellEnd"/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Satellite</w:t>
      </w:r>
      <w:proofErr w:type="spellEnd"/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Account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(TSA), розроблена UNWTO, OECD,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Євростатом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Статистичною комісією ООН. Цей інструмент дозволяє інтегрувати дані з боку попиту (витрати відвідувачів) і пропозиції (виробництво товарів і послуг туристичного спрямування) для визначення макроекономічних показників туристичного сектору</w:t>
      </w:r>
      <w:r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3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ED73ACE" w14:textId="204FAB22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Методологія TSA, викладена у документі </w:t>
      </w: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TSA: RMF 2008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базується на узгодженні з системою національних рахунків (SNA 2008) і класифікаціями видів діяльності ISIC та продуктів CPC. TSA передбачає формування 10 основних таблиць, що містять інформацію про:</w:t>
      </w:r>
    </w:p>
    <w:p w14:paraId="11F7B6BF" w14:textId="1D7F8DBE" w:rsidR="00546493" w:rsidRPr="00546493" w:rsidRDefault="00546493" w:rsidP="00F32593">
      <w:pPr>
        <w:numPr>
          <w:ilvl w:val="0"/>
          <w:numId w:val="1"/>
        </w:numPr>
        <w:spacing w:before="240"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внутрішнє, в’їзне та виїзне туристичне споживання;</w:t>
      </w:r>
    </w:p>
    <w:p w14:paraId="213621B5" w14:textId="77777777" w:rsidR="00546493" w:rsidRDefault="00546493" w:rsidP="00F32593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виробництво туристичних характеристичних і суміжних галузей;</w:t>
      </w:r>
    </w:p>
    <w:p w14:paraId="0CBEC1F6" w14:textId="77777777" w:rsidR="00546493" w:rsidRDefault="00546493" w:rsidP="00F32593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туристичну додану вартість і прямий туристичний ВВП;</w:t>
      </w:r>
    </w:p>
    <w:p w14:paraId="01A7030C" w14:textId="6E83A2EA" w:rsidR="00546493" w:rsidRPr="00546493" w:rsidRDefault="00546493" w:rsidP="00F32593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зайнятість у туристичних індустріях;</w:t>
      </w:r>
    </w:p>
    <w:p w14:paraId="7F2C98C8" w14:textId="6D1FA9BA" w:rsidR="00546493" w:rsidRPr="00546493" w:rsidRDefault="00546493" w:rsidP="00F32593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інвестиції та державні витрати, пов’язані з туризмом;</w:t>
      </w:r>
    </w:p>
    <w:p w14:paraId="6CEE1E0D" w14:textId="2E14993C" w:rsidR="00546493" w:rsidRPr="00546493" w:rsidRDefault="00546493" w:rsidP="00C57E55">
      <w:pPr>
        <w:numPr>
          <w:ilvl w:val="0"/>
          <w:numId w:val="1"/>
        </w:numPr>
        <w:spacing w:before="240"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нефінансові показники (кількість поїздок, середня тривалість, мета подорожі).</w:t>
      </w:r>
    </w:p>
    <w:p w14:paraId="0603C599" w14:textId="77777777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TSA дозволяє порівнювати дані між країнами, регіонами та часовими періодами, а також виокремлювати прямий економічний ефект туризму.</w:t>
      </w:r>
    </w:p>
    <w:p w14:paraId="59C02F36" w14:textId="031E7554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Україні класифікація видів економічної діяльності здійснюється за КВЕД-2010, що гармонізований із NACE Rev.2</w:t>
      </w:r>
      <w:r w:rsidR="00F32593"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4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 ньому відсутня окрема секція для туризму, але туристична діяльність розосереджена між кількома секціями, зокрема:</w:t>
      </w:r>
    </w:p>
    <w:p w14:paraId="3CE00009" w14:textId="2F0CA4A0" w:rsidR="00546493" w:rsidRPr="00546493" w:rsidRDefault="00546493" w:rsidP="00C57E55">
      <w:pPr>
        <w:numPr>
          <w:ilvl w:val="0"/>
          <w:numId w:val="2"/>
        </w:numPr>
        <w:spacing w:before="24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 — Тимчасове розміщування й організація харчування;</w:t>
      </w:r>
    </w:p>
    <w:p w14:paraId="786E35CE" w14:textId="107DC510" w:rsidR="00546493" w:rsidRPr="00546493" w:rsidRDefault="00546493" w:rsidP="00C57E55">
      <w:pPr>
        <w:numPr>
          <w:ilvl w:val="0"/>
          <w:numId w:val="2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 — Діяльність туристичних агентств і послуги з бронювання;</w:t>
      </w:r>
    </w:p>
    <w:p w14:paraId="258769C6" w14:textId="38ADA54D" w:rsidR="00546493" w:rsidRPr="00546493" w:rsidRDefault="00546493" w:rsidP="00F32593">
      <w:pPr>
        <w:spacing w:before="240" w:after="24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Дослідження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Кулиняка</w:t>
      </w:r>
      <w:proofErr w:type="spellEnd"/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І.Я.</w:t>
      </w:r>
      <w:r w:rsidR="00F32593"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5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підкреслює, що туризм в Україні має чітко виражений міжгалузевий характер, охоплюючи як матеріальне виробництво (сільське господарство, промисловість, будівництво, транспорт, торгівля), так і нематеріальне (розміщування, харчування, культура, освіта, медицина, інформаційні послуги).</w:t>
      </w:r>
    </w:p>
    <w:p w14:paraId="56F19EB4" w14:textId="4D750B5E" w:rsidR="00546493" w:rsidRPr="000604D5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основі </w:t>
      </w:r>
      <w:r w:rsidR="00F32593"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такого </w:t>
      </w:r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підходу можна виділити приклади взаємозв’язку окремих видів туризму з економічними секторами:</w:t>
      </w:r>
    </w:p>
    <w:p w14:paraId="0E624E10" w14:textId="3642A760" w:rsidR="00546493" w:rsidRPr="000604D5" w:rsidRDefault="00546493" w:rsidP="00F32593">
      <w:pPr>
        <w:numPr>
          <w:ilvl w:val="0"/>
          <w:numId w:val="3"/>
        </w:numPr>
        <w:spacing w:before="24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A — Сільське, лісове та рибне господарство: </w:t>
      </w:r>
      <w:proofErr w:type="spellStart"/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агротуризм</w:t>
      </w:r>
      <w:proofErr w:type="spellEnd"/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зелений туризм, рибальський туризм.</w:t>
      </w:r>
    </w:p>
    <w:p w14:paraId="6C597A27" w14:textId="673EED08" w:rsidR="00546493" w:rsidRPr="000604D5" w:rsidRDefault="00546493" w:rsidP="00F32593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 — Переробна промисловість: гастрономічний, винний, пивний, промисловий туризм.</w:t>
      </w:r>
    </w:p>
    <w:p w14:paraId="5F4E8A32" w14:textId="6CC7C5F8" w:rsidR="00546493" w:rsidRPr="000604D5" w:rsidRDefault="00546493" w:rsidP="00F32593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 — Мистецтво, спорт, розваги та відпочинок: культурний, спортивний, фестивальний туризм.</w:t>
      </w:r>
    </w:p>
    <w:p w14:paraId="63188551" w14:textId="4BFE0534" w:rsidR="00546493" w:rsidRPr="000604D5" w:rsidRDefault="00546493" w:rsidP="00F32593">
      <w:pPr>
        <w:numPr>
          <w:ilvl w:val="0"/>
          <w:numId w:val="3"/>
        </w:numPr>
        <w:spacing w:after="24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 — Транспорт: екскурсійний і транспортний туризм.</w:t>
      </w:r>
    </w:p>
    <w:p w14:paraId="2A95D754" w14:textId="5D7CDFC7" w:rsidR="000604D5" w:rsidRPr="000604D5" w:rsidRDefault="000604D5" w:rsidP="000604D5">
      <w:pPr>
        <w:numPr>
          <w:ilvl w:val="0"/>
          <w:numId w:val="3"/>
        </w:numPr>
        <w:spacing w:after="24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G — Роздрібна торгівля, включно з </w:t>
      </w:r>
      <w:proofErr w:type="spellStart"/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продажем</w:t>
      </w:r>
      <w:proofErr w:type="spellEnd"/>
      <w:r w:rsidRP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сувенірів і туристичного спорядження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EBF5682" w14:textId="77777777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Ця класифікація є інструментом для формування вибірки суб’єктів господарювання при регіональному аналізі туристичної економіки.</w:t>
      </w:r>
    </w:p>
    <w:p w14:paraId="4D668A26" w14:textId="77777777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Адаптація методології TSA до регіонального рівня дає змогу оцінити внесок туризму у валовий регіональний продукт (ВРП) і структуру зайнятості. Для Івано-Франківської області, де туризм включає гірськолижний, етнографічний, екологічний та культурний сегменти, важливим є визначення частки підприємств, що належать до туристичних та суміжних галузей.</w:t>
      </w:r>
    </w:p>
    <w:p w14:paraId="71CEB43C" w14:textId="77777777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Поєднання TSA з КВЕД-орієнтованою класифікацією, адаптованою з підходу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Кулиняка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І.Я. [5], дозволить створити чітку методику для відбору підприємств та оцінки масштабів туристичної економіки регіону.</w:t>
      </w:r>
    </w:p>
    <w:p w14:paraId="21E5593C" w14:textId="3CB24E7D" w:rsidR="00546493" w:rsidRPr="00546493" w:rsidRDefault="00546493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дослідженні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Забалдіної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Ю.Б., Розкладки Н.,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Передерка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В.</w:t>
      </w:r>
      <w:r w:rsidR="00F32593"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6"/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адаптовано TSA до регіонального рівня. Використано дані Головного управління статистики у регіоні, зокрема за операційними формами «Регіональні рахунки» та «Структурні зміни в економіці регіонів»</w:t>
      </w:r>
      <w:hyperlink r:id="rId8" w:history="1">
        <w:r w:rsidRPr="00546493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uk-UA"/>
          </w:rPr>
          <w:t> </w:t>
        </w:r>
      </w:hyperlink>
    </w:p>
    <w:p w14:paraId="041FD969" w14:textId="19A2EF76" w:rsidR="00546493" w:rsidRPr="00546493" w:rsidRDefault="00546493" w:rsidP="00E4178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Запропоновано методику формування таблиць 5 та 6 TSA на регіональному рівні – з урахуванням наявності статистичних даних. Розроблено алгоритм обчислення GVATI (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Gross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Value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Added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Tourism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Industries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TDGVA (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Tourism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Direct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GVA) та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Tourism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Direct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GDP. За результатами, туризм становить 10,34 % валового регіонального продукту Івано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noBreakHyphen/>
        <w:t>Франківщини без урахування тіньової економіки — удвічі більше, ніж по Україні загалом (~4,8 %).</w:t>
      </w:r>
      <w:hyperlink r:id="rId9" w:history="1">
        <w:r w:rsidRPr="00546493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uk-UA"/>
          </w:rPr>
          <w:t> </w:t>
        </w:r>
      </w:hyperlink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Таким чином:</w:t>
      </w:r>
    </w:p>
    <w:p w14:paraId="54E451CF" w14:textId="64A8DFE9" w:rsidR="00546493" w:rsidRPr="00546493" w:rsidRDefault="00546493" w:rsidP="00870648">
      <w:pPr>
        <w:numPr>
          <w:ilvl w:val="0"/>
          <w:numId w:val="4"/>
        </w:numPr>
        <w:spacing w:before="240"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Туризм є міжгалузевим комплексом, який об’єднує низку видів економічної діяльності з різних секторів.</w:t>
      </w:r>
    </w:p>
    <w:p w14:paraId="562342AC" w14:textId="2B2A366F" w:rsidR="00546493" w:rsidRPr="00546493" w:rsidRDefault="00546493" w:rsidP="00870648">
      <w:pPr>
        <w:numPr>
          <w:ilvl w:val="0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Міжнародна методологія TSA забезпечує стандартизований підхід до вимірювання економічного внеску туризму, але потребує національної та регіональної адаптації.</w:t>
      </w:r>
    </w:p>
    <w:p w14:paraId="21C19D79" w14:textId="294E1BCF" w:rsidR="00546493" w:rsidRPr="00546493" w:rsidRDefault="00546493" w:rsidP="00870648">
      <w:pPr>
        <w:numPr>
          <w:ilvl w:val="0"/>
          <w:numId w:val="4"/>
        </w:numPr>
        <w:spacing w:after="24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Івано-Франківської області інтеграція TSA і КВЕД-класифікації створює основу для визначення частки туристичних та суміжних галузей у регіональній економіці.</w:t>
      </w:r>
    </w:p>
    <w:p w14:paraId="1BC2EE65" w14:textId="44ABF7FB" w:rsidR="00546493" w:rsidRDefault="00175A55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Отже, із використанням результатів досліджень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Кулиняка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І.Я.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Забалдіної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Ю.Б. сформуємо структуру</w:t>
      </w:r>
      <w:r w:rsid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туристичної індустрії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(рис.1)</w:t>
      </w:r>
      <w:r w:rsidR="000604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розрізі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видів економічної діяльності з поділом їх на основні та суміжні</w:t>
      </w:r>
      <w:r w:rsidR="00546493"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відбору суб’єктів господарювання </w:t>
      </w:r>
      <w:r w:rsid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Івано-Франківської області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метою оцінки динам</w:t>
      </w:r>
      <w:r w:rsid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 їх створення</w:t>
      </w:r>
      <w:r w:rsid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F325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 також </w:t>
      </w:r>
      <w:r w:rsid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географічного розміщення</w:t>
      </w:r>
      <w:r w:rsidR="00D77B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D77B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території Івано-Франківської області</w:t>
      </w:r>
      <w:r w:rsid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4B068F03" w14:textId="09177DB4" w:rsidR="0066499F" w:rsidRDefault="0066499F" w:rsidP="00F325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цією метою використаємо інформацію з </w:t>
      </w:r>
      <w:r w:rsidR="001738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Єдиного державного реєстру </w:t>
      </w:r>
      <w:r w:rsidR="00891027" w:rsidRPr="008910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юридичних осіб, фізичних осіб-підприємців та громадських формувань</w:t>
      </w:r>
      <w:r w:rsidR="008910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91027"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footnoteReference w:id="7"/>
      </w:r>
      <w:r w:rsidR="008910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57DCA0F" w14:textId="5522A363" w:rsidR="00E4178F" w:rsidRDefault="000604D5" w:rsidP="00E4178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Станом на початок 2025 року в Івано-Франківській області обліковувалось </w:t>
      </w:r>
      <w:r w:rsidR="008159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6510 </w:t>
      </w:r>
      <w:r w:rsidR="008159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суб’єктів господарювання</w:t>
      </w:r>
      <w:r w:rsidR="0025378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які зазначили у своїх реєстраційних даних основний код виду діяльності згідно з КВЕД</w:t>
      </w:r>
      <w:r w:rsidR="008159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25378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що відноситься до основних </w:t>
      </w:r>
      <w:r w:rsidR="008159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т. ч. </w:t>
      </w:r>
      <w:r w:rsidR="002537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1641 </w:t>
      </w:r>
      <w:r w:rsidR="0025378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юридична особа та 4869 фізичних осіб. В розрізі кодів видів економічної діяльності </w:t>
      </w:r>
      <w:r w:rsidR="00EA5F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туристичні підприємства розподіляються наступним чином (рис.2).</w:t>
      </w:r>
    </w:p>
    <w:p w14:paraId="5EE6E716" w14:textId="267A7D69" w:rsidR="00E4178F" w:rsidRDefault="00DC41A3" w:rsidP="00E4178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 період з 2019 року спостерігається в цілому висхідна динаміка реєстрації туристичних підприємств (рис.3), стримуючими факторами на тлі загальної тенденції були пандемія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COVID-19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початок повномасштабного вторгнення російської федерації на територію України, що призвело до сповільнення темпів реєстрації туристичних підприємств відповідно в 2020 та 2022 роках.</w:t>
      </w:r>
    </w:p>
    <w:p w14:paraId="361ED810" w14:textId="516B03A9" w:rsidR="00546493" w:rsidRDefault="0069599F" w:rsidP="00E4178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Геопросторовий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розподіл туристичних підприємств в розрізі територіальних громад візуалізовано за допомогою пакету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 matplotlib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Як бачимо з карти, лідерами за зареєстрованими туристичними підприємствами є Івано-Франківська міська громада (2812 суб’єктів господарювання), Коломийська </w:t>
      </w:r>
    </w:p>
    <w:p w14:paraId="068310B2" w14:textId="77777777" w:rsidR="0066499F" w:rsidRDefault="006649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ectPr w:rsidR="0066499F" w:rsidSect="00546493">
          <w:pgSz w:w="11906" w:h="16838"/>
          <w:pgMar w:top="567" w:right="566" w:bottom="993" w:left="1134" w:header="708" w:footer="708" w:gutter="0"/>
          <w:cols w:space="708"/>
          <w:docGrid w:linePitch="360"/>
        </w:sectPr>
      </w:pPr>
    </w:p>
    <w:p w14:paraId="1BC5555B" w14:textId="3D24A4AA" w:rsidR="0066499F" w:rsidRDefault="0066499F" w:rsidP="0066499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731C215" w14:textId="4AEFA8D3" w:rsid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6DBA2B4" w14:textId="77777777" w:rsidR="00891027" w:rsidRDefault="001738B9" w:rsidP="00891027">
      <w:pPr>
        <w:spacing w:before="240" w:after="240" w:line="36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505615BE" wp14:editId="59C5609C">
            <wp:extent cx="10147087" cy="4989195"/>
            <wp:effectExtent l="0" t="0" r="6985" b="1905"/>
            <wp:docPr id="1167639377" name="Рисунок 1" descr="Зображення, що містить текст, знімок екрана, схем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9377" name="Рисунок 1" descr="Зображення, що містить текст, знімок екрана, схема, Шрифт&#10;&#10;Вміст на основі ШІ може бути неправильни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309" cy="49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 1. Структура видів економічної діяльності згідно з КВЕД, які відносяться до туристичної індустрії</w:t>
      </w:r>
    </w:p>
    <w:p w14:paraId="653E254D" w14:textId="1C29DCAF" w:rsidR="00891027" w:rsidRDefault="00891027" w:rsidP="0089102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ectPr w:rsidR="00891027" w:rsidSect="0066499F">
          <w:pgSz w:w="16838" w:h="11906" w:orient="landscape"/>
          <w:pgMar w:top="1134" w:right="567" w:bottom="566" w:left="993" w:header="708" w:footer="708" w:gutter="0"/>
          <w:cols w:space="708"/>
          <w:docGrid w:linePitch="360"/>
        </w:sectPr>
      </w:pPr>
    </w:p>
    <w:p w14:paraId="3490D84E" w14:textId="77777777" w:rsidR="00E4178F" w:rsidRDefault="00E4178F" w:rsidP="00E4178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741E705B" wp14:editId="31ED4377">
            <wp:extent cx="5962650" cy="2705100"/>
            <wp:effectExtent l="0" t="0" r="0" b="0"/>
            <wp:docPr id="376512090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9B5713D3-4AE8-E300-BC44-41873CB7C1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78BF66" w14:textId="33C6FE81" w:rsidR="00891027" w:rsidRDefault="00E4178F" w:rsidP="00E4178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Рис.2 – Структура туристичної галузі в розрізі кодів КВЕД</w:t>
      </w:r>
    </w:p>
    <w:p w14:paraId="0AFD9C29" w14:textId="77777777" w:rsidR="00891027" w:rsidRDefault="0089102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7E859FB9" w14:textId="0BBB7A5C" w:rsidR="00891027" w:rsidRPr="00DC41A3" w:rsidRDefault="00DC41A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mc:AlternateContent>
          <mc:Choice Requires="cx2">
            <w:drawing>
              <wp:inline distT="0" distB="0" distL="0" distR="0" wp14:anchorId="3251C528" wp14:editId="0605700B">
                <wp:extent cx="5962650" cy="2743200"/>
                <wp:effectExtent l="0" t="0" r="0" b="0"/>
                <wp:docPr id="287085326" name="Діагра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C33AAC-7AB9-2420-4DD2-54B8C7FB92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3251C528" wp14:editId="0605700B">
                <wp:extent cx="5962650" cy="2743200"/>
                <wp:effectExtent l="0" t="0" r="0" b="0"/>
                <wp:docPr id="287085326" name="Діагра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C33AAC-7AB9-2420-4DD2-54B8C7FB92B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085326" name="Діаграма 1">
                          <a:extLst>
                            <a:ext uri="{FF2B5EF4-FFF2-40B4-BE49-F238E27FC236}">
                              <a16:creationId xmlns:a16="http://schemas.microsoft.com/office/drawing/2014/main" id="{5AC33AAC-7AB9-2420-4DD2-54B8C7FB92B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5CFD4F" w14:textId="2F361F5E" w:rsidR="00891027" w:rsidRDefault="00DC41A3" w:rsidP="00DC41A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DC41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Динаміка реєстрації новостворених туристичних підприємств в 2019-2024 роках.</w:t>
      </w:r>
    </w:p>
    <w:p w14:paraId="19941CB6" w14:textId="77777777" w:rsidR="00396E8B" w:rsidRDefault="0069599F" w:rsidP="00396E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міська громада (501), Калуська міська громада (392),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Яремчанська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міська громада (296), Долинська міська громада (151). </w:t>
      </w:r>
    </w:p>
    <w:p w14:paraId="6ADD44D2" w14:textId="11F5022C" w:rsidR="0069599F" w:rsidRDefault="00396E8B" w:rsidP="00396E8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Такий зсув в сторону обласного центру пояснюється тим, б</w:t>
      </w:r>
      <w:r w:rsidRPr="00396E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агато підприємців обирають реєстрацію бізнесу саме тут через доступність послуг, скорочені терміни реєстраційних процедур і кращу логістику взаємодії з державними органами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хоча </w:t>
      </w:r>
      <w:r w:rsidRPr="00396E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фізично працю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ють</w:t>
      </w:r>
      <w:r w:rsidRPr="00396E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гірських громадах (Яремче, Ворохта, Поляниця, Верховина, Косів тощо).</w:t>
      </w:r>
    </w:p>
    <w:p w14:paraId="1148237E" w14:textId="77777777" w:rsidR="0069599F" w:rsidRPr="0069599F" w:rsidRDefault="0069599F" w:rsidP="00DC41A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14:paraId="4C63FA35" w14:textId="77777777" w:rsidR="0069599F" w:rsidRDefault="0069599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sectPr w:rsidR="0069599F" w:rsidSect="00891027">
          <w:pgSz w:w="11906" w:h="16838"/>
          <w:pgMar w:top="567" w:right="566" w:bottom="993" w:left="1134" w:header="708" w:footer="708" w:gutter="0"/>
          <w:cols w:space="708"/>
          <w:docGrid w:linePitch="360"/>
        </w:sectPr>
      </w:pPr>
    </w:p>
    <w:p w14:paraId="01613C2E" w14:textId="4DEDEBB7" w:rsidR="00891027" w:rsidRDefault="0069599F" w:rsidP="00B059CB">
      <w:pPr>
        <w:ind w:right="-17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695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B78A2C6" wp14:editId="3F55C699">
            <wp:extent cx="9754235" cy="5610225"/>
            <wp:effectExtent l="0" t="0" r="0" b="9525"/>
            <wp:docPr id="551716330" name="Рисунок 1" descr="Зображення, що містить текст, схема, карт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16330" name="Рисунок 1" descr="Зображення, що містить текст, схема, карта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61151" cy="56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670" w14:textId="77777777" w:rsidR="00B059CB" w:rsidRDefault="00B059CB" w:rsidP="00B059C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ectPr w:rsidR="00B059CB" w:rsidSect="0069599F">
          <w:pgSz w:w="16838" w:h="11906" w:orient="landscape"/>
          <w:pgMar w:top="1134" w:right="567" w:bottom="566" w:left="993" w:header="708" w:footer="708" w:gutter="0"/>
          <w:cols w:space="708"/>
          <w:docGrid w:linePitch="360"/>
        </w:sectPr>
      </w:pPr>
      <w:r w:rsidRPr="00B059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4. – Візуалізація розподілу туристичних підприємств в розрізі територіальних громад Івано-Франківської області</w:t>
      </w:r>
    </w:p>
    <w:p w14:paraId="5941C848" w14:textId="41C8FF14" w:rsidR="00891027" w:rsidRDefault="00C74F67" w:rsidP="00C74F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стосується суміжних до туристичної галузі видів діяльності, то в області зареєстровано 6605 юридичних та фізичних осіб – підприємців, в т. ч. 1046 – юридичних осіб, 5559 – фізичних осіб. </w:t>
      </w:r>
    </w:p>
    <w:p w14:paraId="150DB5A4" w14:textId="3E0DD4A2" w:rsidR="00C74F67" w:rsidRDefault="00C74F67" w:rsidP="00C74F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 них переважають суб’єкти господарювання, що займаються наступними видами діяльності:</w:t>
      </w:r>
    </w:p>
    <w:p w14:paraId="6A2EDBCF" w14:textId="65908A7D" w:rsidR="00C74F67" w:rsidRPr="00C74F67" w:rsidRDefault="00C74F67" w:rsidP="00C74F67">
      <w:pPr>
        <w:pStyle w:val="a9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47.19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Iншi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види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роздрiбної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торгiвлi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неспецiалiзованих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магазинах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3559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2BF676E4" w14:textId="751DBDD7" w:rsidR="00C74F67" w:rsidRPr="00C74F67" w:rsidRDefault="00C74F67" w:rsidP="00C74F67">
      <w:pPr>
        <w:pStyle w:val="a9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63.11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Оброблення даних,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розмiщення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iнформацiї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веб-вузлах i пов'язана з ними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дiяльнiсть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559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46ED5A24" w14:textId="1108D88B" w:rsidR="00C74F67" w:rsidRPr="00C74F67" w:rsidRDefault="00C74F67" w:rsidP="00C74F67">
      <w:pPr>
        <w:pStyle w:val="a9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49.39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Iнший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пасажирський наземний транспорт,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н.в.i.у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297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461D104F" w14:textId="1B6814A8" w:rsidR="00C74F67" w:rsidRPr="00C74F67" w:rsidRDefault="00C74F67" w:rsidP="00C74F67">
      <w:pPr>
        <w:pStyle w:val="a9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47.78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Роздрiбна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торгiвля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iншими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невживаними товарами в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спецiалiзованих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магазинах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286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7FD3E24B" w14:textId="384C045C" w:rsidR="00C74F67" w:rsidRDefault="00C74F67" w:rsidP="00C74F67">
      <w:pPr>
        <w:pStyle w:val="a9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66.22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Дiяльнiсть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страхових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агентiв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 </w:t>
      </w:r>
      <w:proofErr w:type="spellStart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брокерiв</w:t>
      </w:r>
      <w:proofErr w:type="spellEnd"/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r w:rsidRPr="00C74F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266</w:t>
      </w:r>
    </w:p>
    <w:p w14:paraId="35294791" w14:textId="77777777" w:rsidR="00C74F67" w:rsidRDefault="00C74F67" w:rsidP="00C74F67">
      <w:pPr>
        <w:pStyle w:val="a9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FAEDF4" w14:textId="77777777" w:rsidR="00C74F67" w:rsidRPr="00C74F67" w:rsidRDefault="00C74F67" w:rsidP="00C74F67">
      <w:pPr>
        <w:pStyle w:val="a9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530FF63" w14:textId="0AD645D6" w:rsidR="00891027" w:rsidRDefault="00891027" w:rsidP="00C74F6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 w:type="page"/>
      </w:r>
    </w:p>
    <w:p w14:paraId="4FB02ABE" w14:textId="77777777" w:rsidR="00546493" w:rsidRDefault="00546493" w:rsidP="00F3259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20405E74" w14:textId="25D13027" w:rsidR="00546493" w:rsidRPr="00546493" w:rsidRDefault="00546493" w:rsidP="00F32593">
      <w:pPr>
        <w:spacing w:before="280" w:after="8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4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Список використаних джерел</w:t>
      </w:r>
    </w:p>
    <w:p w14:paraId="2ED7296D" w14:textId="3CF17A5F" w:rsidR="00546493" w:rsidRPr="00870648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turyzm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[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On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Tourism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]: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Law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Ukraine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September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15, 1995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324/95-ВР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amendments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supplements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URL: </w:t>
      </w:r>
      <w:hyperlink r:id="rId15" w:history="1">
        <w:r w:rsidRPr="0087064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https://zakon.rada.gov.ua/laws/show/324/95-вр</w:t>
        </w:r>
      </w:hyperlink>
    </w:p>
    <w:p w14:paraId="7AD5C4E4" w14:textId="77777777" w:rsidR="00870648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UNWTO.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Tourism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Satellite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Account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Recommended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Methodological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Framework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2008.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Luxembourg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Madrid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New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York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Paris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Eurostat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OECD, UN, WTO, 2010.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23C30C7D" w14:textId="77777777" w:rsidR="00870648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United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Nations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Statistics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Division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International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Recommendations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Tourism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Statistics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2008.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United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Nations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2010.</w:t>
      </w:r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14:paraId="47A510D7" w14:textId="77CD8DBA" w:rsidR="00546493" w:rsidRPr="00546493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Klasyfikatsiia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vydiv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ekonomichnoi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diialnosti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[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Classification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types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economic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activity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]. DK 009:2010.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National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Classifier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Ukraine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Kyiv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2020. URL: https://stat.gov.ua/sites/default/files/2023-08/Класифікація%20видів%20економічної%20діяльності_0.pdf</w:t>
      </w:r>
    </w:p>
    <w:p w14:paraId="361B8E22" w14:textId="77777777" w:rsidR="00546493" w:rsidRPr="00546493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Кулиняк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І. Класифікація видів туризму відповідно до галузей економіки (видів економічної діяльності).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Service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Industry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54649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2024. № 8(33). С. 207–213. DOI:</w:t>
      </w:r>
      <w:hyperlink r:id="rId16" w:history="1">
        <w:r w:rsidRPr="0054649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uk-UA"/>
          </w:rPr>
          <w:t xml:space="preserve"> https://doi.org/10.31891/dsim-2024-8(33)</w:t>
        </w:r>
      </w:hyperlink>
    </w:p>
    <w:p w14:paraId="7BA04869" w14:textId="77777777" w:rsidR="00870648" w:rsidRPr="00870648" w:rsidRDefault="00870648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Забалдіна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Ю.Б.,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Роскладка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Н.,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Передерко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В. Визначення частки туризму в регіональній економіці з використанням методики допоміжного (сателітного) рахунку туризму на прикладі Івано-франківської області // Інфраструктура ринку. Одеса, 2021, №60 DOI: </w:t>
      </w:r>
      <w:hyperlink r:id="rId17" w:history="1">
        <w:r w:rsidRPr="00870648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uk-UA"/>
          </w:rPr>
          <w:t>http://dx.doi.org/10.32843/infrastruct60-39</w:t>
        </w:r>
      </w:hyperlink>
    </w:p>
    <w:p w14:paraId="4F06EA7E" w14:textId="77777777" w:rsidR="00870648" w:rsidRDefault="00870648" w:rsidP="00870648">
      <w:pPr>
        <w:pStyle w:val="a6"/>
        <w:numPr>
          <w:ilvl w:val="0"/>
          <w:numId w:val="9"/>
        </w:numPr>
      </w:pPr>
    </w:p>
    <w:p w14:paraId="5F3CFA23" w14:textId="77777777" w:rsidR="00546493" w:rsidRPr="00546493" w:rsidRDefault="00546493" w:rsidP="00870648">
      <w:pPr>
        <w:pStyle w:val="a9"/>
        <w:numPr>
          <w:ilvl w:val="0"/>
          <w:numId w:val="9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154F1AC" w14:textId="77777777" w:rsidR="00546493" w:rsidRPr="00546493" w:rsidRDefault="00546493" w:rsidP="00F3259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49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uk-UA"/>
        </w:rPr>
        <w:br/>
      </w:r>
      <w:r w:rsidRPr="0054649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uk-UA"/>
        </w:rPr>
        <w:br/>
      </w:r>
    </w:p>
    <w:p w14:paraId="6987EA04" w14:textId="77777777" w:rsidR="00000000" w:rsidRDefault="00000000" w:rsidP="00F32593">
      <w:pPr>
        <w:spacing w:line="360" w:lineRule="auto"/>
      </w:pPr>
    </w:p>
    <w:sectPr w:rsidR="00825881" w:rsidSect="00B059CB">
      <w:pgSz w:w="11906" w:h="16838"/>
      <w:pgMar w:top="567" w:right="56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DDE41" w14:textId="77777777" w:rsidR="0024046D" w:rsidRDefault="0024046D" w:rsidP="00546493">
      <w:pPr>
        <w:spacing w:after="0" w:line="240" w:lineRule="auto"/>
      </w:pPr>
      <w:r>
        <w:separator/>
      </w:r>
    </w:p>
  </w:endnote>
  <w:endnote w:type="continuationSeparator" w:id="0">
    <w:p w14:paraId="094CCA99" w14:textId="77777777" w:rsidR="0024046D" w:rsidRDefault="0024046D" w:rsidP="0054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A5D49" w14:textId="77777777" w:rsidR="0024046D" w:rsidRDefault="0024046D" w:rsidP="00546493">
      <w:pPr>
        <w:spacing w:after="0" w:line="240" w:lineRule="auto"/>
      </w:pPr>
      <w:r>
        <w:separator/>
      </w:r>
    </w:p>
  </w:footnote>
  <w:footnote w:type="continuationSeparator" w:id="0">
    <w:p w14:paraId="43F05E7A" w14:textId="77777777" w:rsidR="0024046D" w:rsidRDefault="0024046D" w:rsidP="00546493">
      <w:pPr>
        <w:spacing w:after="0" w:line="240" w:lineRule="auto"/>
      </w:pPr>
      <w:r>
        <w:continuationSeparator/>
      </w:r>
    </w:p>
  </w:footnote>
  <w:footnote w:id="1">
    <w:p w14:paraId="0D60EA40" w14:textId="77E39883" w:rsidR="00546493" w:rsidRPr="00546493" w:rsidRDefault="00546493">
      <w:pPr>
        <w:pStyle w:val="a6"/>
        <w:rPr>
          <w:rFonts w:ascii="Times New Roman" w:hAnsi="Times New Roman" w:cs="Times New Roman"/>
          <w:sz w:val="22"/>
          <w:szCs w:val="22"/>
        </w:rPr>
      </w:pPr>
      <w:r>
        <w:rPr>
          <w:rStyle w:val="a8"/>
        </w:rPr>
        <w:footnoteRef/>
      </w:r>
      <w: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Pro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turyzm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[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On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Tourism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]: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Law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Ukraine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of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September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15, 1995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No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. 324/95-ВР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with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amendments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and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supplements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>. URL: https://zakon.rada.gov.ua/laws/show/324/95-вр</w:t>
      </w:r>
    </w:p>
  </w:footnote>
  <w:footnote w:id="2">
    <w:p w14:paraId="2EC475CA" w14:textId="3FFE5770" w:rsidR="00546493" w:rsidRDefault="00546493">
      <w:pPr>
        <w:pStyle w:val="a6"/>
      </w:pPr>
      <w:r>
        <w:rPr>
          <w:rStyle w:val="a8"/>
        </w:rPr>
        <w:footnoteRef/>
      </w:r>
      <w:r>
        <w:t xml:space="preserve"> </w:t>
      </w:r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UNWTO.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Tourism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Satellite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Account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Recommended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Methodological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Framework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2008.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Luxembourg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Madrid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New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York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Paris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Eurostat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>, OECD, UN, WTO, 2010.</w:t>
      </w:r>
    </w:p>
  </w:footnote>
  <w:footnote w:id="3">
    <w:p w14:paraId="35D18662" w14:textId="29BDF322" w:rsidR="00546493" w:rsidRDefault="00546493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United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Nations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Statistics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Division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International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Recommendations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Tourism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Statistics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2008.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United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46493">
        <w:rPr>
          <w:rFonts w:ascii="Times New Roman" w:hAnsi="Times New Roman" w:cs="Times New Roman"/>
          <w:color w:val="000000"/>
          <w:sz w:val="22"/>
          <w:szCs w:val="22"/>
        </w:rPr>
        <w:t>Nations</w:t>
      </w:r>
      <w:proofErr w:type="spellEnd"/>
      <w:r w:rsidRPr="00546493">
        <w:rPr>
          <w:rFonts w:ascii="Times New Roman" w:hAnsi="Times New Roman" w:cs="Times New Roman"/>
          <w:color w:val="000000"/>
          <w:sz w:val="22"/>
          <w:szCs w:val="22"/>
        </w:rPr>
        <w:t>, 2010.</w:t>
      </w:r>
    </w:p>
  </w:footnote>
  <w:footnote w:id="4">
    <w:p w14:paraId="3E77A4BE" w14:textId="72A42322" w:rsidR="00F32593" w:rsidRDefault="00F32593" w:rsidP="00870648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Klasyfikatsiia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vydiv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ekonomichnoi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diialnosti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[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Classification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of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types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of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economic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activity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]. DK 009:2010.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National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Classifier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of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Ukraine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 xml:space="preserve">. </w:t>
      </w:r>
      <w:proofErr w:type="spellStart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Kyiv</w:t>
      </w:r>
      <w:proofErr w:type="spellEnd"/>
      <w:r w:rsidRPr="00870648">
        <w:rPr>
          <w:rFonts w:ascii="Times New Roman" w:eastAsia="Times New Roman" w:hAnsi="Times New Roman" w:cs="Times New Roman"/>
          <w:color w:val="000000"/>
          <w:sz w:val="22"/>
          <w:szCs w:val="22"/>
          <w:lang w:eastAsia="uk-UA"/>
        </w:rPr>
        <w:t>, 2020. URL: https://stat.gov.ua/sites/default/files/2023-08/Класифікація%20видів%20економічної%20діяльності_0.pdf</w:t>
      </w:r>
    </w:p>
  </w:footnote>
  <w:footnote w:id="5">
    <w:p w14:paraId="5B3A88F1" w14:textId="77777777" w:rsidR="00870648" w:rsidRPr="00546493" w:rsidRDefault="00F32593" w:rsidP="00870648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Style w:val="a8"/>
        </w:rPr>
        <w:footnoteRef/>
      </w:r>
      <w:r>
        <w:t xml:space="preserve"> </w:t>
      </w:r>
      <w:r w:rsidR="00870648">
        <w:t xml:space="preserve"> </w:t>
      </w:r>
      <w:proofErr w:type="spellStart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Кулиняк</w:t>
      </w:r>
      <w:proofErr w:type="spellEnd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 xml:space="preserve"> І. Класифікація видів туризму відповідно до галузей економіки (видів економічної діяльності). </w:t>
      </w:r>
      <w:proofErr w:type="spellStart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Development</w:t>
      </w:r>
      <w:proofErr w:type="spellEnd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Service</w:t>
      </w:r>
      <w:proofErr w:type="spellEnd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Industry</w:t>
      </w:r>
      <w:proofErr w:type="spellEnd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Management</w:t>
      </w:r>
      <w:proofErr w:type="spellEnd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. 2024. № 8(33). С. 207–213. DOI:</w:t>
      </w:r>
      <w:hyperlink r:id="rId1" w:history="1">
        <w:r w:rsidR="00870648" w:rsidRPr="00546493">
          <w:rPr>
            <w:rFonts w:ascii="Times New Roman" w:eastAsia="Times New Roman" w:hAnsi="Times New Roman" w:cs="Times New Roman"/>
            <w:color w:val="000000"/>
            <w:lang w:eastAsia="uk-UA"/>
          </w:rPr>
          <w:t xml:space="preserve"> https://doi.org/10.31891/dsim-2024-8(33)</w:t>
        </w:r>
      </w:hyperlink>
    </w:p>
    <w:p w14:paraId="0426BDB3" w14:textId="6FA46C80" w:rsidR="00F32593" w:rsidRDefault="00F32593">
      <w:pPr>
        <w:pStyle w:val="a6"/>
      </w:pPr>
    </w:p>
  </w:footnote>
  <w:footnote w:id="6">
    <w:p w14:paraId="57111B90" w14:textId="77777777" w:rsidR="00870648" w:rsidRPr="00546493" w:rsidRDefault="00F32593" w:rsidP="0087064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uk-UA"/>
        </w:rPr>
      </w:pPr>
      <w:r w:rsidRPr="00870648">
        <w:rPr>
          <w:rStyle w:val="a8"/>
        </w:rPr>
        <w:footnoteRef/>
      </w:r>
      <w:r w:rsidRPr="00870648">
        <w:t xml:space="preserve"> </w:t>
      </w:r>
      <w:proofErr w:type="spellStart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Забалдіна</w:t>
      </w:r>
      <w:proofErr w:type="spellEnd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 xml:space="preserve"> Ю.Б., </w:t>
      </w:r>
      <w:proofErr w:type="spellStart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Роскладка</w:t>
      </w:r>
      <w:proofErr w:type="spellEnd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 xml:space="preserve"> Н., </w:t>
      </w:r>
      <w:proofErr w:type="spellStart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>Передерко</w:t>
      </w:r>
      <w:proofErr w:type="spellEnd"/>
      <w:r w:rsidR="00870648" w:rsidRPr="00546493">
        <w:rPr>
          <w:rFonts w:ascii="Times New Roman" w:eastAsia="Times New Roman" w:hAnsi="Times New Roman" w:cs="Times New Roman"/>
          <w:color w:val="000000"/>
          <w:lang w:eastAsia="uk-UA"/>
        </w:rPr>
        <w:t xml:space="preserve"> В. Визначення частки туризму в регіональній економіці з використанням методики допоміжного (сателітного) рахунку туризму на прикладі Івано-франківської області // Інфраструктура ринку. Одеса, 2021, №60 DOI: </w:t>
      </w:r>
      <w:hyperlink r:id="rId2" w:history="1">
        <w:r w:rsidR="00870648" w:rsidRPr="00546493">
          <w:rPr>
            <w:rFonts w:ascii="Arial" w:eastAsia="Times New Roman" w:hAnsi="Arial" w:cs="Arial"/>
            <w:color w:val="007398"/>
            <w:u w:val="single"/>
            <w:shd w:val="clear" w:color="auto" w:fill="FFFFFF"/>
            <w:lang w:eastAsia="uk-UA"/>
          </w:rPr>
          <w:t>http://dx.doi.org/10.32843/infrastruct60-39</w:t>
        </w:r>
      </w:hyperlink>
    </w:p>
    <w:p w14:paraId="2BF0DA96" w14:textId="465B3C7A" w:rsidR="00F32593" w:rsidRDefault="00F32593">
      <w:pPr>
        <w:pStyle w:val="a6"/>
      </w:pPr>
    </w:p>
  </w:footnote>
  <w:footnote w:id="7">
    <w:p w14:paraId="4F297082" w14:textId="75F60921" w:rsidR="00891027" w:rsidRDefault="00891027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891027">
        <w:rPr>
          <w:b/>
          <w:bCs/>
        </w:rPr>
        <w:t>YouControl</w:t>
      </w:r>
      <w:proofErr w:type="spellEnd"/>
      <w:r w:rsidRPr="00891027">
        <w:t xml:space="preserve"> [Електронний ресурс]. – Режим доступу: https://youcontrol.com.ua/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F36"/>
    <w:multiLevelType w:val="multilevel"/>
    <w:tmpl w:val="7522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1FDF"/>
    <w:multiLevelType w:val="hybridMultilevel"/>
    <w:tmpl w:val="79AADB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36454"/>
    <w:multiLevelType w:val="multilevel"/>
    <w:tmpl w:val="8240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A0A49"/>
    <w:multiLevelType w:val="multilevel"/>
    <w:tmpl w:val="692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8512D"/>
    <w:multiLevelType w:val="hybridMultilevel"/>
    <w:tmpl w:val="E3AAB4FE"/>
    <w:lvl w:ilvl="0" w:tplc="0436E8AA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26647"/>
    <w:multiLevelType w:val="multilevel"/>
    <w:tmpl w:val="21FA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E7EEA"/>
    <w:multiLevelType w:val="hybridMultilevel"/>
    <w:tmpl w:val="516899AC"/>
    <w:lvl w:ilvl="0" w:tplc="0436E8AA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71DF"/>
    <w:multiLevelType w:val="multilevel"/>
    <w:tmpl w:val="750A94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E4D8D"/>
    <w:multiLevelType w:val="multilevel"/>
    <w:tmpl w:val="D29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51769">
    <w:abstractNumId w:val="2"/>
  </w:num>
  <w:num w:numId="2" w16cid:durableId="472061176">
    <w:abstractNumId w:val="5"/>
  </w:num>
  <w:num w:numId="3" w16cid:durableId="1370062764">
    <w:abstractNumId w:val="3"/>
  </w:num>
  <w:num w:numId="4" w16cid:durableId="259488242">
    <w:abstractNumId w:val="0"/>
  </w:num>
  <w:num w:numId="5" w16cid:durableId="739015978">
    <w:abstractNumId w:val="8"/>
  </w:num>
  <w:num w:numId="6" w16cid:durableId="51580569">
    <w:abstractNumId w:val="7"/>
    <w:lvlOverride w:ilvl="0">
      <w:lvl w:ilvl="0">
        <w:numFmt w:val="decimal"/>
        <w:lvlText w:val="%1."/>
        <w:lvlJc w:val="left"/>
      </w:lvl>
    </w:lvlOverride>
  </w:num>
  <w:num w:numId="7" w16cid:durableId="393239055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122922241">
    <w:abstractNumId w:val="7"/>
    <w:lvlOverride w:ilvl="0">
      <w:lvl w:ilvl="0">
        <w:numFmt w:val="decimal"/>
        <w:lvlText w:val="%1."/>
        <w:lvlJc w:val="left"/>
      </w:lvl>
    </w:lvlOverride>
  </w:num>
  <w:num w:numId="9" w16cid:durableId="669912502">
    <w:abstractNumId w:val="1"/>
  </w:num>
  <w:num w:numId="10" w16cid:durableId="396437649">
    <w:abstractNumId w:val="6"/>
  </w:num>
  <w:num w:numId="11" w16cid:durableId="2087340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93"/>
    <w:rsid w:val="000604D5"/>
    <w:rsid w:val="001738B9"/>
    <w:rsid w:val="00175A55"/>
    <w:rsid w:val="0024046D"/>
    <w:rsid w:val="0025378D"/>
    <w:rsid w:val="00396E8B"/>
    <w:rsid w:val="00546493"/>
    <w:rsid w:val="0066499F"/>
    <w:rsid w:val="0069599F"/>
    <w:rsid w:val="0076029E"/>
    <w:rsid w:val="007C61E6"/>
    <w:rsid w:val="007D09FB"/>
    <w:rsid w:val="008159A4"/>
    <w:rsid w:val="00870648"/>
    <w:rsid w:val="00891027"/>
    <w:rsid w:val="00B059CB"/>
    <w:rsid w:val="00C57E55"/>
    <w:rsid w:val="00C74F67"/>
    <w:rsid w:val="00D412F7"/>
    <w:rsid w:val="00D77B27"/>
    <w:rsid w:val="00DC41A3"/>
    <w:rsid w:val="00E36B78"/>
    <w:rsid w:val="00E4178F"/>
    <w:rsid w:val="00EA5F94"/>
    <w:rsid w:val="00F3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1CE8"/>
  <w15:chartTrackingRefBased/>
  <w15:docId w15:val="{1AC22DA0-A704-4C35-B10D-6694630C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6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46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649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4649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5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54649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46493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546493"/>
    <w:pPr>
      <w:spacing w:after="0"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54649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46493"/>
    <w:rPr>
      <w:vertAlign w:val="superscript"/>
    </w:rPr>
  </w:style>
  <w:style w:type="paragraph" w:styleId="a9">
    <w:name w:val="List Paragraph"/>
    <w:basedOn w:val="a"/>
    <w:uiPriority w:val="34"/>
    <w:qFormat/>
    <w:rsid w:val="00870648"/>
    <w:pPr>
      <w:ind w:left="720"/>
      <w:contextualSpacing/>
    </w:pPr>
  </w:style>
  <w:style w:type="paragraph" w:customStyle="1" w:styleId="pf0">
    <w:name w:val="pf0"/>
    <w:basedOn w:val="a"/>
    <w:rsid w:val="0066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f01">
    <w:name w:val="cf01"/>
    <w:basedOn w:val="a0"/>
    <w:rsid w:val="0066499F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ci.dntb.gov.ua/en/works/4O1gE6z9/?utm_source=chatgpt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1.xml"/><Relationship Id="rId17" Type="http://schemas.openxmlformats.org/officeDocument/2006/relationships/hyperlink" Target="http://dx.doi.org/10.32843/infrastruct60-3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31891/dsim-2024-8(33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zakon.rada.gov.ua/laws/show/324/95-&#1074;&#1088;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Nataliia-Roskladka-2/publication/360452394_ESTIMATING_THE_SHARE_OF_TOURISM_IN_THE_REGIONAL_ECONOMY_USING_TOURISM_SATELLITE_ACCOUNT_METHODOLOGY_ON_THE_EXAMPLE_OF_IVANO-FRANKIVSK_REGION/links/62c98c04cab7ba7426dff06f/ESTIMATING-THE-SHARE-OF-TOURISM-IN-THE-REGIONAL-ECONOMY-USING-TOURISM-SATELLITE-ACCOUNT-METHODOLOGY-ON-THE-EXAMPLE-OF-IVANO-FRANKIVSK-REGION.pdf?utm_source=chatgpt.com" TargetMode="Externa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x.doi.org/10.32843/infrastruct60-39" TargetMode="External"/><Relationship Id="rId1" Type="http://schemas.openxmlformats.org/officeDocument/2006/relationships/hyperlink" Target="https://doi.org/10.31891/dsim-2024-8(33)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D52-4493-B117-59AC0FA9948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D52-4493-B117-59AC0FA9948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D52-4493-B117-59AC0FA9948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D52-4493-B117-59AC0FA9948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D52-4493-B117-59AC0FA9948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D52-4493-B117-59AC0FA9948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D52-4493-B117-59AC0FA9948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9D52-4493-B117-59AC0FA9948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9D52-4493-B117-59AC0FA9948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9D52-4493-B117-59AC0FA9948A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9D52-4493-B117-59AC0FA9948A}"/>
              </c:ext>
            </c:extLst>
          </c:dPt>
          <c:dLbls>
            <c:dLbl>
              <c:idx val="0"/>
              <c:layout>
                <c:manualLayout>
                  <c:x val="4.0124649970592979E-2"/>
                  <c:y val="4.9538578670032682E-2"/>
                </c:manualLayout>
              </c:layout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73673"/>
                        <a:gd name="adj2" fmla="val 16866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9D52-4493-B117-59AC0FA9948A}"/>
                </c:ext>
              </c:extLst>
            </c:dLbl>
            <c:dLbl>
              <c:idx val="1"/>
              <c:layout>
                <c:manualLayout>
                  <c:x val="0.4581619150558866"/>
                  <c:y val="-3.8647349528928371E-2"/>
                </c:manualLayout>
              </c:layout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53156"/>
                        <a:gd name="adj2" fmla="val 9841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9D52-4493-B117-59AC0FA9948A}"/>
                </c:ext>
              </c:extLst>
            </c:dLbl>
            <c:dLbl>
              <c:idx val="2"/>
              <c:layout>
                <c:manualLayout>
                  <c:x val="-4.2881959989115079E-2"/>
                  <c:y val="0.3827432830438178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15793677964167"/>
                      <c:h val="0.2663164432690188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9D52-4493-B117-59AC0FA9948A}"/>
                </c:ext>
              </c:extLst>
            </c:dLbl>
            <c:dLbl>
              <c:idx val="3"/>
              <c:layout>
                <c:manualLayout>
                  <c:x val="-6.3870820495264186E-2"/>
                  <c:y val="0.2869307367113461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984058848831188"/>
                      <c:h val="0.3164961631704433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9D52-4493-B117-59AC0FA9948A}"/>
                </c:ext>
              </c:extLst>
            </c:dLbl>
            <c:dLbl>
              <c:idx val="4"/>
              <c:layout>
                <c:manualLayout>
                  <c:x val="-9.4402041293035255E-2"/>
                  <c:y val="0.11076000789796756"/>
                </c:manualLayout>
              </c:layout>
              <c:tx>
                <c:rich>
                  <a:bodyPr/>
                  <a:lstStyle/>
                  <a:p>
                    <a:fld id="{A0B7E593-01B7-4157-9284-8D69A80543A3}" type="CATEGORYNAME">
                      <a:rPr lang="uk-UA"/>
                      <a:pPr/>
                      <a:t>[ІМ’Я КАТЕГОРІЇ]</a:t>
                    </a:fld>
                    <a:r>
                      <a:rPr lang="uk-UA"/>
                      <a:t> </a:t>
                    </a:r>
                    <a:fld id="{2BD431F5-F3DA-47AB-A541-A7D9027FEC8C}" type="PERCENTAGE">
                      <a:rPr lang="en-US" baseline="0"/>
                      <a:pPr/>
                      <a:t>[ВІДСОТОК]</a:t>
                    </a:fld>
                    <a:endParaRPr lang="uk-UA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602884505657524"/>
                      <c:h val="0.1659562020396305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9D52-4493-B117-59AC0FA9948A}"/>
                </c:ext>
              </c:extLst>
            </c:dLbl>
            <c:dLbl>
              <c:idx val="5"/>
              <c:layout>
                <c:manualLayout>
                  <c:x val="-0.14124705622704459"/>
                  <c:y val="3.2006620352836163E-3"/>
                </c:manualLayout>
              </c:layout>
              <c:tx>
                <c:rich>
                  <a:bodyPr/>
                  <a:lstStyle/>
                  <a:p>
                    <a:fld id="{950DDFDC-1C71-48C1-B1DB-C50418FB62B4}" type="CATEGORYNAME">
                      <a:rPr lang="uk-UA"/>
                      <a:pPr/>
                      <a:t>[ІМ’Я КАТЕГОРІЇ]</a:t>
                    </a:fld>
                    <a:r>
                      <a:rPr lang="uk-UA"/>
                      <a:t> </a:t>
                    </a:r>
                    <a:fld id="{D4942AC7-F1D9-45E5-A62B-05BD333918DD}" type="PERCENTAGE">
                      <a:rPr lang="uk-UA" baseline="0"/>
                      <a:pPr/>
                      <a:t>[ВІДСОТОК]</a:t>
                    </a:fld>
                    <a:endParaRPr lang="uk-UA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068276582484047"/>
                      <c:h val="0.1354218508945923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9D52-4493-B117-59AC0FA9948A}"/>
                </c:ext>
              </c:extLst>
            </c:dLbl>
            <c:dLbl>
              <c:idx val="6"/>
              <c:layout>
                <c:manualLayout>
                  <c:x val="0.11273764692456921"/>
                  <c:y val="-1.4442507663641281E-2"/>
                </c:manualLayout>
              </c:layout>
              <c:tx>
                <c:rich>
                  <a:bodyPr/>
                  <a:lstStyle/>
                  <a:p>
                    <a:fld id="{C3BA4B43-A18C-4649-897D-7C418EFC20DA}" type="CATEGORYNAME">
                      <a:rPr lang="uk-UA"/>
                      <a:pPr/>
                      <a:t>[ІМ’Я КАТЕГОРІЇ]</a:t>
                    </a:fld>
                    <a:r>
                      <a:rPr lang="uk-UA"/>
                      <a:t> </a:t>
                    </a:r>
                    <a:fld id="{4C015D73-6E26-4ACD-A202-3E8118968D45}" type="PERCENTAGE">
                      <a:rPr lang="en-US" baseline="0"/>
                      <a:pPr/>
                      <a:t>[ВІДСОТОК]</a:t>
                    </a:fld>
                    <a:endParaRPr lang="uk-UA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5087913341935939"/>
                      <c:h val="9.7178177155336498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9D52-4493-B117-59AC0FA9948A}"/>
                </c:ext>
              </c:extLst>
            </c:dLbl>
            <c:dLbl>
              <c:idx val="7"/>
              <c:layout>
                <c:manualLayout>
                  <c:x val="0.23097039750254067"/>
                  <c:y val="1.974333662388943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9D52-4493-B117-59AC0FA9948A}"/>
                </c:ext>
              </c:extLst>
            </c:dLbl>
            <c:dLbl>
              <c:idx val="10"/>
              <c:layout>
                <c:manualLayout>
                  <c:x val="0.2716049676079807"/>
                  <c:y val="6.4412249214880618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9D52-4493-B117-59AC0FA9948A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multiLvlStrRef>
              <c:f>Аркуш1!$A$1:$B$11</c:f>
              <c:multiLvlStrCache>
                <c:ptCount val="8"/>
                <c:lvl>
                  <c:pt idx="0">
                    <c:v>Надання в оренду й експлуатацiю власного чи орендованого нерухомого майна</c:v>
                  </c:pt>
                  <c:pt idx="1">
                    <c:v>Дiяльнiсть ресторанiв, надання послуг мобiльного харчування</c:v>
                  </c:pt>
                  <c:pt idx="2">
                    <c:v>Дiяльнiсть готелiв i подiбних засобiв тимчасового розмiщування</c:v>
                  </c:pt>
                  <c:pt idx="3">
                    <c:v>Дiяльнiсть засобiв розмiщування на перiод вiдпустки та iншого тимчасового проживання</c:v>
                  </c:pt>
                  <c:pt idx="4">
                    <c:v>Постачання iнших готових страв</c:v>
                  </c:pt>
                  <c:pt idx="5">
                    <c:v>Обслуговування напоями</c:v>
                  </c:pt>
                  <c:pt idx="6">
                    <c:v>Дiяльнiсть туристичних агентств</c:v>
                  </c:pt>
                  <c:pt idx="7">
                    <c:v>Інші</c:v>
                  </c:pt>
                </c:lvl>
                <c:lvl>
                  <c:pt idx="0">
                    <c:v>_68.20</c:v>
                  </c:pt>
                  <c:pt idx="1">
                    <c:v>_56.10</c:v>
                  </c:pt>
                  <c:pt idx="2">
                    <c:v>_55.10</c:v>
                  </c:pt>
                  <c:pt idx="3">
                    <c:v>_55.20</c:v>
                  </c:pt>
                  <c:pt idx="4">
                    <c:v>_56.29</c:v>
                  </c:pt>
                  <c:pt idx="5">
                    <c:v>_56.30</c:v>
                  </c:pt>
                  <c:pt idx="6">
                    <c:v>_79.11</c:v>
                  </c:pt>
                  <c:pt idx="7">
                    <c:v>_79.90</c:v>
                  </c:pt>
                </c:lvl>
              </c:multiLvlStrCache>
            </c:multiLvlStrRef>
          </c:cat>
          <c:val>
            <c:numRef>
              <c:f>Аркуш1!$C$1:$C$11</c:f>
              <c:numCache>
                <c:formatCode>General</c:formatCode>
                <c:ptCount val="11"/>
                <c:pt idx="0">
                  <c:v>2511</c:v>
                </c:pt>
                <c:pt idx="1">
                  <c:v>2262</c:v>
                </c:pt>
                <c:pt idx="2">
                  <c:v>459</c:v>
                </c:pt>
                <c:pt idx="3">
                  <c:v>331</c:v>
                </c:pt>
                <c:pt idx="4">
                  <c:v>331</c:v>
                </c:pt>
                <c:pt idx="5">
                  <c:v>265</c:v>
                </c:pt>
                <c:pt idx="6">
                  <c:v>248</c:v>
                </c:pt>
                <c:pt idx="7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9D52-4493-B117-59AC0FA99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Аркуш2!$A$1:$A$6</cx:f>
        <cx:lvl ptCount="6">
          <cx:pt idx="0">01.01.2019</cx:pt>
          <cx:pt idx="1">01.01.2020</cx:pt>
          <cx:pt idx="2">01.01.2021</cx:pt>
          <cx:pt idx="3">01.01.2022</cx:pt>
          <cx:pt idx="4">01.01.2023</cx:pt>
          <cx:pt idx="5">01.01.2024</cx:pt>
        </cx:lvl>
      </cx:strDim>
      <cx:numDim type="val">
        <cx:f>Аркуш2!$B$1:$B$6</cx:f>
        <cx:lvl ptCount="6" formatCode="General">
          <cx:pt idx="0">346</cx:pt>
          <cx:pt idx="1">269</cx:pt>
          <cx:pt idx="2">477</cx:pt>
          <cx:pt idx="3">340</cx:pt>
          <cx:pt idx="4">643</cx:pt>
          <cx:pt idx="5">638</cx:pt>
        </cx:lvl>
      </cx:numDim>
    </cx:data>
  </cx:chartData>
  <cx:chart>
    <cx:plotArea>
      <cx:plotAreaRegion>
        <cx:plotSurface>
          <cx:spPr>
            <a:noFill/>
            <a:ln>
              <a:noFill/>
            </a:ln>
          </cx:spPr>
        </cx:plotSurface>
        <cx:series layoutId="funnel" uniqueId="{69A5E0B3-FCBE-4414-94F8-671F6EF09A18}"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200" b="1">
                    <a:solidFill>
                      <a:schemeClr val="bg1"/>
                    </a:solidFill>
                  </a:defRPr>
                </a:pPr>
                <a:endParaRPr lang="uk-UA" sz="1200" b="1" i="0" u="none" strike="noStrike" baseline="0">
                  <a:solidFill>
                    <a:schemeClr val="bg1"/>
                  </a:solidFill>
                  <a:latin typeface="Aptos Narrow" panose="02110004020202020204"/>
                </a:endParaRPr>
              </a:p>
            </cx:txPr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  <cx:spPr>
    <a:noFill/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DFCE-4564-4C01-8FB1-346693DE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6105</Words>
  <Characters>3481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В. Фролов</dc:creator>
  <cp:keywords/>
  <dc:description/>
  <cp:lastModifiedBy>Олександр В. Фролов</cp:lastModifiedBy>
  <cp:revision>8</cp:revision>
  <dcterms:created xsi:type="dcterms:W3CDTF">2025-08-09T11:03:00Z</dcterms:created>
  <dcterms:modified xsi:type="dcterms:W3CDTF">2025-08-09T18:00:00Z</dcterms:modified>
</cp:coreProperties>
</file>