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44FE" w14:textId="2B0E04E5" w:rsidR="00335CB9" w:rsidRPr="00121BB6" w:rsidRDefault="00335CB9" w:rsidP="00CE0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1,4</w:t>
      </w:r>
      <w:r w:rsidR="000E2C12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,8,16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Audit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adalah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proses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pengumpulan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penilaian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bukti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–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bukti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menentukan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apakah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komputer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mengamankan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aset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memelihara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integritas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data,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mendorong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pencapaian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tujuan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secara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efektif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menggunakan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sumberdaya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secara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efisien</w:t>
      </w:r>
      <w:proofErr w:type="spellEnd"/>
      <w:r w:rsidR="00D35F4F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4AC220C8" w14:textId="0E62C7E4" w:rsidR="008F47F3" w:rsidRPr="00121BB6" w:rsidRDefault="006912FC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Ruang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lingkup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  <w:r w:rsidR="00FB0E73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r w:rsidR="00722B0B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(8,16)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mencakup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berbagai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aspek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dievaluasi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oleh auditor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memastikan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keamanan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integritas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ketersediaan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efektivitas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</w:t>
      </w:r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Berikut</w:t>
      </w:r>
      <w:proofErr w:type="spellEnd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adalah</w:t>
      </w:r>
      <w:proofErr w:type="spellEnd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beberapa</w:t>
      </w:r>
      <w:proofErr w:type="spellEnd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aspek</w:t>
      </w:r>
      <w:proofErr w:type="spellEnd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lingkup</w:t>
      </w:r>
      <w:proofErr w:type="spellEnd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="008F47F3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:</w:t>
      </w:r>
    </w:p>
    <w:p w14:paraId="03960422" w14:textId="77777777" w:rsidR="008F47F3" w:rsidRPr="00121BB6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Keamanan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: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Evaluasi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kontrol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keamanan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melindungi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dari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akses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tidak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sah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perusakan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atau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modifikasi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tidak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sah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.</w:t>
      </w:r>
    </w:p>
    <w:p w14:paraId="2D294A52" w14:textId="77777777" w:rsidR="008F47F3" w:rsidRPr="00121BB6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Integritas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 xml:space="preserve"> Data: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Pemeriksaan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terhadap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kebenaran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ketepatan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data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disimpan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diproses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oleh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.</w:t>
      </w:r>
    </w:p>
    <w:p w14:paraId="2414E795" w14:textId="77777777" w:rsidR="008F47F3" w:rsidRPr="00121BB6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Ketersediaan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: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Pemastian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bahwa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diakses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digunakan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sesuai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kebutuhan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organisasi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.</w:t>
      </w:r>
    </w:p>
    <w:p w14:paraId="51051705" w14:textId="77777777" w:rsidR="008F47F3" w:rsidRPr="00121BB6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 xml:space="preserve">Efisiensi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Operasional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: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Evaluasi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efisiensi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efektivitas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dalam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memenuhi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tujuan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bisnis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.</w:t>
      </w:r>
    </w:p>
    <w:p w14:paraId="4B50F721" w14:textId="77777777" w:rsidR="008F47F3" w:rsidRPr="00121BB6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Manajemen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Risiko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: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Penilaian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terhadap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kemampuan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mengidentifikasi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mengelola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,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mengurangi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risiko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.</w:t>
      </w:r>
    </w:p>
    <w:p w14:paraId="7C257E6F" w14:textId="77777777" w:rsidR="008F47F3" w:rsidRPr="00121BB6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Kepatuhan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 xml:space="preserve"> Hukum dan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Peraturan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ID"/>
        </w:rPr>
        <w:t>: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Pemeriksaan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terhadap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kepatuhan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terhadap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regulasi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perundang-undangan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berlaku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terkait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pengelolaan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ID"/>
        </w:rPr>
        <w:t>.</w:t>
      </w:r>
    </w:p>
    <w:p w14:paraId="5786086A" w14:textId="77777777" w:rsidR="003A07C4" w:rsidRPr="00121BB6" w:rsidRDefault="003A07C4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Beberapa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perbedaan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antara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dan audit-audit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lainnya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meliputi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:</w:t>
      </w:r>
    </w:p>
    <w:p w14:paraId="5F6DFB48" w14:textId="77777777" w:rsidR="003A07C4" w:rsidRPr="00121BB6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Fokus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pada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Teknologi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: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secara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khusus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berfokus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pada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teknologi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termasuk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infrastruktur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teknologi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perangkat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lunak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, dan data.</w:t>
      </w:r>
    </w:p>
    <w:p w14:paraId="5E4D3CA3" w14:textId="77777777" w:rsidR="003A07C4" w:rsidRPr="00121BB6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Aspek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Keamanan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Mencolok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Keamanan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menjadi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perhatian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utama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dalam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sedangkan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 lain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mungkin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lebih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menekankan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pada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aspek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keuangan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atau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operasional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.</w:t>
      </w:r>
    </w:p>
    <w:p w14:paraId="566C96BA" w14:textId="77777777" w:rsidR="003A07C4" w:rsidRPr="00121BB6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Penekanan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pada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Pengelolaan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Risiko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Audit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sering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kali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lebih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menekankan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pada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pengelolaan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risiko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terkait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dengan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keamanan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integritas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41974276" w14:textId="5CA52FDD" w:rsidR="008F47F3" w:rsidRPr="00121BB6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Penggunaan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Teknik Audit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Berbasis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IT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Audit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sering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melibatkan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penggunaan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teknik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berbasis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teknologi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seperti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uji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penetrasi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pemindaian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keamanan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evaluasi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kontrol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keamanan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IT.</w:t>
      </w:r>
    </w:p>
    <w:p w14:paraId="50944DE8" w14:textId="4DE7D3FB" w:rsidR="00E36ECE" w:rsidRPr="00121BB6" w:rsidRDefault="00EB7F26" w:rsidP="001F1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2,5,13: Audit Mutu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Eksternal</w:t>
      </w:r>
      <w:proofErr w:type="spellEnd"/>
      <w:r w:rsidR="00E36ECE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Bidang</w:t>
      </w:r>
      <w:proofErr w:type="spellEnd"/>
      <w:r w:rsidR="00E36ECE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Umum</w:t>
      </w:r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adalah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proses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penilaian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independen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sistematis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terhadap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kegiatan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atau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produk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suatu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oleh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pihak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tidak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terlibat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langsung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dalam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operasional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tersebut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Tujuan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utama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dari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mutu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adalah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menilai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sejauh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mana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telah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mematuhi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standar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kualitas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tertentu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apakah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manajemen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mutu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diterapkan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telah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efektif</w:t>
      </w:r>
      <w:proofErr w:type="spellEnd"/>
      <w:r w:rsidR="00E36EC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51BC25F7" w14:textId="46913800" w:rsidR="001F19E6" w:rsidRPr="00121BB6" w:rsidRDefault="001F19E6" w:rsidP="001F1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Audit Mutu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Eksternal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di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bidang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IT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merujuk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pada proses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penilaian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independen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dilakukan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oleh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pihak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terhadap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aplikasi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atau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proyek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TI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suatu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memastikan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bahwa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standar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kualitas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tertentu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dipatuhi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Tujuan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utama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dari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Mutu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bidang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IT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adalah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memastikan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bahwa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produk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atau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layanan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TI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memenuhi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standar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mutu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ditentukan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sebelumnya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78605E79" w14:textId="302824FB" w:rsidR="000E59D9" w:rsidRPr="00121BB6" w:rsidRDefault="000E59D9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3: Hal-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hal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dilakukan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seorang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auditor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dalam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melaksanakan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tugasnya</w:t>
      </w:r>
      <w:proofErr w:type="spellEnd"/>
    </w:p>
    <w:p w14:paraId="1F824669" w14:textId="7397AA3C" w:rsidR="00362F0A" w:rsidRPr="00121BB6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Persiapan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Auditor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melakukan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persiapan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awal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termasuk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pemahaman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tujuan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ruang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lingkup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risiko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terkait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dengan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diaudit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63D3FE36" w14:textId="4C143D6C" w:rsidR="00362F0A" w:rsidRPr="00121BB6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Review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Dokumen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Auditor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meninjau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dokumen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terkait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seperti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kebijakan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prosedur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dokumentasi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teknis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56CC562D" w14:textId="548D23ED" w:rsidR="00362F0A" w:rsidRPr="00121BB6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Persiapan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kegiatan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on-site audit</w:t>
      </w:r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proofErr w:type="spellStart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Persiapan</w:t>
      </w:r>
      <w:proofErr w:type="spellEnd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melakukan</w:t>
      </w:r>
      <w:proofErr w:type="spellEnd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secara</w:t>
      </w:r>
      <w:proofErr w:type="spellEnd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langsung</w:t>
      </w:r>
      <w:proofErr w:type="spellEnd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di </w:t>
      </w:r>
      <w:proofErr w:type="spellStart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lokasi</w:t>
      </w:r>
      <w:proofErr w:type="spellEnd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diaudit</w:t>
      </w:r>
      <w:proofErr w:type="spellEnd"/>
      <w:r w:rsidR="004C257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7812E026" w14:textId="7A9EF24A" w:rsidR="00362F0A" w:rsidRPr="00121BB6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Melakukan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kegiatan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on-site audit</w:t>
      </w:r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Auditor </w:t>
      </w:r>
      <w:proofErr w:type="spellStart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menjalankan</w:t>
      </w:r>
      <w:proofErr w:type="spellEnd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kegiatan</w:t>
      </w:r>
      <w:proofErr w:type="spellEnd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secara</w:t>
      </w:r>
      <w:proofErr w:type="spellEnd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langsung</w:t>
      </w:r>
      <w:proofErr w:type="spellEnd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di </w:t>
      </w:r>
      <w:proofErr w:type="spellStart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lokasi</w:t>
      </w:r>
      <w:proofErr w:type="spellEnd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4C7FAE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</w:p>
    <w:p w14:paraId="072E0FEA" w14:textId="7F459C13" w:rsidR="00362F0A" w:rsidRPr="00121BB6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Persiapan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persetujuan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distribusi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laporan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</w:t>
      </w:r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Auditor </w:t>
      </w:r>
      <w:proofErr w:type="spellStart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menyusun</w:t>
      </w:r>
      <w:proofErr w:type="spellEnd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laporan</w:t>
      </w:r>
      <w:proofErr w:type="spellEnd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berdasarkan</w:t>
      </w:r>
      <w:proofErr w:type="spellEnd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temuan</w:t>
      </w:r>
      <w:proofErr w:type="spellEnd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hasil</w:t>
      </w:r>
      <w:proofErr w:type="spellEnd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kegiatan</w:t>
      </w:r>
      <w:proofErr w:type="spellEnd"/>
      <w:r w:rsidR="00B10BB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audit.</w:t>
      </w:r>
    </w:p>
    <w:p w14:paraId="0F1F8B2D" w14:textId="679673C6" w:rsidR="000E59D9" w:rsidRPr="00121BB6" w:rsidRDefault="00362F0A" w:rsidP="009822C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Follow up audit</w:t>
      </w:r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proofErr w:type="spellStart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Melibatkan</w:t>
      </w:r>
      <w:proofErr w:type="spellEnd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tindak</w:t>
      </w:r>
      <w:proofErr w:type="spellEnd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lanjut</w:t>
      </w:r>
      <w:proofErr w:type="spellEnd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terhadap </w:t>
      </w:r>
      <w:proofErr w:type="spellStart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temuan</w:t>
      </w:r>
      <w:proofErr w:type="spellEnd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rekomendasi</w:t>
      </w:r>
      <w:proofErr w:type="spellEnd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dari</w:t>
      </w:r>
      <w:proofErr w:type="spellEnd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laporan</w:t>
      </w:r>
      <w:proofErr w:type="spellEnd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sebelumnya</w:t>
      </w:r>
      <w:proofErr w:type="spellEnd"/>
      <w:r w:rsidR="00BA5926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2AC6D3BE" w14:textId="6F3AF379" w:rsidR="00357D86" w:rsidRPr="00121BB6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6: </w:t>
      </w:r>
      <w:proofErr w:type="spellStart"/>
      <w:r w:rsidR="00311F63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Tahapan</w:t>
      </w:r>
      <w:proofErr w:type="spellEnd"/>
      <w:r w:rsidR="00311F63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 SI, </w:t>
      </w:r>
      <w:proofErr w:type="spellStart"/>
      <w:r w:rsidR="00311F63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</w:t>
      </w: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enurut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Ron Weber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terdapat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5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yaitu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:</w:t>
      </w:r>
    </w:p>
    <w:p w14:paraId="572A93B9" w14:textId="1B3E5FE6" w:rsidR="00357D86" w:rsidRPr="00121BB6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Perencanaan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Planning the Audits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)‏</w:t>
      </w:r>
      <w:r w:rsidR="003E37C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;</w:t>
      </w:r>
      <w:r w:rsidR="00BC35F2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Pengetesan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Kendali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Tests of Controls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</w:t>
      </w:r>
      <w:r w:rsidR="003E37C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;</w:t>
      </w:r>
      <w:r w:rsidR="00BC35F2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Pengetesan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Transaksi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Tests of Transactions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</w:t>
      </w:r>
      <w:r w:rsidR="003E37C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;</w:t>
      </w:r>
      <w:r w:rsidR="00BC35F2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Pengetesan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Keseimbangan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r w:rsidR="00BC617F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/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Keseluruhan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Hasil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Tests of Balances or Overall Results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</w:t>
      </w:r>
      <w:r w:rsidR="003E37C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;</w:t>
      </w:r>
      <w:r w:rsidR="00BC35F2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Pengakhiran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r w:rsidR="003E37C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/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penyelesaian</w:t>
      </w:r>
      <w:proofErr w:type="spellEnd"/>
      <w:r w:rsidR="003E37C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Audit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Completion of the Audit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)‏</w:t>
      </w:r>
    </w:p>
    <w:p w14:paraId="728926E6" w14:textId="3EFFCD31" w:rsidR="00357D86" w:rsidRPr="00121BB6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Menurut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Gallegos Cs. 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tahapan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 SI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mencakup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4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aktivitas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:</w:t>
      </w:r>
    </w:p>
    <w:p w14:paraId="1538FAF4" w14:textId="0DE132F4" w:rsidR="00357D86" w:rsidRPr="00121BB6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Perencanaan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Planning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)‏</w:t>
      </w:r>
      <w:r w:rsidR="00FC751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Pemeriksaan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Lapangan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Fieldwork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)‏</w:t>
      </w:r>
      <w:r w:rsidR="00FC751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Pelaporan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Reporting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</w:t>
      </w:r>
      <w:r w:rsidR="00FC7510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Tindak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Lanjut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Follow Up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)‏</w:t>
      </w:r>
    </w:p>
    <w:p w14:paraId="32CC3075" w14:textId="0433ED7D" w:rsidR="000016A1" w:rsidRPr="00121BB6" w:rsidRDefault="000016A1" w:rsidP="00EB7F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7: Auditor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Eksternal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</w:p>
    <w:p w14:paraId="07B5A61F" w14:textId="5AAE6649" w:rsidR="002C4EAD" w:rsidRPr="00121BB6" w:rsidRDefault="000016A1" w:rsidP="002C4E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Audit TI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menurut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definisi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dilakukan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oleh auditor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entitas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luar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subjek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audit.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Tergantung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pada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ukuran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ruang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lingkup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kompleksitas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TI, audit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dilakukan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lastRenderedPageBreak/>
        <w:t xml:space="preserve">oleh auditor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tunggal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atau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tim.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Auditor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mandiri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penting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bagi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internal dan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tetapi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dalam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konteks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mandiri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tersebut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sering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tidak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diperlukan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Sementara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perusahaan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menyediakan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jasa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tunduk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peraturan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pengawasan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auditor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individu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melakukan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biasanya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harus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menunjukkan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pengetahuan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memadai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keahlian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kualifikasi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sesuai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Sertifikasi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profesional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menyediakan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satu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indikator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kualifikasi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auditor,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terutama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di mana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sertifikasi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spesifik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sesuai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dengan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jenis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audit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eksternal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dilakukan</w:t>
      </w:r>
      <w:proofErr w:type="spellEnd"/>
      <w:r w:rsidR="002C4EAD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2B1B2F33" w14:textId="60F55614" w:rsidR="007A423C" w:rsidRPr="00121BB6" w:rsidRDefault="002E7E60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9: </w:t>
      </w:r>
      <w:proofErr w:type="spellStart"/>
      <w:r w:rsidR="007A423C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Keuntungan</w:t>
      </w:r>
      <w:proofErr w:type="spellEnd"/>
      <w:r w:rsidR="007A423C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</w:t>
      </w:r>
    </w:p>
    <w:p w14:paraId="25099443" w14:textId="2842F0C3" w:rsidR="002E7E60" w:rsidRPr="00121BB6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Menilai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keefektifan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aktivitas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aktifitas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dokumentasi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dalam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organisasi</w:t>
      </w:r>
      <w:proofErr w:type="spellEnd"/>
    </w:p>
    <w:p w14:paraId="7B898F86" w14:textId="77777777" w:rsidR="002E7E60" w:rsidRPr="00121BB6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Memonitor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kesesuaian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dengan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kebijakan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prosedur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undang-undang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perusahaan</w:t>
      </w:r>
      <w:proofErr w:type="spellEnd"/>
    </w:p>
    <w:p w14:paraId="675408EE" w14:textId="77777777" w:rsidR="002E7E60" w:rsidRPr="00121BB6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Mengukur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tingkat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efektifitas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dari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</w:p>
    <w:p w14:paraId="1DE7790A" w14:textId="77777777" w:rsidR="002E7E60" w:rsidRPr="00121BB6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Mengidentifikasi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kelemahan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mungkin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mengakibatkan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ketidaksesuaian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di masa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datang</w:t>
      </w:r>
      <w:proofErr w:type="spellEnd"/>
    </w:p>
    <w:p w14:paraId="541B41A8" w14:textId="77777777" w:rsidR="002E7E60" w:rsidRPr="00121BB6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Menyediakan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proses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peningkatan</w:t>
      </w:r>
      <w:proofErr w:type="spellEnd"/>
    </w:p>
    <w:p w14:paraId="34B2BFBF" w14:textId="77777777" w:rsidR="002E7E60" w:rsidRPr="00121BB6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Meningkatkan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saling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memahami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antar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departemen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antar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individu</w:t>
      </w:r>
      <w:proofErr w:type="spellEnd"/>
    </w:p>
    <w:p w14:paraId="6C2ABA30" w14:textId="11E8AFF3" w:rsidR="002E7E60" w:rsidRPr="00121BB6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Melaporkan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hasil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tinjauan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tindakan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berdasarkan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resiko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Manajemen</w:t>
      </w:r>
      <w:proofErr w:type="spellEnd"/>
    </w:p>
    <w:p w14:paraId="27AD33A0" w14:textId="7DF562EE" w:rsidR="00634DCA" w:rsidRPr="00121BB6" w:rsidRDefault="00634DCA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10:</w:t>
      </w:r>
      <w:r w:rsidR="00421C4B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Jenis Audit=</w:t>
      </w: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umum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: Compliance, Kinerja,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Kecurangan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Sertifikasi</w:t>
      </w:r>
      <w:proofErr w:type="spellEnd"/>
    </w:p>
    <w:p w14:paraId="5D5741FC" w14:textId="56B6A22B" w:rsidR="007A1719" w:rsidRPr="00121BB6" w:rsidRDefault="007A1719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IT: System Audit, Compliance Audit, Product / Service Audit</w:t>
      </w:r>
    </w:p>
    <w:p w14:paraId="116AED19" w14:textId="1AFB8B70" w:rsidR="007A1719" w:rsidRPr="00121BB6" w:rsidRDefault="007A1719" w:rsidP="00C94B2F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System Audit</w:t>
      </w:r>
      <w:r w:rsidR="00421C4B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: 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Audit terhadap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terdokumentasi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memastikan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sudah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memenuhi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standar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nasional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atau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internasional</w:t>
      </w:r>
      <w:proofErr w:type="spellEnd"/>
    </w:p>
    <w:p w14:paraId="516AC4D4" w14:textId="21100AE6" w:rsidR="007A1719" w:rsidRPr="00121BB6" w:rsidRDefault="007A1719" w:rsidP="00C94B2F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Compliance Audit</w:t>
      </w:r>
      <w:r w:rsidR="00421C4B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: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menguji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efektifitas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implementasi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dari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kebijakan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prosedur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kontrol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unsur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hukum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lain</w:t>
      </w:r>
    </w:p>
    <w:p w14:paraId="48989A61" w14:textId="06BECD52" w:rsidR="007A1719" w:rsidRPr="00121BB6" w:rsidRDefault="007A1719" w:rsidP="00C94B2F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Product / Service Audit</w:t>
      </w:r>
      <w:r w:rsidR="00421C4B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: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menguji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suatu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produk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atau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layanan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telah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sesuai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seperti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spesifikasi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telah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ditentukan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cocok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digunakan</w:t>
      </w:r>
      <w:proofErr w:type="spellEnd"/>
    </w:p>
    <w:p w14:paraId="28566DA4" w14:textId="70191081" w:rsidR="00CC545A" w:rsidRPr="00121BB6" w:rsidRDefault="00CC545A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11: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Siapa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Saja Yang Akan Di Audit</w:t>
      </w:r>
    </w:p>
    <w:p w14:paraId="3A6EA704" w14:textId="686FB63B" w:rsidR="00CC545A" w:rsidRPr="00121BB6" w:rsidRDefault="00525D7B" w:rsidP="00C532F8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Management</w:t>
      </w:r>
      <w:r w:rsidR="00CC545A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:</w:t>
      </w:r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FB0AC7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</w:t>
      </w:r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ertanggung</w:t>
      </w:r>
      <w:proofErr w:type="spellEnd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jawab</w:t>
      </w:r>
      <w:proofErr w:type="spellEnd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atas</w:t>
      </w:r>
      <w:proofErr w:type="spellEnd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kebijakan</w:t>
      </w:r>
      <w:proofErr w:type="spellEnd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strategi, dan </w:t>
      </w:r>
      <w:proofErr w:type="spellStart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pengambilan</w:t>
      </w:r>
      <w:proofErr w:type="spellEnd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keputusan</w:t>
      </w:r>
      <w:proofErr w:type="spellEnd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terkait</w:t>
      </w:r>
      <w:proofErr w:type="spellEnd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dengan</w:t>
      </w:r>
      <w:proofErr w:type="spellEnd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C545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</w:p>
    <w:p w14:paraId="1A028F06" w14:textId="3F200598" w:rsidR="00717F27" w:rsidRPr="00121BB6" w:rsidRDefault="00525D7B" w:rsidP="00C532F8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IT Manager</w:t>
      </w:r>
      <w:r w:rsidR="00717F27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:</w:t>
      </w:r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memiliki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peran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kunci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dalam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merancang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menerapkan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dan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menjaga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</w:p>
    <w:p w14:paraId="1F35D066" w14:textId="4DEEF6C0" w:rsidR="00717F27" w:rsidRPr="00121BB6" w:rsidRDefault="00525D7B" w:rsidP="00C532F8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IT Specialist (network, database, system analyst, programmer,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dll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.)</w:t>
      </w:r>
      <w:r w:rsidR="00717F27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:</w:t>
      </w:r>
      <w:r w:rsidR="00C01C9A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B</w:t>
      </w:r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ertanggung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jawab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atas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implementasi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pemeliharaan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dan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pengembangan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teknis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="00C01C9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6F2FCA2E" w14:textId="3A715575" w:rsidR="00A60D1A" w:rsidRPr="00121BB6" w:rsidRDefault="00525D7B" w:rsidP="00C532F8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User</w:t>
      </w:r>
      <w:r w:rsidR="00717F27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:</w:t>
      </w:r>
      <w:r w:rsidR="00A60D1A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="00A60D1A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B</w:t>
      </w:r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erinteraksi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langsung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dengan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aplikasi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&amp; data,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sehingga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penggunaan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tepat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aman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penting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keberhasilan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="00A60D1A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719AE0B4" w14:textId="30BF7B7E" w:rsidR="00255C4A" w:rsidRPr="00121BB6" w:rsidRDefault="00255C4A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12: </w:t>
      </w:r>
      <w:r w:rsidR="00010457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Langkah</w:t>
      </w: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menjadi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Auditor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:</w:t>
      </w:r>
    </w:p>
    <w:p w14:paraId="25DB9094" w14:textId="3D934977" w:rsidR="00745885" w:rsidRPr="00121BB6" w:rsidRDefault="00745885" w:rsidP="00D24C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Pendidikan &amp;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kualifikasi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Gelar Pendidikan &amp;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sertifikasi</w:t>
      </w:r>
      <w:proofErr w:type="spellEnd"/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;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Pengalaman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Kerja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P di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bidang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It, P Audit</w:t>
      </w:r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;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Menguasai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Keterampilan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Teknis &amp;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Nonteknis</w:t>
      </w:r>
      <w:proofErr w:type="spellEnd"/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; </w:t>
      </w:r>
      <w:proofErr w:type="spellStart"/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Pemahaman</w:t>
      </w:r>
      <w:proofErr w:type="spellEnd"/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Hukum dan </w:t>
      </w:r>
      <w:proofErr w:type="spellStart"/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Regulasi</w:t>
      </w:r>
      <w:proofErr w:type="spellEnd"/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;</w:t>
      </w:r>
      <w:r w:rsidR="00D24C34" w:rsidRPr="00121BB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Profesional</w:t>
      </w:r>
      <w:proofErr w:type="spellEnd"/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r w:rsidR="00B169CB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Bukti </w:t>
      </w:r>
      <w:proofErr w:type="spellStart"/>
      <w:r w:rsidR="00D24C34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Sertifikasi</w:t>
      </w:r>
      <w:proofErr w:type="spellEnd"/>
    </w:p>
    <w:p w14:paraId="047A7406" w14:textId="77777777" w:rsidR="009665E1" w:rsidRPr="00121BB6" w:rsidRDefault="00D35F4F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14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r w:rsidR="009665E1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4 Tujuan Audit </w:t>
      </w:r>
      <w:proofErr w:type="spellStart"/>
      <w:r w:rsidR="009665E1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Sistem</w:t>
      </w:r>
      <w:proofErr w:type="spellEnd"/>
      <w:r w:rsidR="009665E1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="009665E1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  <w:r w:rsidR="009665E1"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</w:p>
    <w:p w14:paraId="4243D957" w14:textId="58490610" w:rsidR="00D35F4F" w:rsidRPr="00121BB6" w:rsidRDefault="00D35F4F" w:rsidP="009665E1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Mengamankan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Asset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Memastikan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bahwa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semua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aset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baik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itu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berupa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perangkat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keras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perangkat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lunak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data,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atau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sumber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daya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lainnya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dilindungi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dengan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langkah-langkah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keamanan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sesuai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Ini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termasuk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pencegahan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akses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tidak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melindungi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sensitif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621976FB" w14:textId="57790B17" w:rsidR="00D35F4F" w:rsidRPr="00121BB6" w:rsidRDefault="00D35F4F" w:rsidP="009665E1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Menjaga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Integritas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Data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Memastikan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bahwa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data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disimpan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diolah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oleh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tetap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akurat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konsisten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tidak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diubah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secara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tidak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Integritas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data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menjadi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kritis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keputusan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bisnis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benar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diandalkan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34E6A098" w14:textId="59AB5948" w:rsidR="00D35F4F" w:rsidRPr="00121BB6" w:rsidRDefault="00D35F4F" w:rsidP="009665E1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Menjaga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Efektivitas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Memastikan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bahwa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beroperasi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sesuai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dengan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tujuan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kebutuhan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perusahaan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Ini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mencakup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pengoptimalan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kinerja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peningkatan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fungsionalitas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pemenuhan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kebutuhan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bisnis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secara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efektif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18917A96" w14:textId="1D8CF686" w:rsidR="00D35F4F" w:rsidRPr="00121BB6" w:rsidRDefault="00D35F4F" w:rsidP="009665E1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Mencapai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Efisiensi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Sumber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Daya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Memastikan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bahwa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sumber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daya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digunakan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dalam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operasi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dimanfaatkan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secara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efisien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Ini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mencakup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pengelolaan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perangkat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keras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perangkat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lunak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dan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sumber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daya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lainnya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sehingga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biaya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operasional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ditekan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tanpa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mengorbankan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kualitas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layanan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.</w:t>
      </w:r>
    </w:p>
    <w:p w14:paraId="42E38587" w14:textId="1A8623AD" w:rsidR="008921B0" w:rsidRPr="00121BB6" w:rsidRDefault="00C53BE7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</w:pP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15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: </w:t>
      </w:r>
      <w:proofErr w:type="spellStart"/>
      <w:r w:rsidR="008921B0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Pendekatan</w:t>
      </w:r>
      <w:proofErr w:type="spellEnd"/>
      <w:r w:rsidR="008921B0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Audit </w:t>
      </w:r>
      <w:proofErr w:type="spellStart"/>
      <w:r w:rsidR="008921B0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Sistem</w:t>
      </w:r>
      <w:proofErr w:type="spellEnd"/>
      <w:r w:rsidR="008921B0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="008921B0"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Informasi</w:t>
      </w:r>
      <w:proofErr w:type="spellEnd"/>
    </w:p>
    <w:p w14:paraId="2CC60993" w14:textId="4911973B" w:rsidR="00C53BE7" w:rsidRPr="00121BB6" w:rsidRDefault="00C53BE7" w:rsidP="008921B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Pendekatan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temuan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b/>
          <w:bCs/>
          <w:i/>
          <w:iCs/>
          <w:color w:val="000000"/>
          <w:sz w:val="25"/>
          <w:szCs w:val="25"/>
          <w:lang w:val="en-GB"/>
        </w:rPr>
        <w:t>Exposures Approach</w:t>
      </w: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)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fokus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utama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ditekankan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pada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jenis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kesalahan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losses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)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terjadi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dalam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suatu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.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Setelah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itu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ditentukan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kendali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controls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)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digunakan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mengurangi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kesalahan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tersebut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sampai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pada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batas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diterima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acceptable levels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).</w:t>
      </w:r>
    </w:p>
    <w:p w14:paraId="789E8EC2" w14:textId="014C0B5D" w:rsidR="00C53BE7" w:rsidRPr="00121BB6" w:rsidRDefault="00C53BE7" w:rsidP="008921B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</w:pP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Pendekatan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kendali</w:t>
      </w:r>
      <w:proofErr w:type="spellEnd"/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b/>
          <w:bCs/>
          <w:i/>
          <w:iCs/>
          <w:color w:val="000000"/>
          <w:sz w:val="25"/>
          <w:szCs w:val="25"/>
          <w:lang w:val="en-GB"/>
        </w:rPr>
        <w:t>Control Approach</w:t>
      </w:r>
      <w:r w:rsidRPr="00121BB6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GB"/>
        </w:rPr>
        <w:t>)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,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fokus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utamanya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adalah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kendali-kendali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di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dalam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suatu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sistem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informasi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digunakan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untuk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mengurangi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kesalahan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sampai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pada level yang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dapat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proofErr w:type="spellStart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diterima</w:t>
      </w:r>
      <w:proofErr w:type="spellEnd"/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(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acceptable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 xml:space="preserve"> </w:t>
      </w:r>
      <w:r w:rsidRPr="00121BB6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val="en-GB"/>
        </w:rPr>
        <w:t>levels</w:t>
      </w:r>
      <w:r w:rsidRPr="00121BB6">
        <w:rPr>
          <w:rFonts w:ascii="Times New Roman" w:eastAsia="Times New Roman" w:hAnsi="Times New Roman" w:cs="Times New Roman"/>
          <w:color w:val="000000"/>
          <w:sz w:val="25"/>
          <w:szCs w:val="25"/>
          <w:lang w:val="en-GB"/>
        </w:rPr>
        <w:t>).</w:t>
      </w:r>
    </w:p>
    <w:sectPr w:rsidR="00C53BE7" w:rsidRPr="00121BB6" w:rsidSect="00AB07AA">
      <w:pgSz w:w="11906" w:h="16838" w:code="9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3A48"/>
    <w:multiLevelType w:val="hybridMultilevel"/>
    <w:tmpl w:val="15162F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09F5"/>
    <w:multiLevelType w:val="hybridMultilevel"/>
    <w:tmpl w:val="58147148"/>
    <w:lvl w:ilvl="0" w:tplc="C20835B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11EE6"/>
    <w:multiLevelType w:val="multilevel"/>
    <w:tmpl w:val="79AC2D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63240"/>
    <w:multiLevelType w:val="hybridMultilevel"/>
    <w:tmpl w:val="1338BCB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F25A8"/>
    <w:multiLevelType w:val="hybridMultilevel"/>
    <w:tmpl w:val="72ACC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856C6"/>
    <w:multiLevelType w:val="hybridMultilevel"/>
    <w:tmpl w:val="770A19E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8435A"/>
    <w:multiLevelType w:val="hybridMultilevel"/>
    <w:tmpl w:val="C6DEE65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4736E"/>
    <w:multiLevelType w:val="hybridMultilevel"/>
    <w:tmpl w:val="DCE84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A0EA5"/>
    <w:multiLevelType w:val="hybridMultilevel"/>
    <w:tmpl w:val="A50070E8"/>
    <w:lvl w:ilvl="0" w:tplc="73A28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A5C68"/>
    <w:multiLevelType w:val="multilevel"/>
    <w:tmpl w:val="A05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A7401"/>
    <w:multiLevelType w:val="hybridMultilevel"/>
    <w:tmpl w:val="F790E52E"/>
    <w:lvl w:ilvl="0" w:tplc="C20835B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4587A"/>
    <w:multiLevelType w:val="hybridMultilevel"/>
    <w:tmpl w:val="F58EDEF8"/>
    <w:lvl w:ilvl="0" w:tplc="C20835B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31B3"/>
    <w:multiLevelType w:val="hybridMultilevel"/>
    <w:tmpl w:val="28BC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89471">
    <w:abstractNumId w:val="12"/>
  </w:num>
  <w:num w:numId="2" w16cid:durableId="187303478">
    <w:abstractNumId w:val="8"/>
  </w:num>
  <w:num w:numId="3" w16cid:durableId="1933119365">
    <w:abstractNumId w:val="7"/>
  </w:num>
  <w:num w:numId="4" w16cid:durableId="1834907002">
    <w:abstractNumId w:val="9"/>
  </w:num>
  <w:num w:numId="5" w16cid:durableId="1545755603">
    <w:abstractNumId w:val="4"/>
  </w:num>
  <w:num w:numId="6" w16cid:durableId="1112168183">
    <w:abstractNumId w:val="2"/>
  </w:num>
  <w:num w:numId="7" w16cid:durableId="1298340648">
    <w:abstractNumId w:val="0"/>
  </w:num>
  <w:num w:numId="8" w16cid:durableId="585193004">
    <w:abstractNumId w:val="3"/>
  </w:num>
  <w:num w:numId="9" w16cid:durableId="1628193984">
    <w:abstractNumId w:val="6"/>
  </w:num>
  <w:num w:numId="10" w16cid:durableId="608661836">
    <w:abstractNumId w:val="5"/>
  </w:num>
  <w:num w:numId="11" w16cid:durableId="1841115288">
    <w:abstractNumId w:val="10"/>
  </w:num>
  <w:num w:numId="12" w16cid:durableId="1291324943">
    <w:abstractNumId w:val="1"/>
  </w:num>
  <w:num w:numId="13" w16cid:durableId="11142493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A"/>
    <w:rsid w:val="000016A1"/>
    <w:rsid w:val="00010457"/>
    <w:rsid w:val="000D2B12"/>
    <w:rsid w:val="000E2C12"/>
    <w:rsid w:val="000E59D9"/>
    <w:rsid w:val="00121BB6"/>
    <w:rsid w:val="00187336"/>
    <w:rsid w:val="001F19E6"/>
    <w:rsid w:val="00255C4A"/>
    <w:rsid w:val="002862D4"/>
    <w:rsid w:val="002C4EAD"/>
    <w:rsid w:val="002E7E60"/>
    <w:rsid w:val="00311F63"/>
    <w:rsid w:val="00335CB9"/>
    <w:rsid w:val="00357D86"/>
    <w:rsid w:val="00362F0A"/>
    <w:rsid w:val="003A07C4"/>
    <w:rsid w:val="003C5C99"/>
    <w:rsid w:val="003E37C4"/>
    <w:rsid w:val="003E5AF3"/>
    <w:rsid w:val="00421C4B"/>
    <w:rsid w:val="00482867"/>
    <w:rsid w:val="004C257E"/>
    <w:rsid w:val="004C7FAE"/>
    <w:rsid w:val="00525D7B"/>
    <w:rsid w:val="005B687C"/>
    <w:rsid w:val="00634DCA"/>
    <w:rsid w:val="006912FC"/>
    <w:rsid w:val="006B0D8F"/>
    <w:rsid w:val="00701382"/>
    <w:rsid w:val="00717F27"/>
    <w:rsid w:val="00722B0B"/>
    <w:rsid w:val="00745885"/>
    <w:rsid w:val="007860C3"/>
    <w:rsid w:val="007A1719"/>
    <w:rsid w:val="007A423C"/>
    <w:rsid w:val="008921B0"/>
    <w:rsid w:val="008F47F3"/>
    <w:rsid w:val="00902846"/>
    <w:rsid w:val="00935A26"/>
    <w:rsid w:val="00954787"/>
    <w:rsid w:val="009665E1"/>
    <w:rsid w:val="009822CC"/>
    <w:rsid w:val="00A60D1A"/>
    <w:rsid w:val="00AB07AA"/>
    <w:rsid w:val="00B10BB0"/>
    <w:rsid w:val="00B169CB"/>
    <w:rsid w:val="00B32523"/>
    <w:rsid w:val="00BA5926"/>
    <w:rsid w:val="00BC35F2"/>
    <w:rsid w:val="00BC617F"/>
    <w:rsid w:val="00C01C9A"/>
    <w:rsid w:val="00C532F8"/>
    <w:rsid w:val="00C53BE7"/>
    <w:rsid w:val="00C6339A"/>
    <w:rsid w:val="00C94B2F"/>
    <w:rsid w:val="00CC545A"/>
    <w:rsid w:val="00CE0F51"/>
    <w:rsid w:val="00D11E91"/>
    <w:rsid w:val="00D24C34"/>
    <w:rsid w:val="00D35F4F"/>
    <w:rsid w:val="00D5095B"/>
    <w:rsid w:val="00D86023"/>
    <w:rsid w:val="00D954C0"/>
    <w:rsid w:val="00DD2B84"/>
    <w:rsid w:val="00E36ECE"/>
    <w:rsid w:val="00E922FD"/>
    <w:rsid w:val="00EB7F26"/>
    <w:rsid w:val="00F34159"/>
    <w:rsid w:val="00F4056A"/>
    <w:rsid w:val="00F50D8B"/>
    <w:rsid w:val="00F96E7B"/>
    <w:rsid w:val="00FB0AC7"/>
    <w:rsid w:val="00FB0E73"/>
    <w:rsid w:val="00FB7999"/>
    <w:rsid w:val="00FC7510"/>
    <w:rsid w:val="00FE0B0C"/>
    <w:rsid w:val="00FF15A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2A94"/>
  <w15:chartTrackingRefBased/>
  <w15:docId w15:val="{1142A6F4-9EE9-44F5-B4C9-DAA5A2F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73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05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98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255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STMIK-II-19</dc:creator>
  <cp:keywords/>
  <dc:description/>
  <cp:lastModifiedBy>ALY DAP</cp:lastModifiedBy>
  <cp:revision>64</cp:revision>
  <dcterms:created xsi:type="dcterms:W3CDTF">2023-11-11T16:09:00Z</dcterms:created>
  <dcterms:modified xsi:type="dcterms:W3CDTF">2023-11-14T00:53:00Z</dcterms:modified>
</cp:coreProperties>
</file>