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2950" w14:textId="77777777" w:rsidR="00A561BE" w:rsidRPr="00A561BE" w:rsidRDefault="00A561BE" w:rsidP="00A561BE">
      <w:pPr>
        <w:spacing w:before="360" w:after="120"/>
        <w:jc w:val="both"/>
        <w:outlineLvl w:val="1"/>
        <w:rPr>
          <w:rFonts w:ascii="新細明體" w:eastAsia="新細明體" w:hAnsi="新細明體" w:cs="新細明體"/>
          <w:b/>
          <w:bCs/>
          <w:sz w:val="36"/>
          <w:szCs w:val="36"/>
          <w:lang w:eastAsia="zh-TW"/>
        </w:rPr>
      </w:pPr>
      <w:r w:rsidRPr="00A561BE">
        <w:rPr>
          <w:rFonts w:ascii="Arial" w:eastAsia="新細明體" w:hAnsi="Arial" w:cs="Arial"/>
          <w:color w:val="000000"/>
          <w:sz w:val="32"/>
          <w:szCs w:val="32"/>
          <w:lang w:eastAsia="zh-TW"/>
        </w:rPr>
        <w:t>Objective</w:t>
      </w:r>
    </w:p>
    <w:p w14:paraId="10B2B742" w14:textId="77777777" w:rsidR="00A561BE" w:rsidRPr="00A561BE" w:rsidRDefault="00A561BE" w:rsidP="00803A89">
      <w:pPr>
        <w:spacing w:after="120"/>
        <w:ind w:firstLine="360"/>
        <w:jc w:val="both"/>
        <w:rPr>
          <w:rFonts w:ascii="Arial" w:eastAsia="新細明體" w:hAnsi="Arial" w:cs="Arial"/>
          <w:color w:val="000000"/>
          <w:sz w:val="22"/>
          <w:szCs w:val="22"/>
          <w:lang w:eastAsia="zh-TW"/>
        </w:rPr>
      </w:pPr>
      <w:r w:rsidRPr="00A561BE">
        <w:rPr>
          <w:rFonts w:ascii="Arial" w:eastAsia="新細明體" w:hAnsi="Arial" w:cs="Arial"/>
          <w:color w:val="000000"/>
          <w:sz w:val="22"/>
          <w:szCs w:val="22"/>
          <w:lang w:eastAsia="zh-TW"/>
        </w:rPr>
        <w:t>We developed two hypotheses to build off the results presented in Kim et al., 2021, which examined the association between appendicular skeletal muscle mass and metabolic syndrome.</w:t>
      </w:r>
      <w:hyperlink r:id="rId8" w:history="1">
        <w:r w:rsidRPr="007E5DE0">
          <w:rPr>
            <w:rFonts w:ascii="Arial" w:eastAsia="新細明體" w:hAnsi="Arial" w:cs="Arial"/>
            <w:color w:val="000000"/>
            <w:sz w:val="22"/>
            <w:szCs w:val="22"/>
            <w:vertAlign w:val="superscript"/>
            <w:lang w:eastAsia="zh-TW"/>
          </w:rPr>
          <w:t>1</w:t>
        </w:r>
      </w:hyperlink>
    </w:p>
    <w:p w14:paraId="332D269C" w14:textId="2549FF20" w:rsidR="00A561BE" w:rsidRPr="00A561BE" w:rsidRDefault="00A561BE" w:rsidP="00A561BE">
      <w:pPr>
        <w:jc w:val="both"/>
        <w:rPr>
          <w:rFonts w:ascii="新細明體" w:eastAsia="新細明體" w:hAnsi="新細明體" w:cs="新細明體"/>
          <w:lang w:eastAsia="zh-TW"/>
        </w:rPr>
      </w:pPr>
    </w:p>
    <w:p w14:paraId="662EFB06" w14:textId="77777777" w:rsidR="00A561BE" w:rsidRPr="00A561BE" w:rsidRDefault="00A561BE" w:rsidP="00A561BE">
      <w:pPr>
        <w:numPr>
          <w:ilvl w:val="0"/>
          <w:numId w:val="3"/>
        </w:numPr>
        <w:tabs>
          <w:tab w:val="clear" w:pos="720"/>
        </w:tabs>
        <w:ind w:left="284" w:hangingChars="129" w:hanging="284"/>
        <w:jc w:val="both"/>
        <w:textAlignment w:val="baseline"/>
        <w:rPr>
          <w:rFonts w:ascii="Arial" w:eastAsia="新細明體" w:hAnsi="Arial" w:cs="Arial"/>
          <w:color w:val="222222"/>
          <w:sz w:val="22"/>
          <w:szCs w:val="22"/>
          <w:lang w:eastAsia="zh-TW"/>
        </w:rPr>
      </w:pPr>
      <w:r w:rsidRPr="00A561BE">
        <w:rPr>
          <w:rFonts w:ascii="Arial" w:eastAsia="新細明體" w:hAnsi="Arial" w:cs="Arial"/>
          <w:color w:val="000000"/>
          <w:sz w:val="22"/>
          <w:szCs w:val="22"/>
          <w:lang w:eastAsia="zh-TW"/>
        </w:rPr>
        <w:t>What is the association between appendicular skeletal muscle mass (ASM) per body weight and hypertension (HT) among Korean adults aged 25 to 60 years?</w:t>
      </w:r>
    </w:p>
    <w:p w14:paraId="3360F28B" w14:textId="77777777" w:rsidR="00A561BE" w:rsidRPr="00A561BE" w:rsidRDefault="00A561BE" w:rsidP="00A561BE">
      <w:pPr>
        <w:numPr>
          <w:ilvl w:val="0"/>
          <w:numId w:val="3"/>
        </w:numPr>
        <w:tabs>
          <w:tab w:val="clear" w:pos="720"/>
        </w:tabs>
        <w:ind w:left="284" w:hangingChars="129" w:hanging="284"/>
        <w:jc w:val="both"/>
        <w:textAlignment w:val="baseline"/>
        <w:rPr>
          <w:rFonts w:ascii="Arial" w:eastAsia="新細明體" w:hAnsi="Arial" w:cs="Arial"/>
          <w:color w:val="000000"/>
          <w:sz w:val="22"/>
          <w:szCs w:val="22"/>
          <w:lang w:eastAsia="zh-TW"/>
        </w:rPr>
      </w:pPr>
      <w:r w:rsidRPr="00A561BE">
        <w:rPr>
          <w:rFonts w:ascii="Arial" w:eastAsia="新細明體" w:hAnsi="Arial" w:cs="Arial"/>
          <w:color w:val="000000"/>
          <w:sz w:val="22"/>
          <w:szCs w:val="22"/>
          <w:lang w:eastAsia="zh-TW"/>
        </w:rPr>
        <w:t>Is there a correlation between appendicular skeletal muscle mass per body weight and mean arterial blood pressure (MAP) among Korean adults aged 25 to 60 years? </w:t>
      </w:r>
    </w:p>
    <w:p w14:paraId="2A016D87" w14:textId="22CD313D" w:rsidR="00A561BE" w:rsidRDefault="00A561BE" w:rsidP="00A561BE">
      <w:pPr>
        <w:tabs>
          <w:tab w:val="left" w:pos="450"/>
        </w:tabs>
        <w:rPr>
          <w:rFonts w:ascii="Arial" w:hAnsi="Arial" w:cs="Arial"/>
          <w:sz w:val="22"/>
          <w:szCs w:val="22"/>
        </w:rPr>
      </w:pPr>
    </w:p>
    <w:p w14:paraId="102189AE" w14:textId="77777777" w:rsidR="00A561BE" w:rsidRPr="00A561BE" w:rsidRDefault="00A561BE" w:rsidP="00A561BE">
      <w:pPr>
        <w:spacing w:before="360" w:after="120"/>
        <w:outlineLvl w:val="1"/>
        <w:rPr>
          <w:rFonts w:ascii="新細明體" w:eastAsia="新細明體" w:hAnsi="新細明體" w:cs="新細明體"/>
          <w:b/>
          <w:bCs/>
          <w:sz w:val="36"/>
          <w:szCs w:val="36"/>
          <w:lang w:eastAsia="zh-TW"/>
        </w:rPr>
      </w:pPr>
      <w:r w:rsidRPr="00A561BE">
        <w:rPr>
          <w:rFonts w:ascii="Arial" w:eastAsia="新細明體" w:hAnsi="Arial" w:cs="Arial"/>
          <w:color w:val="000000"/>
          <w:sz w:val="32"/>
          <w:szCs w:val="32"/>
          <w:lang w:eastAsia="zh-TW"/>
        </w:rPr>
        <w:t>Methods</w:t>
      </w:r>
    </w:p>
    <w:p w14:paraId="71AB9D98" w14:textId="77777777" w:rsidR="00A561BE" w:rsidRPr="00A561BE" w:rsidRDefault="00A561BE" w:rsidP="00A561BE">
      <w:pPr>
        <w:spacing w:after="120"/>
        <w:rPr>
          <w:rFonts w:ascii="新細明體" w:eastAsia="新細明體" w:hAnsi="新細明體" w:cs="新細明體"/>
          <w:lang w:eastAsia="zh-TW"/>
        </w:rPr>
      </w:pPr>
      <w:r w:rsidRPr="00A561BE">
        <w:rPr>
          <w:rFonts w:ascii="Arial" w:eastAsia="新細明體" w:hAnsi="Arial" w:cs="Arial"/>
          <w:b/>
          <w:bCs/>
          <w:color w:val="000000"/>
          <w:sz w:val="22"/>
          <w:szCs w:val="22"/>
          <w:lang w:eastAsia="zh-TW"/>
        </w:rPr>
        <w:t>Data collection</w:t>
      </w:r>
    </w:p>
    <w:p w14:paraId="5FC9B1B3" w14:textId="541FDD45" w:rsidR="00A561BE" w:rsidRPr="00A561BE" w:rsidRDefault="00A561BE" w:rsidP="00A561BE">
      <w:pPr>
        <w:spacing w:after="120"/>
        <w:ind w:firstLine="360"/>
        <w:jc w:val="both"/>
        <w:rPr>
          <w:rFonts w:ascii="新細明體" w:eastAsia="新細明體" w:hAnsi="新細明體" w:cs="新細明體"/>
          <w:lang w:eastAsia="zh-TW"/>
        </w:rPr>
      </w:pPr>
      <w:r w:rsidRPr="00A561BE">
        <w:rPr>
          <w:rFonts w:ascii="Arial" w:eastAsia="新細明體" w:hAnsi="Arial" w:cs="Arial"/>
          <w:color w:val="000000"/>
          <w:sz w:val="22"/>
          <w:szCs w:val="22"/>
          <w:lang w:eastAsia="zh-TW"/>
        </w:rPr>
        <w:t xml:space="preserve">We used a publicly available dataset of 13,620 participants 20 years and older who underwent a voluntary routine health check up at the healthcare center of Seoul National University </w:t>
      </w:r>
      <w:proofErr w:type="spellStart"/>
      <w:r w:rsidRPr="00A561BE">
        <w:rPr>
          <w:rFonts w:ascii="Arial" w:eastAsia="新細明體" w:hAnsi="Arial" w:cs="Arial"/>
          <w:color w:val="000000"/>
          <w:sz w:val="22"/>
          <w:szCs w:val="22"/>
          <w:lang w:eastAsia="zh-TW"/>
        </w:rPr>
        <w:t>Boramea</w:t>
      </w:r>
      <w:proofErr w:type="spellEnd"/>
      <w:r w:rsidRPr="00A561BE">
        <w:rPr>
          <w:rFonts w:ascii="Arial" w:eastAsia="新細明體" w:hAnsi="Arial" w:cs="Arial"/>
          <w:color w:val="000000"/>
          <w:sz w:val="22"/>
          <w:szCs w:val="22"/>
          <w:lang w:eastAsia="zh-TW"/>
        </w:rPr>
        <w:t xml:space="preserve"> Medical Center from October 2014 to December 2019. Patients with insufficient data, multiple health checkups and history of malignancy were excluded from this dataset</w:t>
      </w:r>
      <w:r>
        <w:rPr>
          <w:rFonts w:ascii="Arial" w:eastAsia="新細明體" w:hAnsi="Arial" w:cs="Arial"/>
          <w:color w:val="000000"/>
          <w:sz w:val="22"/>
          <w:szCs w:val="22"/>
        </w:rPr>
        <w:fldChar w:fldCharType="begin" w:fldLock="1"/>
      </w:r>
      <w:r>
        <w:rPr>
          <w:rFonts w:ascii="Arial" w:eastAsia="新細明體" w:hAnsi="Arial" w:cs="Arial"/>
          <w:color w:val="000000"/>
          <w:sz w:val="22"/>
          <w:szCs w:val="22"/>
        </w:rPr>
        <w:instrText>ADDIN CSL_CITATION {"citationItems":[{"id":"ITEM-1","itemData":{"DOI":"10.1371/JOURNAL.PONE.0248856","ISBN":"1111111111","ISSN":"1932-6203","PMID":"33739984","abstract":"Aims Metabolic syndrome (MetS) increases the risk of diabetes mellitus (DM), cardiovascular disease (CVD), cancer, and mortality. Sarcopenia has been reported as a risk factor for MetS, non-alcoholic fatty liver disease, and CVD. To date, the association between sarcopenia and MetS has been investigated. However, there have been few studies on the dose-response relationship between sarcopenia and MetS. We investigated the association between sarcopenia and the prevalence of MetS. We also aimed to analyze the dose-response relationship between skeletal muscle mass and the prevalence of MetS.   Methods We enrolled 13,620 participants from October 2014 to December 2019. Skeletal muscle mass was measured using bioelectrical impedance analysis (BIA). Appendicular skeletal muscle mass (ASM) was divided by body weight (kg) and was expressed as a percentage (ASM x 100/Weight, ASM%). The quartiles of ASM% were calculated for each gender, with Q1 and Q4 being the lowest and highest quartiles of ASM%, respectively. The quartiles of ASM% were calculated for each gender, with Q1 and Q4 being the lowest and highest quartiles of ASM%, respectively. Linear regression and logistic regression analyses were used to compare the clinical parameters according to ASM%, adjusted for age, sex, obesity, hypertension (HT), DM, dyslipidemia (DL), smoking, alcohol intake, and C-reactive protein (CRP). Multiple logistic regression analysis was performed to determine the risk of MetS in each group.   Results A dose-response relationship was identified between ASM% and MetS. Sarcopenia was associated with an increased prevalence of MetS. After adjustment for age, sex, obesity, HT, DM, DL, smoking, alcohol intake, and CRP, sarcopenia remained significantly associated with MetS. For each 1 quartile increment in ASM%, the risk of MetS decreased by 56% (P&lt; 0.001). After adjusting for age, sex, obesity, HT, DM, DL, smoking, alcohol intake, and CRP, the risk of MetS decreased by 25% per 1Q increment in ASM% (P &lt; 0.001).   Conclusions Sarcopenia by BIA is independently associated with the risk of MetS and has a dose-response relationship.","author":[{"dropping-particle":"","family":"Kim","given":"Su Hwan","non-dropping-particle":"","parse-names":false,"suffix":""},{"dropping-particle":"","family":"Jeong","given":"Ji Bong","non-dropping-particle":"","parse-names":false,"suffix":""},{"dropping-particle":"","family":"Kang","given":"Jinwoo","non-dropping-particle":"","parse-names":false,"suffix":""},{"dropping-particle":"","family":"Ahn","given":"Dong Won","non-dropping-particle":"","parse-names":false,"suffix":""},{"dropping-particle":"","family":"Kim","given":"Ji Won","non-dropping-particle":"","parse-names":false,"suffix":""},{"dropping-particle":"","family":"Kim","given":"Byeong Gwan","non-dropping-particle":"","parse-names":false,"suffix":""},{"dropping-particle":"","family":"Lee","given":"Kook Lae","non-dropping-particle":"","parse-names":false,"suffix":""},{"dropping-particle":"","family":"Oh","given":"Sohee","non-dropping-particle":"","parse-names":false,"suffix":""},{"dropping-particle":"","family":"Yoon","given":"Soon Ho","non-dropping-particle":"","parse-names":false,"suffix":""},{"dropping-particle":"","family":"Park","given":"Sang Joon","non-dropping-particle":"","parse-names":false,"suffix":""},{"dropping-particle":"","family":"Lee","given":"Doo Hee","non-dropping-particle":"","parse-names":false,"suffix":""}],"container-title":"PLOS ONE","id":"ITEM-1","issue":"3","issued":{"date-parts":[["2021","3","1"]]},"page":"e0248856","publisher":"Public Library of Science","title":"Association between sarcopenia level and metabolic syndrome","type":"article-journal","volume":"16"},"uris":["http://www.mendeley.com/documents/?uuid=3ba582a1-7047-3fc3-a6e5-b717a770433c"]}],"mendeley":{"formattedCitation":"&lt;sup&gt;1&lt;/sup&gt;","plainTextFormattedCitation":"1","previouslyFormattedCitation":"&lt;sup&gt;1&lt;/sup&gt;"},"properties":{"noteIndex":0},"schema":"https://github.com/citation-style-language/schema/raw/master/csl-citation.json"}</w:instrText>
      </w:r>
      <w:r>
        <w:rPr>
          <w:rFonts w:ascii="Arial" w:eastAsia="新細明體" w:hAnsi="Arial" w:cs="Arial"/>
          <w:color w:val="000000"/>
          <w:sz w:val="22"/>
          <w:szCs w:val="22"/>
        </w:rPr>
        <w:fldChar w:fldCharType="separate"/>
      </w:r>
      <w:r w:rsidRPr="00D1356C">
        <w:rPr>
          <w:rFonts w:ascii="Arial" w:eastAsia="新細明體" w:hAnsi="Arial" w:cs="Arial"/>
          <w:noProof/>
          <w:color w:val="000000"/>
          <w:sz w:val="22"/>
          <w:szCs w:val="22"/>
          <w:vertAlign w:val="superscript"/>
        </w:rPr>
        <w:t>1</w:t>
      </w:r>
      <w:r>
        <w:rPr>
          <w:rFonts w:ascii="Arial" w:eastAsia="新細明體" w:hAnsi="Arial" w:cs="Arial"/>
          <w:color w:val="000000"/>
          <w:sz w:val="22"/>
          <w:szCs w:val="22"/>
        </w:rPr>
        <w:fldChar w:fldCharType="end"/>
      </w:r>
      <w:r w:rsidRPr="00A561BE">
        <w:rPr>
          <w:rFonts w:ascii="Arial" w:eastAsia="新細明體" w:hAnsi="Arial" w:cs="Arial"/>
          <w:color w:val="000000"/>
          <w:sz w:val="22"/>
          <w:szCs w:val="22"/>
          <w:lang w:eastAsia="zh-TW"/>
        </w:rPr>
        <w:t>. We further restricted our analyses to 10,759 patients aged between 25 and 60. The onset of HT for younger subjects could result from other underlying medical conditions and may have different mechanisms than those with primary HT. In hypertensive older adults, a number of studies have suggested a “J-shaped” curve, where low systolic and diastolic blood pressure is associated with elevated cardiovascular risk, thus motivating a more permissive lower bound for blood pressure when defining HT for older adults</w:t>
      </w:r>
      <w:r>
        <w:rPr>
          <w:rFonts w:ascii="Arial" w:eastAsia="新細明體" w:hAnsi="Arial" w:cs="Arial"/>
          <w:color w:val="000000"/>
          <w:sz w:val="22"/>
          <w:szCs w:val="22"/>
        </w:rPr>
        <w:fldChar w:fldCharType="begin" w:fldLock="1"/>
      </w:r>
      <w:r>
        <w:rPr>
          <w:rFonts w:ascii="Arial" w:eastAsia="新細明體" w:hAnsi="Arial" w:cs="Arial"/>
          <w:color w:val="000000"/>
          <w:sz w:val="22"/>
          <w:szCs w:val="22"/>
        </w:rPr>
        <w:instrText>ADDIN CSL_CITATION {"citationItems":[{"id":"ITEM-1","itemData":{"URL":"https://www.acc.org/latest-in-cardiology/articles/2020/02/26/06/24/older-adults-and-hypertension","accessed":{"date-parts":[["2022","2","22"]]},"author":[{"dropping-particle":"","family":"Anandita","given":"Kulkarni;","non-dropping-particle":"","parse-names":false,"suffix":""},{"dropping-particle":"","family":"Mehta","given":"Anurag;","non-dropping-particle":"","parse-names":false,"suffix":""},{"dropping-particle":"","family":"Yang","given":"Eugene;","non-dropping-particle":"","parse-names":false,"suffix":""},{"dropping-particle":"","family":"Parapid","given":"Biljana","non-dropping-particle":"","parse-names":false,"suffix":""}],"id":"ITEM-1","issued":{"date-parts":[["0"]]},"title":"Older Adults and Hypertension: Beyond the 2017 Guideline for Prevention, Detection, Evaluation, and Management of High Blood Pressure in Adults - American College of Cardiology","type":"webpage"},"uris":["http://www.mendeley.com/documents/?uuid=c6389c3d-4cbc-38e2-a036-aa63e674854b"]}],"mendeley":{"formattedCitation":"&lt;sup&gt;2&lt;/sup&gt;","plainTextFormattedCitation":"2","previouslyFormattedCitation":"&lt;sup&gt;2&lt;/sup&gt;"},"properties":{"noteIndex":0},"schema":"https://github.com/citation-style-language/schema/raw/master/csl-citation.json"}</w:instrText>
      </w:r>
      <w:r>
        <w:rPr>
          <w:rFonts w:ascii="Arial" w:eastAsia="新細明體" w:hAnsi="Arial" w:cs="Arial"/>
          <w:color w:val="000000"/>
          <w:sz w:val="22"/>
          <w:szCs w:val="22"/>
        </w:rPr>
        <w:fldChar w:fldCharType="separate"/>
      </w:r>
      <w:r w:rsidRPr="00D1356C">
        <w:rPr>
          <w:rFonts w:ascii="Arial" w:eastAsia="新細明體" w:hAnsi="Arial" w:cs="Arial"/>
          <w:noProof/>
          <w:color w:val="000000"/>
          <w:sz w:val="22"/>
          <w:szCs w:val="22"/>
          <w:vertAlign w:val="superscript"/>
        </w:rPr>
        <w:t>2</w:t>
      </w:r>
      <w:r>
        <w:rPr>
          <w:rFonts w:ascii="Arial" w:eastAsia="新細明體" w:hAnsi="Arial" w:cs="Arial"/>
          <w:color w:val="000000"/>
          <w:sz w:val="22"/>
          <w:szCs w:val="22"/>
        </w:rPr>
        <w:fldChar w:fldCharType="end"/>
      </w:r>
      <w:r w:rsidRPr="00A561BE">
        <w:rPr>
          <w:rFonts w:ascii="Arial" w:eastAsia="新細明體" w:hAnsi="Arial" w:cs="Arial"/>
          <w:color w:val="000000"/>
          <w:sz w:val="22"/>
          <w:szCs w:val="22"/>
          <w:lang w:eastAsia="zh-TW"/>
        </w:rPr>
        <w:t>. For a full description of the original data collection procedure, please see Kim et al., 2021</w:t>
      </w:r>
      <w:r>
        <w:rPr>
          <w:rFonts w:ascii="Arial" w:eastAsia="新細明體" w:hAnsi="Arial" w:cs="Arial"/>
          <w:color w:val="000000"/>
          <w:sz w:val="22"/>
          <w:szCs w:val="22"/>
        </w:rPr>
        <w:fldChar w:fldCharType="begin" w:fldLock="1"/>
      </w:r>
      <w:r>
        <w:rPr>
          <w:rFonts w:ascii="Arial" w:eastAsia="新細明體" w:hAnsi="Arial" w:cs="Arial"/>
          <w:color w:val="000000"/>
          <w:sz w:val="22"/>
          <w:szCs w:val="22"/>
        </w:rPr>
        <w:instrText>ADDIN CSL_CITATION {"citationItems":[{"id":"ITEM-1","itemData":{"DOI":"10.1371/JOURNAL.PONE.0248856","ISBN":"1111111111","ISSN":"1932-6203","PMID":"33739984","abstract":"Aims Metabolic syndrome (MetS) increases the risk of diabetes mellitus (DM), cardiovascular disease (CVD), cancer, and mortality. Sarcopenia has been reported as a risk factor for MetS, non-alcoholic fatty liver disease, and CVD. To date, the association between sarcopenia and MetS has been investigated. However, there have been few studies on the dose-response relationship between sarcopenia and MetS. We investigated the association between sarcopenia and the prevalence of MetS. We also aimed to analyze the dose-response relationship between skeletal muscle mass and the prevalence of MetS.   Methods We enrolled 13,620 participants from October 2014 to December 2019. Skeletal muscle mass was measured using bioelectrical impedance analysis (BIA). Appendicular skeletal muscle mass (ASM) was divided by body weight (kg) and was expressed as a percentage (ASM x 100/Weight, ASM%). The quartiles of ASM% were calculated for each gender, with Q1 and Q4 being the lowest and highest quartiles of ASM%, respectively. The quartiles of ASM% were calculated for each gender, with Q1 and Q4 being the lowest and highest quartiles of ASM%, respectively. Linear regression and logistic regression analyses were used to compare the clinical parameters according to ASM%, adjusted for age, sex, obesity, hypertension (HT), DM, dyslipidemia (DL), smoking, alcohol intake, and C-reactive protein (CRP). Multiple logistic regression analysis was performed to determine the risk of MetS in each group.   Results A dose-response relationship was identified between ASM% and MetS. Sarcopenia was associated with an increased prevalence of MetS. After adjustment for age, sex, obesity, HT, DM, DL, smoking, alcohol intake, and CRP, sarcopenia remained significantly associated with MetS. For each 1 quartile increment in ASM%, the risk of MetS decreased by 56% (P&lt; 0.001). After adjusting for age, sex, obesity, HT, DM, DL, smoking, alcohol intake, and CRP, the risk of MetS decreased by 25% per 1Q increment in ASM% (P &lt; 0.001).   Conclusions Sarcopenia by BIA is independently associated with the risk of MetS and has a dose-response relationship.","author":[{"dropping-particle":"","family":"Kim","given":"Su Hwan","non-dropping-particle":"","parse-names":false,"suffix":""},{"dropping-particle":"","family":"Jeong","given":"Ji Bong","non-dropping-particle":"","parse-names":false,"suffix":""},{"dropping-particle":"","family":"Kang","given":"Jinwoo","non-dropping-particle":"","parse-names":false,"suffix":""},{"dropping-particle":"","family":"Ahn","given":"Dong Won","non-dropping-particle":"","parse-names":false,"suffix":""},{"dropping-particle":"","family":"Kim","given":"Ji Won","non-dropping-particle":"","parse-names":false,"suffix":""},{"dropping-particle":"","family":"Kim","given":"Byeong Gwan","non-dropping-particle":"","parse-names":false,"suffix":""},{"dropping-particle":"","family":"Lee","given":"Kook Lae","non-dropping-particle":"","parse-names":false,"suffix":""},{"dropping-particle":"","family":"Oh","given":"Sohee","non-dropping-particle":"","parse-names":false,"suffix":""},{"dropping-particle":"","family":"Yoon","given":"Soon Ho","non-dropping-particle":"","parse-names":false,"suffix":""},{"dropping-particle":"","family":"Park","given":"Sang Joon","non-dropping-particle":"","parse-names":false,"suffix":""},{"dropping-particle":"","family":"Lee","given":"Doo Hee","non-dropping-particle":"","parse-names":false,"suffix":""}],"container-title":"PLOS ONE","id":"ITEM-1","issue":"3","issued":{"date-parts":[["2021","3","1"]]},"page":"e0248856","publisher":"Public Library of Science","title":"Association between sarcopenia level and metabolic syndrome","type":"article-journal","volume":"16"},"uris":["http://www.mendeley.com/documents/?uuid=3ba582a1-7047-3fc3-a6e5-b717a770433c"]}],"mendeley":{"formattedCitation":"&lt;sup&gt;1&lt;/sup&gt;","plainTextFormattedCitation":"1","previouslyFormattedCitation":"&lt;sup&gt;1&lt;/sup&gt;"},"properties":{"noteIndex":0},"schema":"https://github.com/citation-style-language/schema/raw/master/csl-citation.json"}</w:instrText>
      </w:r>
      <w:r>
        <w:rPr>
          <w:rFonts w:ascii="Arial" w:eastAsia="新細明體" w:hAnsi="Arial" w:cs="Arial"/>
          <w:color w:val="000000"/>
          <w:sz w:val="22"/>
          <w:szCs w:val="22"/>
        </w:rPr>
        <w:fldChar w:fldCharType="separate"/>
      </w:r>
      <w:r w:rsidRPr="00D1356C">
        <w:rPr>
          <w:rFonts w:ascii="Arial" w:eastAsia="新細明體" w:hAnsi="Arial" w:cs="Arial"/>
          <w:noProof/>
          <w:color w:val="000000"/>
          <w:sz w:val="22"/>
          <w:szCs w:val="22"/>
          <w:vertAlign w:val="superscript"/>
        </w:rPr>
        <w:t>1</w:t>
      </w:r>
      <w:r>
        <w:rPr>
          <w:rFonts w:ascii="Arial" w:eastAsia="新細明體" w:hAnsi="Arial" w:cs="Arial"/>
          <w:color w:val="000000"/>
          <w:sz w:val="22"/>
          <w:szCs w:val="22"/>
        </w:rPr>
        <w:fldChar w:fldCharType="end"/>
      </w:r>
      <w:r w:rsidRPr="00A561BE">
        <w:rPr>
          <w:rFonts w:ascii="Arial" w:eastAsia="新細明體" w:hAnsi="Arial" w:cs="Arial"/>
          <w:color w:val="000000"/>
          <w:sz w:val="22"/>
          <w:szCs w:val="22"/>
          <w:lang w:eastAsia="zh-TW"/>
        </w:rPr>
        <w:t>.</w:t>
      </w:r>
      <w:r w:rsidR="00645248">
        <w:rPr>
          <w:rFonts w:ascii="Arial" w:eastAsia="新細明體" w:hAnsi="Arial" w:cs="Arial"/>
          <w:color w:val="000000"/>
          <w:sz w:val="22"/>
          <w:szCs w:val="22"/>
          <w:lang w:eastAsia="zh-TW"/>
        </w:rPr>
        <w:t xml:space="preserve"> There is no missing value in our covariate set</w:t>
      </w:r>
      <w:r w:rsidR="00694969">
        <w:rPr>
          <w:rFonts w:ascii="Arial" w:eastAsia="新細明體" w:hAnsi="Arial" w:cs="Arial"/>
          <w:color w:val="000000"/>
          <w:sz w:val="22"/>
          <w:szCs w:val="22"/>
          <w:lang w:eastAsia="zh-TW"/>
        </w:rPr>
        <w:t>, as variables with large amount of missing in the original data were excluded from the current analysis</w:t>
      </w:r>
      <w:r w:rsidR="00645248">
        <w:rPr>
          <w:rFonts w:ascii="Arial" w:eastAsia="新細明體" w:hAnsi="Arial" w:cs="Arial"/>
          <w:color w:val="000000"/>
          <w:sz w:val="22"/>
          <w:szCs w:val="22"/>
          <w:lang w:eastAsia="zh-TW"/>
        </w:rPr>
        <w:t>.</w:t>
      </w:r>
    </w:p>
    <w:p w14:paraId="57B30601" w14:textId="77777777" w:rsidR="00A561BE" w:rsidRPr="00A561BE" w:rsidRDefault="00A561BE" w:rsidP="00803A89">
      <w:pPr>
        <w:spacing w:after="120"/>
        <w:jc w:val="both"/>
        <w:rPr>
          <w:rFonts w:ascii="新細明體" w:eastAsia="新細明體" w:hAnsi="新細明體" w:cs="新細明體"/>
          <w:lang w:eastAsia="zh-TW"/>
        </w:rPr>
      </w:pPr>
      <w:r w:rsidRPr="00A561BE">
        <w:rPr>
          <w:rFonts w:ascii="Arial" w:eastAsia="新細明體" w:hAnsi="Arial" w:cs="Arial"/>
          <w:b/>
          <w:bCs/>
          <w:color w:val="000000"/>
          <w:sz w:val="22"/>
          <w:szCs w:val="22"/>
          <w:lang w:eastAsia="zh-TW"/>
        </w:rPr>
        <w:t>Definitions</w:t>
      </w:r>
    </w:p>
    <w:p w14:paraId="09FA3660" w14:textId="77777777" w:rsidR="00A561BE" w:rsidRPr="00A561BE" w:rsidRDefault="00A561BE" w:rsidP="00A561BE">
      <w:pPr>
        <w:spacing w:after="120"/>
        <w:ind w:firstLine="360"/>
        <w:jc w:val="both"/>
        <w:rPr>
          <w:rFonts w:ascii="新細明體" w:eastAsia="新細明體" w:hAnsi="新細明體" w:cs="新細明體"/>
          <w:lang w:eastAsia="zh-TW"/>
        </w:rPr>
      </w:pPr>
      <w:r w:rsidRPr="00A561BE">
        <w:rPr>
          <w:rFonts w:ascii="Arial" w:eastAsia="新細明體" w:hAnsi="Arial" w:cs="Arial"/>
          <w:color w:val="000000"/>
          <w:sz w:val="22"/>
          <w:szCs w:val="22"/>
          <w:lang w:eastAsia="zh-TW"/>
        </w:rPr>
        <w:t>   </w:t>
      </w:r>
      <w:r w:rsidRPr="00A561BE">
        <w:rPr>
          <w:rFonts w:ascii="Arial" w:eastAsia="新細明體" w:hAnsi="Arial" w:cs="Arial"/>
          <w:color w:val="000000"/>
          <w:sz w:val="22"/>
          <w:szCs w:val="22"/>
          <w:lang w:eastAsia="zh-TW"/>
        </w:rPr>
        <w:tab/>
        <w:t>Appendicular skeletal muscle mass (ASM) was calculated as the sum of the lean skeletal muscle mass of the bilateral upper and lower limbs. To better assess the relative proportion of ASM in each subject, we also included the percentage of ASM (ASM%), defined as ASM divided by body weight (kg). HT was defined as systolic blood pressure (SBP) ≥ 140 mmHg, diastolic blood pressure (DBP) ≥ 90 mmHg, or the use of blood pressure medication. Mean arterial pressure (MAP), the average arterial pressure throughout one cardiac cycle, was estimated by DBP + 1/3(SBP – DBP). History of smoking and alcohol consumption were defined as dichotomous variables for whether a subject has a smoking or drinking habit. Body mass index (BMI) was defined as the weight (kg) divided by height squared (m</w:t>
      </w:r>
      <w:r w:rsidRPr="00A561BE">
        <w:rPr>
          <w:rFonts w:ascii="Arial" w:eastAsia="新細明體" w:hAnsi="Arial" w:cs="Arial"/>
          <w:color w:val="000000"/>
          <w:sz w:val="13"/>
          <w:szCs w:val="13"/>
          <w:vertAlign w:val="superscript"/>
          <w:lang w:eastAsia="zh-TW"/>
        </w:rPr>
        <w:t>2</w:t>
      </w:r>
      <w:r w:rsidRPr="00A561BE">
        <w:rPr>
          <w:rFonts w:ascii="Arial" w:eastAsia="新細明體" w:hAnsi="Arial" w:cs="Arial"/>
          <w:color w:val="000000"/>
          <w:sz w:val="22"/>
          <w:szCs w:val="22"/>
          <w:lang w:eastAsia="zh-TW"/>
        </w:rPr>
        <w:t>). Waist circumference was recorded in centimeters (cm) and used jointly with BMI to present a more accurate depiction of body composition. </w:t>
      </w:r>
    </w:p>
    <w:p w14:paraId="5F04A477" w14:textId="77777777" w:rsidR="00A561BE" w:rsidRPr="00A561BE" w:rsidRDefault="00A561BE" w:rsidP="00A561BE">
      <w:pPr>
        <w:spacing w:after="120"/>
        <w:rPr>
          <w:rFonts w:ascii="新細明體" w:eastAsia="新細明體" w:hAnsi="新細明體" w:cs="新細明體"/>
          <w:lang w:eastAsia="zh-TW"/>
        </w:rPr>
      </w:pPr>
      <w:r w:rsidRPr="00A561BE">
        <w:rPr>
          <w:rFonts w:ascii="Arial" w:eastAsia="新細明體" w:hAnsi="Arial" w:cs="Arial"/>
          <w:b/>
          <w:bCs/>
          <w:color w:val="000000"/>
          <w:sz w:val="22"/>
          <w:szCs w:val="22"/>
          <w:lang w:eastAsia="zh-TW"/>
        </w:rPr>
        <w:t>Statistical analysis</w:t>
      </w:r>
    </w:p>
    <w:p w14:paraId="50264DC9" w14:textId="77777777" w:rsidR="00A561BE" w:rsidRPr="00A561BE" w:rsidRDefault="00A561BE" w:rsidP="00A561BE">
      <w:pPr>
        <w:spacing w:after="120"/>
        <w:ind w:firstLine="360"/>
        <w:jc w:val="both"/>
        <w:rPr>
          <w:rFonts w:ascii="新細明體" w:eastAsia="新細明體" w:hAnsi="新細明體" w:cs="新細明體"/>
          <w:lang w:eastAsia="zh-TW"/>
        </w:rPr>
      </w:pPr>
      <w:r w:rsidRPr="00A561BE">
        <w:rPr>
          <w:rFonts w:ascii="Arial" w:eastAsia="新細明體" w:hAnsi="Arial" w:cs="Arial"/>
          <w:color w:val="000000"/>
          <w:sz w:val="22"/>
          <w:szCs w:val="22"/>
          <w:lang w:eastAsia="zh-TW"/>
        </w:rPr>
        <w:t>  </w:t>
      </w:r>
      <w:r w:rsidRPr="00A561BE">
        <w:rPr>
          <w:rFonts w:ascii="Arial" w:eastAsia="新細明體" w:hAnsi="Arial" w:cs="Arial"/>
          <w:color w:val="000000"/>
          <w:sz w:val="22"/>
          <w:szCs w:val="22"/>
          <w:lang w:eastAsia="zh-TW"/>
        </w:rPr>
        <w:tab/>
        <w:t xml:space="preserve">Continuous variables are summarized using mean and standard deviation and categorical variables are summarized using counts and percentages. We performed bivariate and multivariable logistic regression to estimate the association between HT (yes vs no) and ASM%. The directed acyclic graph (DAG) is a conceptual framework for the underlying data-generating process and was used to inform covariate selection. A crude model and two multivariable logistic </w:t>
      </w:r>
      <w:r w:rsidRPr="00A561BE">
        <w:rPr>
          <w:rFonts w:ascii="Arial" w:eastAsia="新細明體" w:hAnsi="Arial" w:cs="Arial"/>
          <w:color w:val="000000"/>
          <w:sz w:val="22"/>
          <w:szCs w:val="22"/>
          <w:lang w:eastAsia="zh-TW"/>
        </w:rPr>
        <w:lastRenderedPageBreak/>
        <w:t xml:space="preserve">regressions were constructed. Results of the multivariable logistic regressions are </w:t>
      </w:r>
      <w:proofErr w:type="spellStart"/>
      <w:r w:rsidRPr="00A561BE">
        <w:rPr>
          <w:rFonts w:ascii="Arial" w:eastAsia="新細明體" w:hAnsi="Arial" w:cs="Arial"/>
          <w:color w:val="000000"/>
          <w:sz w:val="22"/>
          <w:szCs w:val="22"/>
          <w:lang w:eastAsia="zh-TW"/>
        </w:rPr>
        <w:t>summerized</w:t>
      </w:r>
      <w:proofErr w:type="spellEnd"/>
      <w:r w:rsidRPr="00A561BE">
        <w:rPr>
          <w:rFonts w:ascii="Arial" w:eastAsia="新細明體" w:hAnsi="Arial" w:cs="Arial"/>
          <w:color w:val="000000"/>
          <w:sz w:val="22"/>
          <w:szCs w:val="22"/>
          <w:lang w:eastAsia="zh-TW"/>
        </w:rPr>
        <w:t xml:space="preserve"> using odds ratios (ORs) and 95% confidence intervals (CIs).</w:t>
      </w:r>
    </w:p>
    <w:p w14:paraId="6882E8B7" w14:textId="267E606F" w:rsidR="00A561BE" w:rsidRDefault="00A561BE" w:rsidP="00CF74EE">
      <w:pPr>
        <w:spacing w:after="120"/>
        <w:ind w:firstLine="360"/>
        <w:jc w:val="both"/>
        <w:rPr>
          <w:rFonts w:ascii="Arial" w:eastAsia="新細明體" w:hAnsi="Arial" w:cs="Arial"/>
          <w:color w:val="000000"/>
          <w:sz w:val="22"/>
          <w:szCs w:val="22"/>
          <w:lang w:eastAsia="zh-TW"/>
        </w:rPr>
      </w:pPr>
      <w:r w:rsidRPr="00A561BE">
        <w:rPr>
          <w:rFonts w:ascii="Arial" w:eastAsia="新細明體" w:hAnsi="Arial" w:cs="Arial"/>
          <w:color w:val="000000"/>
          <w:sz w:val="22"/>
          <w:szCs w:val="22"/>
          <w:lang w:eastAsia="zh-TW"/>
        </w:rPr>
        <w:t>Model 1 includes sex (female vs male) and age in years, model 2 includes history of smoking (yes vs no) and alcohol (yes vs no) in addition to sex and age.</w:t>
      </w:r>
      <w:r>
        <w:rPr>
          <w:rFonts w:ascii="Arial" w:eastAsia="新細明體" w:hAnsi="Arial" w:cs="Arial"/>
          <w:color w:val="000000"/>
          <w:sz w:val="22"/>
          <w:szCs w:val="22"/>
          <w:lang w:eastAsia="zh-TW"/>
        </w:rPr>
        <w:t xml:space="preserve"> </w:t>
      </w:r>
      <w:r w:rsidRPr="00A561BE">
        <w:rPr>
          <w:rFonts w:ascii="Arial" w:eastAsia="新細明體" w:hAnsi="Arial" w:cs="Arial"/>
          <w:color w:val="000000"/>
          <w:sz w:val="22"/>
          <w:szCs w:val="22"/>
          <w:lang w:eastAsia="zh-TW"/>
        </w:rPr>
        <w:t>We also conducted sensitivity analyses for unmeasured confounding by calculating E-values for models that were found to have an ASM%-HT association. All analyses were performed using SAS 9.14, by SAS Institute Inc., Cary, NC, USA.</w:t>
      </w:r>
    </w:p>
    <w:p w14:paraId="1AA1A17E" w14:textId="108E2581" w:rsidR="00AF44FE" w:rsidRPr="00AF44FE" w:rsidRDefault="00AF44FE" w:rsidP="00CF74EE">
      <w:pPr>
        <w:spacing w:after="120"/>
        <w:ind w:firstLine="360"/>
        <w:jc w:val="both"/>
        <w:rPr>
          <w:rFonts w:ascii="新細明體" w:eastAsia="新細明體" w:hAnsi="新細明體" w:cs="新細明體"/>
          <w:lang w:eastAsia="zh-TW"/>
        </w:rPr>
      </w:pPr>
      <w:r w:rsidRPr="00AF44FE">
        <w:rPr>
          <w:rFonts w:ascii="Arial" w:eastAsia="新細明體" w:hAnsi="Arial" w:cs="Arial"/>
          <w:color w:val="000000"/>
          <w:sz w:val="22"/>
          <w:szCs w:val="22"/>
          <w:lang w:eastAsia="zh-TW"/>
        </w:rPr>
        <w:t>As demonstrated in Figure 1, age and sex were known to be strong unmodifiable risk factors for HT and they also highly correlated to appendicular skeletal muscle mass</w:t>
      </w:r>
      <w:r>
        <w:rPr>
          <w:rFonts w:ascii="Arial" w:eastAsia="新細明體" w:hAnsi="Arial" w:cs="Arial"/>
          <w:color w:val="000000"/>
          <w:sz w:val="22"/>
          <w:szCs w:val="22"/>
        </w:rPr>
        <w:fldChar w:fldCharType="begin" w:fldLock="1"/>
      </w:r>
      <w:r w:rsidR="00A75445">
        <w:rPr>
          <w:rFonts w:ascii="Arial" w:eastAsia="新細明體" w:hAnsi="Arial" w:cs="Arial"/>
          <w:color w:val="000000"/>
          <w:sz w:val="22"/>
          <w:szCs w:val="22"/>
        </w:rPr>
        <w:instrText>ADDIN CSL_CITATION {"citationItems":[{"id":"ITEM-1","itemData":{"DOI":"10.1038/s41598-021-02578-4","ISBN":"0123456789","ISSN":"2045-2322","PMID":"34845309","abstract":"Hypertension is the leading single contributor to all-cause death and disability worldwide. However, there is scarce evidence on the prevalence and risk factors of hypertension for Chinese youth. This study aimed to investigate the prevalence of hypertension among Chinese college freshmen and to identify the influencing factors. We conducted a cross-sectional study of all freshmen from 2015 to 2017 at a university in Wuhan, China by physical examination and standard-structured questionnaire. The Pearson chi-square test was used to compare categorical variables. Forward stepwise logistic regression method was used in the multivariate analysis to identify independent predictors of hypertension in youth. A total of 12,849 participants were included, and the prevalence of hypertension of Chinese college freshmen was 4.3% (7.9% in men and 1.6% in women). Men had a higher risk of hypertension than women (odds ratio [OR]: 5.358, 95% confidence interval [CI]: 4.345–6.607, P &amp;lt; 0.001). Obese people were more likely to develop hypertension than those with normal body mass index (OR: 10.465, 95% CI: 8.448–12.964, P &amp;lt; 0.001). People with elevated resting heart rate (RHR) had a higher prevalence of hypertension (OR: 4.987, 95% CI: 3.641–6.832, P &amp;lt; 0.001). Staying up late (OR: 2.957, 95% CI: 2.482–3.523, P &amp;lt; 0.001), physical inactivity (OR: 4.973, 95% CI: 4.141–5.972, P &amp;lt; 0.001), living in urban district (OR: 1.864, 95% CI: 1.493–2.329, P &amp;lt; 0.001) and family history of cardiovascular diseases (CVDs) (OR: 2.685, 95% CI: 2.108–3.421, P &amp;lt; 0.001) were related to higher prevalence of hypertension in youth. Male, obesity, elevated RHR, physical inactivity and family history of CVDs were identified as important risk factors of hypertension in youth. These risk factors should be given more attention when designing and implementing the interventional programs.","author":[{"dropping-particle":"","family":"Jiang","given":"Qingqing","non-dropping-particle":"","parse-names":false,"suffix":""},{"dropping-particle":"","family":"Zhang","given":"Qiumei","non-dropping-particle":"","parse-names":false,"suffix":""},{"dropping-particle":"","family":"Wang","given":"Tiantian","non-dropping-particle":"","parse-names":false,"suffix":""},{"dropping-particle":"","family":"You","given":"Qiqi","non-dropping-particle":"","parse-names":false,"suffix":""},{"dropping-particle":"","family":"Liu","given":"Chun","non-dropping-particle":"","parse-names":false,"suffix":""},{"dropping-particle":"","family":"Cao","given":"Shiyi","non-dropping-particle":"","parse-names":false,"suffix":""}],"container-title":"Scientific Reports 2021 11:1","id":"ITEM-1","issue":"1","issued":{"date-parts":[["2021","11","29"]]},"page":"1-8","publisher":"Nature Publishing Group","title":"Prevalence and risk factors of hypertension among college freshmen in China","type":"article-journal","volume":"11"},"uris":["http://www.mendeley.com/documents/?uuid=0a0fe073-cba5-37aa-952b-787f7fde5003"]},{"id":"ITEM-2","itemData":{"DOI":"10.1152/JAPPL.1997.83.1.229/ASSET/IMAGES/LARGE/JAPP0574005.JPEG","ISSN":"87507587","PMID":"9216968","abstract":"This study tested the hypothesis that skeletal muscle mass is reduced in elderly women and men after adjustment first for stature and body weight. The hypothesis was evaluated by estimating appendicular skeletal muscle mass with dual-energy X-ray absorptiometry in a healthy adult cohort. A second purpose was to test the hypothesis that whole body 40K counting-derived total body potassium (TBK) is a reliable indirect measure of skeletal muscle mass. The independent effects on both appendicular skeletal muscle and TBK of gender (n = 148 women and 136 men) and ethnicity (n = 152 African- Americans and 132 Caucasians) were also explored. Main findings were 1) for both appendicular skeletal muscle mass (total, leg, and arm) and TBK, age was an independent determinant after adjustment first by stepwise multiple regression for stature and weight (multiple regression model r2 - ~0.60); absolute decrease with greater age in men was almost double that in women; significantly larger absolute amounts were observed in men and African- Americans after adjustment first for stature, weight, and age; and &gt;80% of within-gender or -ethnic group between-individual component variation was explained by stature, weight, age, gender, and ethnicity differences; and 2) most of between-individual TBK variation could be explained by total appendicular skeletal muscle (r2 = 0.865), whereas age, gender, and ethnicity were small but significant additional covariates (total r2 = 0.903). Our study supports the hypotheses that skeletal muscle is reduced in the elderly and that TBK provides a reasonable indirect assessment of skeletal muscle mass. These findings provide a foundation for investigating skeletal muscle mass in a wide range of health-related conditions.","author":[{"dropping-particle":"","family":"Gallagher","given":"Dympna","non-dropping-particle":"","parse-names":false,"suffix":""},{"dropping-particle":"","family":"Visser","given":"Marjolein","non-dropping-particle":"","parse-names":false,"suffix":""},{"dropping-particle":"","family":"Meersman","given":"Ronald E.","non-dropping-particle":"De","parse-names":false,"suffix":""},{"dropping-particle":"","family":"Sepúlveda","given":"Dennis","non-dropping-particle":"","parse-names":false,"suffix":""},{"dropping-particle":"","family":"Baumgartner","given":"Richard N.","non-dropping-particle":"","parse-names":false,"suffix":""},{"dropping-particle":"","family":"Pierson","given":"Richard N.","non-dropping-particle":"","parse-names":false,"suffix":""},{"dropping-particle":"","family":"Harris","given":"Tamara","non-dropping-particle":"","parse-names":false,"suffix":""},{"dropping-particle":"","family":"Heymsfield","given":"Steven B.","non-dropping-particle":"","parse-names":false,"suffix":""}],"container-title":"Journal of Applied Physiology","id":"ITEM-2","issue":"1","issued":{"date-parts":[["1997"]]},"page":"229-239","publisher":"American Physiological Society","title":"Appendicular skeletal muscle mass: Effects of age, gender, and ethnicity","type":"article-journal","volume":"83"},"uris":["http://www.mendeley.com/documents/?uuid=c490f664-0abf-3f67-801d-500a723fb54a"]}],"mendeley":{"formattedCitation":"&lt;sup&gt;3,4&lt;/sup&gt;","plainTextFormattedCitation":"3,4","previouslyFormattedCitation":"&lt;sup&gt;3,4&lt;/sup&gt;"},"properties":{"noteIndex":0},"schema":"https://github.com/citation-style-language/schema/raw/master/csl-citation.json"}</w:instrText>
      </w:r>
      <w:r>
        <w:rPr>
          <w:rFonts w:ascii="Arial" w:eastAsia="新細明體" w:hAnsi="Arial" w:cs="Arial"/>
          <w:color w:val="000000"/>
          <w:sz w:val="22"/>
          <w:szCs w:val="22"/>
        </w:rPr>
        <w:fldChar w:fldCharType="separate"/>
      </w:r>
      <w:r w:rsidRPr="00AF44FE">
        <w:rPr>
          <w:rFonts w:ascii="Arial" w:eastAsia="新細明體" w:hAnsi="Arial" w:cs="Arial"/>
          <w:noProof/>
          <w:color w:val="000000"/>
          <w:sz w:val="22"/>
          <w:szCs w:val="22"/>
          <w:vertAlign w:val="superscript"/>
        </w:rPr>
        <w:t>3,4</w:t>
      </w:r>
      <w:r>
        <w:rPr>
          <w:rFonts w:ascii="Arial" w:eastAsia="新細明體" w:hAnsi="Arial" w:cs="Arial"/>
          <w:color w:val="000000"/>
          <w:sz w:val="22"/>
          <w:szCs w:val="22"/>
        </w:rPr>
        <w:fldChar w:fldCharType="end"/>
      </w:r>
      <w:r w:rsidRPr="00AF44FE">
        <w:rPr>
          <w:rFonts w:ascii="Arial" w:eastAsia="新細明體" w:hAnsi="Arial" w:cs="Arial"/>
          <w:color w:val="000000"/>
          <w:sz w:val="22"/>
          <w:szCs w:val="22"/>
          <w:lang w:eastAsia="zh-TW"/>
        </w:rPr>
        <w:t>. Thus, we included age and sex in our first model. In our next model we added history of cigarette smoking and history of alcohol use as modifiable behavioral confounders for our ASM%-HT relationship</w:t>
      </w:r>
      <w:r>
        <w:rPr>
          <w:rFonts w:ascii="Arial" w:eastAsia="新細明體" w:hAnsi="Arial" w:cs="Arial"/>
          <w:color w:val="000000"/>
          <w:sz w:val="22"/>
          <w:szCs w:val="22"/>
          <w:lang w:eastAsia="zh-TW"/>
        </w:rPr>
        <w:t xml:space="preserve">, </w:t>
      </w:r>
      <w:r w:rsidRPr="00AF44FE">
        <w:rPr>
          <w:rFonts w:ascii="Arial" w:eastAsia="新細明體" w:hAnsi="Arial" w:cs="Arial"/>
          <w:color w:val="000000"/>
          <w:sz w:val="22"/>
          <w:szCs w:val="22"/>
          <w:lang w:eastAsia="zh-TW"/>
        </w:rPr>
        <w:t>though they have less pathophysiological support and are subject to measurement error (see limitations section). </w:t>
      </w:r>
    </w:p>
    <w:p w14:paraId="45BD17DE" w14:textId="7EF9F214" w:rsidR="00AF44FE" w:rsidRPr="00AF44FE" w:rsidRDefault="00AF44FE" w:rsidP="00CF74EE">
      <w:pPr>
        <w:spacing w:after="120"/>
        <w:ind w:firstLine="360"/>
        <w:jc w:val="both"/>
        <w:rPr>
          <w:rFonts w:ascii="新細明體" w:eastAsia="新細明體" w:hAnsi="新細明體" w:cs="新細明體"/>
          <w:lang w:eastAsia="zh-TW"/>
        </w:rPr>
      </w:pPr>
      <w:r w:rsidRPr="00AF44FE">
        <w:rPr>
          <w:rFonts w:ascii="Arial" w:eastAsia="新細明體" w:hAnsi="Arial" w:cs="Arial"/>
          <w:color w:val="000000"/>
          <w:sz w:val="22"/>
          <w:szCs w:val="22"/>
          <w:lang w:eastAsia="zh-TW"/>
        </w:rPr>
        <w:t> Although BMI and waist circumference are highly associated with HT and appendicular skeletal muscle mass, both BMI and waist circumference could be collinear with ASM as measurement of body composition</w:t>
      </w:r>
      <w:r>
        <w:rPr>
          <w:rFonts w:ascii="Arial" w:eastAsia="新細明體" w:hAnsi="Arial" w:cs="Arial"/>
          <w:color w:val="000000"/>
          <w:sz w:val="22"/>
          <w:szCs w:val="22"/>
        </w:rPr>
        <w:fldChar w:fldCharType="begin" w:fldLock="1"/>
      </w:r>
      <w:r>
        <w:rPr>
          <w:rFonts w:ascii="Arial" w:eastAsia="新細明體" w:hAnsi="Arial" w:cs="Arial"/>
          <w:color w:val="000000"/>
          <w:sz w:val="22"/>
          <w:szCs w:val="22"/>
        </w:rPr>
        <w:instrText xml:space="preserve">ADDIN CSL_CITATION {"citationItems":[{"id":"ITEM-1","itemData":{"DOI":"10.1093/AGEING/AFAA208","ISSN":"1468-2834","PMID":"33035293","abstract":"BACKGROUND: Age-related changes in body composition include decreased muscle mass and preserved or increased fat mass. There is no anthropometric index to assess both muscle and fat mass. METHODS: Using a cross-sectional sample of 602 participants aged </w:instrText>
      </w:r>
      <w:r>
        <w:rPr>
          <w:rFonts w:ascii="Cambria Math" w:eastAsia="新細明體" w:hAnsi="Cambria Math" w:cs="Cambria Math"/>
          <w:color w:val="000000"/>
          <w:sz w:val="22"/>
          <w:szCs w:val="22"/>
        </w:rPr>
        <w:instrText>≥</w:instrText>
      </w:r>
      <w:r>
        <w:rPr>
          <w:rFonts w:ascii="Arial" w:eastAsia="新細明體" w:hAnsi="Arial" w:cs="Arial"/>
          <w:color w:val="000000"/>
          <w:sz w:val="22"/>
          <w:szCs w:val="22"/>
        </w:rPr>
        <w:instrText>65 years from the Ansan Geriatric study, we evaluated the association of weight-adjusted waist index (WWI) with muscle and fat mass and compared these with body mass index (BMI) and waist circumference (WC). WWI was calculated as WC (cm) divided by the square root of body weight (kg). Body composition was measured using bioelectrical impedance analysis, dual-energy X-ray absorptiometry and abdominal computed tomography. RESULTS: WWI positively correlated with total abdominal fat area (TFA) (r = 0.421, P &lt; 0.001), visceral fat area (VFA) (r = 0.264, P &lt; 0.001), and percentage of total tissue fat (r = 0.465, P &lt; 0.001), but negatively correlated with appendicular skeletal muscle mass (ASM) (r = -0.511, P &lt; 0.001) and ASM/height2 (r = -0.324, P &lt; 0.001). Mean ASM was highest in the first quartile of WWI (17.85 kg/m2) and showed a decreasing trend, with the lowest value in the fourth WWI quartile (13.21 kg/m2, P for trend &lt;0.001). In contrast, mean TFA was lowest in the first quartile and highest in the fourth WWI quartile (P for trend &lt;0.001). The probability of combined low muscle mass and high fat mass was &gt;3× higher in the fourth WWI quartile than in the lowest quartile (odds ratio 3.22, 95% confidence interval 1.32-7.83). CONCLUSIONS: WWI is an anthropometric index positively associated with fat mass and negatively associated with muscle mass in older adults.","author":[{"dropping-particle":"","family":"Kim","given":"Nam Hoon","non-dropping-particle":"","parse-names":false,"suffix":""},{"dropping-particle":"","family":"Park","given":"Yousung","non-dropping-particle":"","parse-names":false,"suffix":""},{"dropping-particle":"","family":"Kim","given":"Nan Hee","non-dropping-particle":"","parse-names":false,"suffix":""},{"dropping-particle":"","family":"Kim","given":"Sin Gon","non-dropping-particle":"","parse-names":false,"suffix":""}],"container-title":"Age and ageing","id":"ITEM-1","issue":"3","issued":{"date-parts":[["2021","5","5"]]},"page":"780-786","publisher":"Age Ageing","title":"Weight-adjusted waist index reflects fat and muscle mass in the opposite direction in older adults","type":"article-journal","volume":"50"},"uris":["http://www.mendeley.com/documents/?uuid=43e704f4-d673-3a79-85fd-bb9324f95cfc"]}],"mendeley":{"formattedCitation":"&lt;sup&gt;5&lt;/sup&gt;","plainTextFormattedCitation":"5","previouslyFormattedCitation":"&lt;sup&gt;5&lt;/sup&gt;"},"properties":{"noteIndex":0},"schema":"https://github.com/citation-style-language/schema/raw/master/csl-citation.json"}</w:instrText>
      </w:r>
      <w:r>
        <w:rPr>
          <w:rFonts w:ascii="Arial" w:eastAsia="新細明體" w:hAnsi="Arial" w:cs="Arial"/>
          <w:color w:val="000000"/>
          <w:sz w:val="22"/>
          <w:szCs w:val="22"/>
        </w:rPr>
        <w:fldChar w:fldCharType="separate"/>
      </w:r>
      <w:r w:rsidRPr="00740E6A">
        <w:rPr>
          <w:rFonts w:ascii="Arial" w:eastAsia="新細明體" w:hAnsi="Arial" w:cs="Arial"/>
          <w:noProof/>
          <w:color w:val="000000"/>
          <w:sz w:val="22"/>
          <w:szCs w:val="22"/>
          <w:vertAlign w:val="superscript"/>
        </w:rPr>
        <w:t>5</w:t>
      </w:r>
      <w:r>
        <w:rPr>
          <w:rFonts w:ascii="Arial" w:eastAsia="新細明體" w:hAnsi="Arial" w:cs="Arial"/>
          <w:color w:val="000000"/>
          <w:sz w:val="22"/>
          <w:szCs w:val="22"/>
        </w:rPr>
        <w:fldChar w:fldCharType="end"/>
      </w:r>
      <w:r w:rsidRPr="00AF44FE">
        <w:rPr>
          <w:rFonts w:ascii="Arial" w:eastAsia="新細明體" w:hAnsi="Arial" w:cs="Arial"/>
          <w:color w:val="000000"/>
          <w:sz w:val="22"/>
          <w:szCs w:val="22"/>
          <w:lang w:eastAsia="zh-TW"/>
        </w:rPr>
        <w:t>. Furthermore, as suggested by the DAG, diabetes (DM), dyslipidemia, obesity are colliders that should not be conditioned on in multivariable models (</w:t>
      </w:r>
      <w:r w:rsidRPr="00AF44FE">
        <w:rPr>
          <w:rFonts w:ascii="Arial" w:eastAsia="新細明體" w:hAnsi="Arial" w:cs="Arial"/>
          <w:b/>
          <w:bCs/>
          <w:color w:val="000000"/>
          <w:sz w:val="22"/>
          <w:szCs w:val="22"/>
          <w:u w:val="single"/>
          <w:lang w:eastAsia="zh-TW"/>
        </w:rPr>
        <w:t>Figure 1</w:t>
      </w:r>
      <w:r w:rsidRPr="00AF44FE">
        <w:rPr>
          <w:rFonts w:ascii="Arial" w:eastAsia="新細明體" w:hAnsi="Arial" w:cs="Arial"/>
          <w:color w:val="000000"/>
          <w:sz w:val="22"/>
          <w:szCs w:val="22"/>
          <w:lang w:eastAsia="zh-TW"/>
        </w:rPr>
        <w:t>). </w:t>
      </w:r>
    </w:p>
    <w:p w14:paraId="19CD7BDF" w14:textId="77777777" w:rsidR="008A35DD" w:rsidRDefault="008A35DD" w:rsidP="008A35DD">
      <w:pPr>
        <w:spacing w:before="200"/>
        <w:ind w:firstLine="360"/>
        <w:jc w:val="both"/>
        <w:rPr>
          <w:rFonts w:ascii="Arial" w:eastAsia="新細明體" w:hAnsi="Arial" w:cs="Arial"/>
          <w:color w:val="000000"/>
          <w:sz w:val="22"/>
          <w:szCs w:val="22"/>
          <w:lang w:eastAsia="zh-TW"/>
        </w:rPr>
      </w:pPr>
      <w:r>
        <w:rPr>
          <w:rFonts w:ascii="Arial" w:eastAsia="新細明體" w:hAnsi="Arial" w:cs="Arial"/>
          <w:color w:val="000000"/>
          <w:sz w:val="22"/>
          <w:szCs w:val="22"/>
          <w:lang w:eastAsia="zh-TW"/>
        </w:rPr>
        <w:t>For</w:t>
      </w:r>
      <w:r w:rsidR="007F24D6" w:rsidRPr="007F24D6">
        <w:rPr>
          <w:rFonts w:ascii="Arial" w:eastAsia="新細明體" w:hAnsi="Arial" w:cs="Arial"/>
          <w:color w:val="000000"/>
          <w:sz w:val="22"/>
          <w:szCs w:val="22"/>
          <w:lang w:eastAsia="zh-TW"/>
        </w:rPr>
        <w:t xml:space="preserve"> sensitivity analyses</w:t>
      </w:r>
      <w:r>
        <w:rPr>
          <w:rFonts w:ascii="Arial" w:eastAsia="新細明體" w:hAnsi="Arial" w:cs="Arial"/>
          <w:color w:val="000000"/>
          <w:sz w:val="22"/>
          <w:szCs w:val="22"/>
          <w:lang w:eastAsia="zh-TW"/>
        </w:rPr>
        <w:t>, we used</w:t>
      </w:r>
      <w:r w:rsidR="007F24D6" w:rsidRPr="007F24D6">
        <w:rPr>
          <w:rFonts w:ascii="Arial" w:eastAsia="新細明體" w:hAnsi="Arial" w:cs="Arial"/>
          <w:color w:val="000000"/>
          <w:sz w:val="22"/>
          <w:szCs w:val="22"/>
          <w:lang w:eastAsia="zh-TW"/>
        </w:rPr>
        <w:t xml:space="preserve"> E-values to measure the robustness of our models to unmeasured confounders. E-values estimate the minimum strength of association (on the risk ratio scale) required for an unmeasured confounder to explain away a particular treatment-outcome association</w:t>
      </w:r>
      <w:r w:rsidR="007F24D6">
        <w:rPr>
          <w:rFonts w:ascii="Arial" w:eastAsia="新細明體" w:hAnsi="Arial" w:cs="Arial"/>
          <w:color w:val="000000"/>
          <w:sz w:val="22"/>
          <w:szCs w:val="22"/>
        </w:rPr>
        <w:fldChar w:fldCharType="begin" w:fldLock="1"/>
      </w:r>
      <w:r w:rsidR="007F24D6">
        <w:rPr>
          <w:rFonts w:ascii="Arial" w:eastAsia="新細明體" w:hAnsi="Arial" w:cs="Arial"/>
          <w:color w:val="000000"/>
          <w:sz w:val="22"/>
          <w:szCs w:val="22"/>
        </w:rPr>
        <w:instrText>ADDIN CSL_CITATION {"citationItems":[{"id":"ITEM-1","itemData":{"DOI":"10.7326/M16-2607","ISSN":"1539-3704","PMID":"28693043","abstract":"Sensitivity analysis is useful in assessing how robust an association is to potential unmeasured or uncontrolled confounding. This article introduces a new measure called the \"E-value,\" which is related to the evidence for causality in observational studies that are potentially subject to confounding. The E-value is defined as the minimum strength of association, on the risk ratio scale, that an unmeasured confounder would need to have with both the treatment and the outcome to fully explain away a specific treatment-outcome association, conditional on the measured covariates. A large E-value implies that considerable unmeasured confounding would be needed to explain away an effect estimate. A small E-value implies little unmeasured confounding would be needed to explain away an effect estimate. The authors propose that in all observational studies intended to produce evidence for causality, the E-value be reported or some other sensitivity analysis be used. They suggest calculating the E-value for both the observed association estimate (after adjustments for measured confounders) and the limit of the confidence interval closest to the null. If this were to become standard practice, the ability of the scientific community to assess evidence from observational studies would improve considerably, and ultimately, science would be strengthened.","author":[{"dropping-particle":"","family":"Weele","given":"Tyler J.","non-dropping-particle":"Van Der","parse-names":false,"suffix":""},{"dropping-particle":"","family":"Ding","given":"Peng","non-dropping-particle":"","parse-names":false,"suffix":""}],"container-title":"Annals of internal medicine","id":"ITEM-1","issue":"4","issued":{"date-parts":[["2017","8","15"]]},"page":"268-274","publisher":"Ann Intern Med","title":"Sensitivity Analysis in Observational Research: Introducing the E-Value","type":"article-journal","volume":"167"},"uris":["http://www.mendeley.com/documents/?uuid=73313d0e-b8ba-3748-98fb-1884be29a41b"]}],"mendeley":{"formattedCitation":"&lt;sup&gt;6&lt;/sup&gt;","plainTextFormattedCitation":"6","previouslyFormattedCitation":"&lt;sup&gt;6&lt;/sup&gt;"},"properties":{"noteIndex":0},"schema":"https://github.com/citation-style-language/schema/raw/master/csl-citation.json"}</w:instrText>
      </w:r>
      <w:r w:rsidR="007F24D6">
        <w:rPr>
          <w:rFonts w:ascii="Arial" w:eastAsia="新細明體" w:hAnsi="Arial" w:cs="Arial"/>
          <w:color w:val="000000"/>
          <w:sz w:val="22"/>
          <w:szCs w:val="22"/>
        </w:rPr>
        <w:fldChar w:fldCharType="separate"/>
      </w:r>
      <w:r w:rsidR="007F24D6" w:rsidRPr="00CA24F7">
        <w:rPr>
          <w:rFonts w:ascii="Arial" w:eastAsia="新細明體" w:hAnsi="Arial" w:cs="Arial"/>
          <w:noProof/>
          <w:color w:val="000000"/>
          <w:sz w:val="22"/>
          <w:szCs w:val="22"/>
          <w:vertAlign w:val="superscript"/>
        </w:rPr>
        <w:t>6</w:t>
      </w:r>
      <w:r w:rsidR="007F24D6">
        <w:rPr>
          <w:rFonts w:ascii="Arial" w:eastAsia="新細明體" w:hAnsi="Arial" w:cs="Arial"/>
          <w:color w:val="000000"/>
          <w:sz w:val="22"/>
          <w:szCs w:val="22"/>
        </w:rPr>
        <w:fldChar w:fldCharType="end"/>
      </w:r>
      <w:r w:rsidR="007F24D6" w:rsidRPr="007F24D6">
        <w:rPr>
          <w:rFonts w:ascii="Arial" w:eastAsia="新細明體" w:hAnsi="Arial" w:cs="Arial"/>
          <w:color w:val="000000"/>
          <w:sz w:val="22"/>
          <w:szCs w:val="22"/>
          <w:lang w:eastAsia="zh-TW"/>
        </w:rPr>
        <w:t>.</w:t>
      </w:r>
      <w:r w:rsidR="007F24D6" w:rsidRPr="007F24D6">
        <w:rPr>
          <w:rFonts w:ascii="Arial" w:eastAsia="新細明體" w:hAnsi="Arial" w:cs="Arial"/>
          <w:color w:val="000000"/>
          <w:sz w:val="13"/>
          <w:szCs w:val="13"/>
          <w:vertAlign w:val="superscript"/>
          <w:lang w:eastAsia="zh-TW"/>
        </w:rPr>
        <w:t xml:space="preserve"> </w:t>
      </w:r>
      <w:r w:rsidR="007F24D6" w:rsidRPr="007F24D6">
        <w:rPr>
          <w:rFonts w:ascii="Arial" w:eastAsia="新細明體" w:hAnsi="Arial" w:cs="Arial"/>
          <w:color w:val="000000"/>
          <w:sz w:val="22"/>
          <w:szCs w:val="22"/>
          <w:lang w:eastAsia="zh-TW"/>
        </w:rPr>
        <w:t>An online E-value calculator was used to estimate E-values for the ASM%-HT association in each model if it was found to be non-null​​</w:t>
      </w:r>
      <w:r w:rsidR="007F24D6">
        <w:rPr>
          <w:rFonts w:ascii="Arial" w:eastAsia="新細明體" w:hAnsi="Arial" w:cs="Arial"/>
          <w:color w:val="000000"/>
          <w:sz w:val="22"/>
          <w:szCs w:val="22"/>
        </w:rPr>
        <w:fldChar w:fldCharType="begin" w:fldLock="1"/>
      </w:r>
      <w:r w:rsidR="007F24D6">
        <w:rPr>
          <w:rFonts w:ascii="Arial" w:eastAsia="新細明體" w:hAnsi="Arial" w:cs="Arial"/>
          <w:color w:val="000000"/>
          <w:sz w:val="22"/>
          <w:szCs w:val="22"/>
        </w:rPr>
        <w:instrText>ADDIN CSL_CITATION {"citationItems":[{"id":"ITEM-1","itemData":{"URL":"https://www.evalue-calculator.com/evalue/","accessed":{"date-parts":[["2022","2","22"]]},"id":"ITEM-1","issued":{"date-parts":[["0"]]},"title":"E-value calculator","type":"webpage"},"uris":["http://www.mendeley.com/documents/?uuid=b176bccc-f89f-3ea1-b4ed-ec60966ae2bf"]},{"id":"ITEM-2","itemData":{"DOI":"10.7326/M16-2607","ISSN":"1539-3704","PMID":"28693043","abstract":"Sensitivity analysis is useful in assessing how robust an association is to potential unmeasured or uncontrolled confounding. This article introduces a new measure called the \"E-value,\" which is related to the evidence for causality in observational studies that are potentially subject to confounding. The E-value is defined as the minimum strength of association, on the risk ratio scale, that an unmeasured confounder would need to have with both the treatment and the outcome to fully explain away a specific treatment-outcome association, conditional on the measured covariates. A large E-value implies that considerable unmeasured confounding would be needed to explain away an effect estimate. A small E-value implies little unmeasured confounding would be needed to explain away an effect estimate. The authors propose that in all observational studies intended to produce evidence for causality, the E-value be reported or some other sensitivity analysis be used. They suggest calculating the E-value for both the observed association estimate (after adjustments for measured confounders) and the limit of the confidence interval closest to the null. If this were to become standard practice, the ability of the scientific community to assess evidence from observational studies would improve considerably, and ultimately, science would be strengthened.","author":[{"dropping-particle":"","family":"Weele","given":"Tyler J.","non-dropping-particle":"Van Der","parse-names":false,"suffix":""},{"dropping-particle":"","family":"Ding","given":"Peng","non-dropping-particle":"","parse-names":false,"suffix":""}],"container-title":"Annals of internal medicine","id":"ITEM-2","issue":"4","issued":{"date-parts":[["2017","8","15"]]},"page":"268-274","publisher":"Ann Intern Med","title":"Sensitivity Analysis in Observational Research: Introducing the E-Value","type":"article-journal","volume":"167"},"uris":["http://www.mendeley.com/documents/?uuid=73313d0e-b8ba-3748-98fb-1884be29a41b"]},{"id":"ITEM-3","itemData":{"DOI":"10.1097/EDE.0000000000000864","ISSN":"1531-5487","PMID":"29912013","author":[{"dropping-particle":"","family":"Mathur","given":"Maya B.","non-dropping-particle":"","parse-names":false,"suffix":""},{"dropping-particle":"","family":"Ding","given":"Peng","non-dropping-particle":"","parse-names":false,"suffix":""},{"dropping-particle":"","family":"Riddell","given":"Corinne A.","non-dropping-particle":"","parse-names":false,"suffix":""},{"dropping-particle":"","family":"VanderWeele","given":"Tyler J.","non-dropping-particle":"","parse-names":false,"suffix":""}],"container-title":"Epidemiology (Cambridge, Mass.)","id":"ITEM-3","issue":"5","issued":{"date-parts":[["2018","9","1"]]},"page":"E45-E47","publisher":"Epidemiology","title":"Web Site and R Package for Computing E-values","type":"article-journal","volume":"29"},"uris":["http://www.mendeley.com/documents/?uuid=04425856-4b65-3d8d-ace9-304564a061c1"]}],"mendeley":{"formattedCitation":"&lt;sup&gt;6–8&lt;/sup&gt;","plainTextFormattedCitation":"6–8","previouslyFormattedCitation":"&lt;sup&gt;6–8&lt;/sup&gt;"},"properties":{"noteIndex":0},"schema":"https://github.com/citation-style-language/schema/raw/master/csl-citation.json"}</w:instrText>
      </w:r>
      <w:r w:rsidR="007F24D6">
        <w:rPr>
          <w:rFonts w:ascii="Arial" w:eastAsia="新細明體" w:hAnsi="Arial" w:cs="Arial"/>
          <w:color w:val="000000"/>
          <w:sz w:val="22"/>
          <w:szCs w:val="22"/>
        </w:rPr>
        <w:fldChar w:fldCharType="separate"/>
      </w:r>
      <w:r w:rsidR="007F24D6" w:rsidRPr="00CA24F7">
        <w:rPr>
          <w:rFonts w:ascii="Arial" w:eastAsia="新細明體" w:hAnsi="Arial" w:cs="Arial"/>
          <w:noProof/>
          <w:color w:val="000000"/>
          <w:sz w:val="22"/>
          <w:szCs w:val="22"/>
          <w:vertAlign w:val="superscript"/>
        </w:rPr>
        <w:t>6–8</w:t>
      </w:r>
      <w:r w:rsidR="007F24D6">
        <w:rPr>
          <w:rFonts w:ascii="Arial" w:eastAsia="新細明體" w:hAnsi="Arial" w:cs="Arial"/>
          <w:color w:val="000000"/>
          <w:sz w:val="22"/>
          <w:szCs w:val="22"/>
        </w:rPr>
        <w:fldChar w:fldCharType="end"/>
      </w:r>
      <w:r w:rsidR="007F24D6" w:rsidRPr="007F24D6">
        <w:rPr>
          <w:rFonts w:ascii="Arial" w:eastAsia="新細明體" w:hAnsi="Arial" w:cs="Arial"/>
          <w:color w:val="000000"/>
          <w:sz w:val="22"/>
          <w:szCs w:val="22"/>
          <w:lang w:eastAsia="zh-TW"/>
        </w:rPr>
        <w:t>. For E-value calculations, the outcome type was odds ratio with an outcome prevalence &gt;15%, and the null (1.00) was used as the true causal effect to which to shift the estimate.</w:t>
      </w:r>
      <w:r>
        <w:rPr>
          <w:rFonts w:ascii="Arial" w:eastAsia="新細明體" w:hAnsi="Arial" w:cs="Arial"/>
          <w:color w:val="000000"/>
          <w:sz w:val="22"/>
          <w:szCs w:val="22"/>
          <w:lang w:eastAsia="zh-TW"/>
        </w:rPr>
        <w:t xml:space="preserve"> </w:t>
      </w:r>
    </w:p>
    <w:p w14:paraId="4658977D" w14:textId="78230097" w:rsidR="008A35DD" w:rsidRPr="007F24D6" w:rsidRDefault="008A35DD" w:rsidP="008A35DD">
      <w:pPr>
        <w:spacing w:before="200"/>
        <w:ind w:firstLine="360"/>
        <w:jc w:val="both"/>
        <w:rPr>
          <w:rFonts w:ascii="新細明體" w:eastAsia="新細明體" w:hAnsi="新細明體" w:cs="新細明體"/>
          <w:lang w:eastAsia="zh-TW"/>
        </w:rPr>
      </w:pPr>
      <w:r>
        <w:rPr>
          <w:rFonts w:ascii="Arial" w:eastAsia="新細明體" w:hAnsi="Arial" w:cs="Arial"/>
          <w:color w:val="000000"/>
          <w:sz w:val="22"/>
          <w:szCs w:val="22"/>
          <w:lang w:eastAsia="zh-TW"/>
        </w:rPr>
        <w:t>In addition, t</w:t>
      </w:r>
      <w:r w:rsidRPr="007F24D6">
        <w:rPr>
          <w:rFonts w:ascii="Arial" w:eastAsia="新細明體" w:hAnsi="Arial" w:cs="Arial"/>
          <w:color w:val="000000"/>
          <w:sz w:val="22"/>
          <w:szCs w:val="22"/>
          <w:lang w:eastAsia="zh-TW"/>
        </w:rPr>
        <w:t>hose who have a medical history of HT are more likely to receive anti-hypertensive medications which would artificially lower MAP and potentially bias the association between ASM% and MAP. Thus, we conducted sensitivity analyses by excluding those who had a medical history of HT and performed the same statistical analyses for ASM% and MAP as described above. </w:t>
      </w:r>
      <w:r w:rsidR="00910AEB">
        <w:rPr>
          <w:rFonts w:ascii="Arial" w:eastAsia="新細明體" w:hAnsi="Arial" w:cs="Arial"/>
          <w:color w:val="000000"/>
          <w:sz w:val="22"/>
          <w:szCs w:val="22"/>
          <w:lang w:eastAsia="zh-TW"/>
        </w:rPr>
        <w:t>The output suggests no meaningful departure from our original estimates (</w:t>
      </w:r>
      <w:r w:rsidR="00910AEB" w:rsidRPr="00CF74EE">
        <w:rPr>
          <w:rFonts w:ascii="Arial" w:eastAsia="新細明體" w:hAnsi="Arial" w:cs="Arial"/>
          <w:b/>
          <w:bCs/>
          <w:color w:val="000000"/>
          <w:sz w:val="22"/>
          <w:szCs w:val="22"/>
          <w:u w:val="single"/>
          <w:lang w:eastAsia="zh-TW"/>
        </w:rPr>
        <w:t>Supplementary</w:t>
      </w:r>
      <w:r w:rsidR="00910AEB">
        <w:rPr>
          <w:rFonts w:ascii="Arial" w:eastAsia="新細明體" w:hAnsi="Arial" w:cs="Arial"/>
          <w:b/>
          <w:bCs/>
          <w:color w:val="000000"/>
          <w:sz w:val="22"/>
          <w:szCs w:val="22"/>
          <w:u w:val="single"/>
          <w:lang w:eastAsia="zh-TW"/>
        </w:rPr>
        <w:t xml:space="preserve"> Table</w:t>
      </w:r>
      <w:r w:rsidR="00910AEB">
        <w:rPr>
          <w:rFonts w:ascii="Arial" w:eastAsia="新細明體" w:hAnsi="Arial" w:cs="Arial"/>
          <w:color w:val="000000"/>
          <w:sz w:val="22"/>
          <w:szCs w:val="22"/>
          <w:lang w:eastAsia="zh-TW"/>
        </w:rPr>
        <w:t>).</w:t>
      </w:r>
    </w:p>
    <w:p w14:paraId="25DA6325" w14:textId="1C33AC51" w:rsidR="007F24D6" w:rsidRPr="007F24D6" w:rsidRDefault="007F24D6" w:rsidP="00CF74EE">
      <w:pPr>
        <w:spacing w:before="200"/>
        <w:ind w:firstLine="360"/>
        <w:jc w:val="both"/>
        <w:rPr>
          <w:rFonts w:ascii="新細明體" w:eastAsia="新細明體" w:hAnsi="新細明體" w:cs="新細明體"/>
          <w:lang w:eastAsia="zh-TW"/>
        </w:rPr>
      </w:pPr>
      <w:r w:rsidRPr="007F24D6">
        <w:rPr>
          <w:rFonts w:ascii="Arial" w:eastAsia="新細明體" w:hAnsi="Arial" w:cs="Arial"/>
          <w:color w:val="000000"/>
          <w:sz w:val="22"/>
          <w:szCs w:val="22"/>
          <w:lang w:eastAsia="zh-TW"/>
        </w:rPr>
        <w:t xml:space="preserve">Next, to explore the possible linear relationship between ASM% and continuous MAP, we utilized linear regression models using the same data generating procedure described above. For interpretation purposes, the ASM% exposure variable was re-scaled by a factor of 10 (ASM_10 = </w:t>
      </w:r>
      <w:proofErr w:type="spellStart"/>
      <w:r w:rsidRPr="007F24D6">
        <w:rPr>
          <w:rFonts w:ascii="Arial" w:eastAsia="新細明體" w:hAnsi="Arial" w:cs="Arial"/>
          <w:color w:val="000000"/>
          <w:sz w:val="22"/>
          <w:szCs w:val="22"/>
          <w:lang w:eastAsia="zh-TW"/>
        </w:rPr>
        <w:t>ASM_Wt</w:t>
      </w:r>
      <w:proofErr w:type="spellEnd"/>
      <w:r w:rsidRPr="007F24D6">
        <w:rPr>
          <w:rFonts w:ascii="Arial" w:eastAsia="新細明體" w:hAnsi="Arial" w:cs="Arial"/>
          <w:color w:val="000000"/>
          <w:sz w:val="22"/>
          <w:szCs w:val="22"/>
          <w:lang w:eastAsia="zh-TW"/>
        </w:rPr>
        <w:t>_/10) so that the interval for ASM% exposure becomes every 10% increase in ASM%. The linearity assumption was visually assessed by plotting residuals against the ASM% predictor. A scatter plot with fitted regression line stratified by sex is presented for the relationship between ASM% and MAP</w:t>
      </w:r>
      <w:r w:rsidR="00CF74EE">
        <w:rPr>
          <w:rFonts w:ascii="Arial" w:eastAsia="新細明體" w:hAnsi="Arial" w:cs="Arial"/>
          <w:color w:val="000000"/>
          <w:sz w:val="22"/>
          <w:szCs w:val="22"/>
          <w:lang w:eastAsia="zh-TW"/>
        </w:rPr>
        <w:t xml:space="preserve"> (</w:t>
      </w:r>
      <w:r w:rsidR="00CF74EE" w:rsidRPr="00CF74EE">
        <w:rPr>
          <w:rFonts w:ascii="Arial" w:eastAsia="新細明體" w:hAnsi="Arial" w:cs="Arial"/>
          <w:b/>
          <w:bCs/>
          <w:color w:val="000000"/>
          <w:sz w:val="22"/>
          <w:szCs w:val="22"/>
          <w:u w:val="single"/>
          <w:lang w:eastAsia="zh-TW"/>
        </w:rPr>
        <w:t>Supplementary Figure</w:t>
      </w:r>
      <w:r w:rsidR="00CF74EE">
        <w:rPr>
          <w:rFonts w:ascii="Arial" w:eastAsia="新細明體" w:hAnsi="Arial" w:cs="Arial"/>
          <w:color w:val="000000"/>
          <w:sz w:val="22"/>
          <w:szCs w:val="22"/>
          <w:lang w:eastAsia="zh-TW"/>
        </w:rPr>
        <w:t>)</w:t>
      </w:r>
      <w:r w:rsidRPr="007F24D6">
        <w:rPr>
          <w:rFonts w:ascii="Arial" w:eastAsia="新細明體" w:hAnsi="Arial" w:cs="Arial"/>
          <w:color w:val="000000"/>
          <w:sz w:val="22"/>
          <w:szCs w:val="22"/>
          <w:lang w:eastAsia="zh-TW"/>
        </w:rPr>
        <w:t>.</w:t>
      </w:r>
    </w:p>
    <w:p w14:paraId="504E9CB9" w14:textId="77777777" w:rsidR="00803A89" w:rsidRPr="00803A89" w:rsidRDefault="00803A89" w:rsidP="00803A89">
      <w:pPr>
        <w:spacing w:before="360" w:after="120"/>
        <w:outlineLvl w:val="1"/>
        <w:rPr>
          <w:rFonts w:ascii="新細明體" w:eastAsia="新細明體" w:hAnsi="新細明體" w:cs="新細明體"/>
          <w:b/>
          <w:bCs/>
          <w:sz w:val="36"/>
          <w:szCs w:val="36"/>
          <w:lang w:eastAsia="zh-TW"/>
        </w:rPr>
      </w:pPr>
      <w:r w:rsidRPr="00803A89">
        <w:rPr>
          <w:rFonts w:ascii="Arial" w:eastAsia="新細明體" w:hAnsi="Arial" w:cs="Arial"/>
          <w:color w:val="000000"/>
          <w:sz w:val="32"/>
          <w:szCs w:val="32"/>
          <w:lang w:eastAsia="zh-TW"/>
        </w:rPr>
        <w:t>Results</w:t>
      </w:r>
    </w:p>
    <w:p w14:paraId="72DF5406" w14:textId="77777777" w:rsidR="00803A89" w:rsidRPr="00803A89" w:rsidRDefault="00803A89" w:rsidP="00803A89">
      <w:pPr>
        <w:spacing w:before="200"/>
        <w:jc w:val="both"/>
        <w:rPr>
          <w:rFonts w:ascii="新細明體" w:eastAsia="新細明體" w:hAnsi="新細明體" w:cs="新細明體"/>
          <w:lang w:eastAsia="zh-TW"/>
        </w:rPr>
      </w:pPr>
      <w:r w:rsidRPr="00803A89">
        <w:rPr>
          <w:rFonts w:ascii="Arial" w:eastAsia="新細明體" w:hAnsi="Arial" w:cs="Arial"/>
          <w:color w:val="000000"/>
          <w:sz w:val="22"/>
          <w:szCs w:val="22"/>
          <w:lang w:eastAsia="zh-TW"/>
        </w:rPr>
        <w:tab/>
        <w:t>A total of 10,795 participants were included in our study. Mean age (</w:t>
      </w:r>
      <w:proofErr w:type="spellStart"/>
      <w:r w:rsidRPr="00803A89">
        <w:rPr>
          <w:rFonts w:ascii="Arial" w:eastAsia="新細明體" w:hAnsi="Arial" w:cs="Arial"/>
          <w:color w:val="000000"/>
          <w:sz w:val="22"/>
          <w:szCs w:val="22"/>
          <w:lang w:eastAsia="zh-TW"/>
        </w:rPr>
        <w:t>sd</w:t>
      </w:r>
      <w:proofErr w:type="spellEnd"/>
      <w:r w:rsidRPr="00803A89">
        <w:rPr>
          <w:rFonts w:ascii="Arial" w:eastAsia="新細明體" w:hAnsi="Arial" w:cs="Arial"/>
          <w:color w:val="000000"/>
          <w:sz w:val="22"/>
          <w:szCs w:val="22"/>
          <w:lang w:eastAsia="zh-TW"/>
        </w:rPr>
        <w:t xml:space="preserve">) was 44.1 (9.62) years. Forty-five percent of them were female. The prevalence of HT was 26.3 percent. 32.7% of the study </w:t>
      </w:r>
      <w:proofErr w:type="spellStart"/>
      <w:r w:rsidRPr="00803A89">
        <w:rPr>
          <w:rFonts w:ascii="Arial" w:eastAsia="新細明體" w:hAnsi="Arial" w:cs="Arial"/>
          <w:color w:val="000000"/>
          <w:sz w:val="22"/>
          <w:szCs w:val="22"/>
          <w:lang w:eastAsia="zh-TW"/>
        </w:rPr>
        <w:t>poulation</w:t>
      </w:r>
      <w:proofErr w:type="spellEnd"/>
      <w:r w:rsidRPr="00803A89">
        <w:rPr>
          <w:rFonts w:ascii="Arial" w:eastAsia="新細明體" w:hAnsi="Arial" w:cs="Arial"/>
          <w:color w:val="000000"/>
          <w:sz w:val="22"/>
          <w:szCs w:val="22"/>
          <w:lang w:eastAsia="zh-TW"/>
        </w:rPr>
        <w:t xml:space="preserve"> were obese based Asian and Pacific standard (</w:t>
      </w:r>
      <w:r w:rsidRPr="00803A89">
        <w:rPr>
          <w:rFonts w:ascii="Arial" w:eastAsia="新細明體" w:hAnsi="Arial" w:cs="Arial"/>
          <w:b/>
          <w:bCs/>
          <w:color w:val="000000"/>
          <w:sz w:val="22"/>
          <w:szCs w:val="22"/>
          <w:u w:val="single"/>
          <w:lang w:eastAsia="zh-TW"/>
        </w:rPr>
        <w:t>Table 1</w:t>
      </w:r>
      <w:r w:rsidRPr="00803A89">
        <w:rPr>
          <w:rFonts w:ascii="Arial" w:eastAsia="新細明體" w:hAnsi="Arial" w:cs="Arial"/>
          <w:color w:val="000000"/>
          <w:sz w:val="22"/>
          <w:szCs w:val="22"/>
          <w:lang w:eastAsia="zh-TW"/>
        </w:rPr>
        <w:t>).</w:t>
      </w:r>
    </w:p>
    <w:p w14:paraId="7CA75CD1" w14:textId="77777777" w:rsidR="00803A89" w:rsidRPr="00803A89" w:rsidRDefault="00803A89" w:rsidP="00803A89">
      <w:pPr>
        <w:spacing w:before="200"/>
        <w:ind w:firstLine="720"/>
        <w:jc w:val="both"/>
        <w:rPr>
          <w:rFonts w:ascii="新細明體" w:eastAsia="新細明體" w:hAnsi="新細明體" w:cs="新細明體"/>
          <w:lang w:eastAsia="zh-TW"/>
        </w:rPr>
      </w:pPr>
      <w:r w:rsidRPr="00803A89">
        <w:rPr>
          <w:rFonts w:ascii="Arial" w:eastAsia="新細明體" w:hAnsi="Arial" w:cs="Arial"/>
          <w:color w:val="000000"/>
          <w:sz w:val="22"/>
          <w:szCs w:val="22"/>
          <w:lang w:eastAsia="zh-TW"/>
        </w:rPr>
        <w:lastRenderedPageBreak/>
        <w:t>The bivariate logistic regression between ASM% and HT showed no association between ASM% and HT [OR = 1.00; 95% CI = (0.99, 1.01)]. However, after adjusting for age and sex it appeared that ASM% was negatively associated with HT [OR = 0.80; 95% CI = (0.78, 0.81)). The point estimates for the ORs between ASM% and HT seems to be stable after including risk behavioral variables in model 2 [OR = 0.96; 95% CI = (0.93, 0.98)]. The ASM%-HT association in models 1 and 2 were found to be minimally-to-moderately robust to uncontrolled confounding, with an E-value of 1.46.</w:t>
      </w:r>
    </w:p>
    <w:p w14:paraId="3BA0BAD5" w14:textId="3A89DE21" w:rsidR="00803A89" w:rsidRPr="00803A89" w:rsidRDefault="00803A89" w:rsidP="00803A89">
      <w:pPr>
        <w:spacing w:before="200"/>
        <w:ind w:firstLine="720"/>
        <w:jc w:val="both"/>
        <w:rPr>
          <w:rFonts w:ascii="新細明體" w:eastAsia="新細明體" w:hAnsi="新細明體" w:cs="新細明體"/>
          <w:lang w:eastAsia="zh-TW"/>
        </w:rPr>
      </w:pPr>
      <w:r w:rsidRPr="00803A89">
        <w:rPr>
          <w:rFonts w:ascii="Arial" w:eastAsia="新細明體" w:hAnsi="Arial" w:cs="Arial"/>
          <w:color w:val="000000"/>
          <w:sz w:val="22"/>
          <w:szCs w:val="22"/>
          <w:lang w:eastAsia="zh-TW"/>
        </w:rPr>
        <w:t>The bivariate linear regression between ASM% and MAP</w:t>
      </w:r>
      <w:r w:rsidR="00171294">
        <w:rPr>
          <w:rFonts w:ascii="Arial" w:eastAsia="新細明體" w:hAnsi="Arial" w:cs="Arial"/>
          <w:color w:val="000000"/>
          <w:sz w:val="22"/>
          <w:szCs w:val="22"/>
          <w:lang w:eastAsia="zh-TW"/>
        </w:rPr>
        <w:t xml:space="preserve"> (mmHg)</w:t>
      </w:r>
      <w:r w:rsidRPr="00803A89">
        <w:rPr>
          <w:rFonts w:ascii="Arial" w:eastAsia="新細明體" w:hAnsi="Arial" w:cs="Arial"/>
          <w:color w:val="000000"/>
          <w:sz w:val="22"/>
          <w:szCs w:val="22"/>
          <w:lang w:eastAsia="zh-TW"/>
        </w:rPr>
        <w:t xml:space="preserve"> also showed no association between ASM% and MAP (β = 2.4; 95% CI = [1.7, 3.0])</w:t>
      </w:r>
      <w:r w:rsidR="00CF74EE">
        <w:rPr>
          <w:rFonts w:ascii="Arial" w:eastAsia="新細明體" w:hAnsi="Arial" w:cs="Arial"/>
          <w:color w:val="000000"/>
          <w:sz w:val="22"/>
          <w:szCs w:val="22"/>
          <w:lang w:eastAsia="zh-TW"/>
        </w:rPr>
        <w:t xml:space="preserve"> (</w:t>
      </w:r>
      <w:r w:rsidR="00CF74EE" w:rsidRPr="00CF74EE">
        <w:rPr>
          <w:rFonts w:ascii="Arial" w:eastAsia="新細明體" w:hAnsi="Arial" w:cs="Arial"/>
          <w:b/>
          <w:bCs/>
          <w:color w:val="000000"/>
          <w:sz w:val="22"/>
          <w:szCs w:val="22"/>
          <w:u w:val="single"/>
          <w:lang w:eastAsia="zh-TW"/>
        </w:rPr>
        <w:t>Table 2a</w:t>
      </w:r>
      <w:r w:rsidR="00CF74EE">
        <w:rPr>
          <w:rFonts w:ascii="Arial" w:eastAsia="新細明體" w:hAnsi="Arial" w:cs="Arial"/>
          <w:color w:val="000000"/>
          <w:sz w:val="22"/>
          <w:szCs w:val="22"/>
          <w:lang w:eastAsia="zh-TW"/>
        </w:rPr>
        <w:t>)</w:t>
      </w:r>
      <w:r w:rsidRPr="00803A89">
        <w:rPr>
          <w:rFonts w:ascii="Arial" w:eastAsia="新細明體" w:hAnsi="Arial" w:cs="Arial"/>
          <w:color w:val="000000"/>
          <w:sz w:val="22"/>
          <w:szCs w:val="22"/>
          <w:lang w:eastAsia="zh-TW"/>
        </w:rPr>
        <w:t>. On the other hand, after adjusting for age and sex it appeared that ASM% was again negatively associated with MAP [β = -11.2; 95% CI = (-12.0, -10.5)] (</w:t>
      </w:r>
      <w:r w:rsidRPr="00803A89">
        <w:rPr>
          <w:rFonts w:ascii="Arial" w:eastAsia="新細明體" w:hAnsi="Arial" w:cs="Arial"/>
          <w:b/>
          <w:bCs/>
          <w:color w:val="000000"/>
          <w:sz w:val="22"/>
          <w:szCs w:val="22"/>
          <w:u w:val="single"/>
          <w:lang w:eastAsia="zh-TW"/>
        </w:rPr>
        <w:t>Table 2b</w:t>
      </w:r>
      <w:r w:rsidRPr="00803A89">
        <w:rPr>
          <w:rFonts w:ascii="Arial" w:eastAsia="新細明體" w:hAnsi="Arial" w:cs="Arial"/>
          <w:color w:val="000000"/>
          <w:sz w:val="22"/>
          <w:szCs w:val="22"/>
          <w:lang w:eastAsia="zh-TW"/>
        </w:rPr>
        <w:t>). After excluding those with known history of HT, there was no significant change, defined as more than 10%, in estimates (</w:t>
      </w:r>
      <w:r w:rsidRPr="00803A89">
        <w:rPr>
          <w:rFonts w:ascii="Arial" w:eastAsia="新細明體" w:hAnsi="Arial" w:cs="Arial"/>
          <w:b/>
          <w:bCs/>
          <w:color w:val="000000"/>
          <w:sz w:val="22"/>
          <w:szCs w:val="22"/>
          <w:u w:val="single"/>
          <w:lang w:eastAsia="zh-TW"/>
        </w:rPr>
        <w:t>Supplementary Table</w:t>
      </w:r>
      <w:r w:rsidRPr="00803A89">
        <w:rPr>
          <w:rFonts w:ascii="Arial" w:eastAsia="新細明體" w:hAnsi="Arial" w:cs="Arial"/>
          <w:color w:val="000000"/>
          <w:sz w:val="22"/>
          <w:szCs w:val="22"/>
          <w:lang w:eastAsia="zh-TW"/>
        </w:rPr>
        <w:t xml:space="preserve">). </w:t>
      </w:r>
    </w:p>
    <w:p w14:paraId="0D170315" w14:textId="77777777" w:rsidR="00A561BE" w:rsidRDefault="00A561BE" w:rsidP="00A561BE">
      <w:pPr>
        <w:pStyle w:val="2"/>
        <w:spacing w:before="360" w:beforeAutospacing="0" w:after="120" w:afterAutospacing="0"/>
      </w:pPr>
      <w:r>
        <w:rPr>
          <w:rFonts w:ascii="Arial" w:hAnsi="Arial" w:cs="Arial"/>
          <w:b w:val="0"/>
          <w:bCs w:val="0"/>
          <w:color w:val="000000"/>
          <w:sz w:val="32"/>
          <w:szCs w:val="32"/>
        </w:rPr>
        <w:t>Limitations</w:t>
      </w:r>
    </w:p>
    <w:p w14:paraId="46DDE7DD" w14:textId="77777777" w:rsidR="00A561BE" w:rsidRPr="00803A89" w:rsidRDefault="00A561BE" w:rsidP="00803A89">
      <w:pPr>
        <w:spacing w:before="200"/>
        <w:ind w:firstLine="720"/>
        <w:jc w:val="both"/>
        <w:rPr>
          <w:rFonts w:ascii="Arial" w:eastAsia="新細明體" w:hAnsi="Arial" w:cs="Arial"/>
          <w:color w:val="000000"/>
          <w:sz w:val="22"/>
          <w:szCs w:val="22"/>
          <w:lang w:eastAsia="zh-TW"/>
        </w:rPr>
      </w:pPr>
      <w:r w:rsidRPr="00803A89">
        <w:rPr>
          <w:rFonts w:ascii="Arial" w:eastAsia="新細明體" w:hAnsi="Arial" w:cs="Arial"/>
          <w:color w:val="000000"/>
          <w:sz w:val="22"/>
          <w:szCs w:val="22"/>
          <w:lang w:eastAsia="zh-TW"/>
        </w:rPr>
        <w:t>We had several limitations to our analyses. The temporal relationship between ASM and HT could not be determined for this cross-sectional study and thus reverse causation may be an issue because chronic HT patients are more likely to develop more complications e.g., stroke, chronic kidney disease. These chronic complications could lead to poor nutrition and loss of muscle mass and affect ASM, although those who had a history of malignancy were excluded and age were adjusted in the final model.   </w:t>
      </w:r>
    </w:p>
    <w:p w14:paraId="4A14DBB5" w14:textId="77777777" w:rsidR="00A561BE" w:rsidRPr="00803A89" w:rsidRDefault="00A561BE" w:rsidP="00803A89">
      <w:pPr>
        <w:spacing w:before="200"/>
        <w:ind w:firstLine="720"/>
        <w:jc w:val="both"/>
        <w:rPr>
          <w:rFonts w:ascii="Arial" w:eastAsia="新細明體" w:hAnsi="Arial" w:cs="Arial"/>
          <w:color w:val="000000"/>
          <w:sz w:val="22"/>
          <w:szCs w:val="22"/>
          <w:lang w:eastAsia="zh-TW"/>
        </w:rPr>
      </w:pPr>
      <w:r w:rsidRPr="00803A89">
        <w:rPr>
          <w:rFonts w:ascii="Arial" w:eastAsia="新細明體" w:hAnsi="Arial" w:cs="Arial"/>
          <w:color w:val="000000"/>
          <w:sz w:val="22"/>
          <w:szCs w:val="22"/>
          <w:lang w:eastAsia="zh-TW"/>
        </w:rPr>
        <w:t>We also found that sex and age appeared to be strong confounders in the ASM and HT association. However, some unmeasured confounders such as chronic kidney disease conditions may need to be addressed for further study.   </w:t>
      </w:r>
    </w:p>
    <w:p w14:paraId="1D3D811A" w14:textId="77777777" w:rsidR="00A561BE" w:rsidRPr="00803A89" w:rsidRDefault="00A561BE" w:rsidP="00803A89">
      <w:pPr>
        <w:spacing w:before="200"/>
        <w:ind w:firstLine="720"/>
        <w:jc w:val="both"/>
        <w:rPr>
          <w:rFonts w:ascii="Arial" w:eastAsia="新細明體" w:hAnsi="Arial" w:cs="Arial"/>
          <w:color w:val="000000"/>
          <w:sz w:val="22"/>
          <w:szCs w:val="22"/>
          <w:lang w:eastAsia="zh-TW"/>
        </w:rPr>
      </w:pPr>
      <w:r w:rsidRPr="00803A89">
        <w:rPr>
          <w:rFonts w:ascii="Arial" w:eastAsia="新細明體" w:hAnsi="Arial" w:cs="Arial"/>
          <w:color w:val="000000"/>
          <w:sz w:val="22"/>
          <w:szCs w:val="22"/>
          <w:lang w:eastAsia="zh-TW"/>
        </w:rPr>
        <w:t>Our results are also more specific to the study population that lives in the catchment area of the medical center of South Korea. The catchment area likely best represents a Korean population living in a metropolitan city. The association between ASM and HT may be different in other countries and populations with other demographic makeups. </w:t>
      </w:r>
    </w:p>
    <w:p w14:paraId="5B8E8DD2" w14:textId="77777777" w:rsidR="00A561BE" w:rsidRPr="00803A89" w:rsidRDefault="00A561BE" w:rsidP="00803A89">
      <w:pPr>
        <w:spacing w:before="200"/>
        <w:ind w:firstLine="720"/>
        <w:jc w:val="both"/>
        <w:rPr>
          <w:rFonts w:ascii="Arial" w:eastAsia="新細明體" w:hAnsi="Arial" w:cs="Arial"/>
          <w:color w:val="000000"/>
          <w:sz w:val="22"/>
          <w:szCs w:val="22"/>
          <w:lang w:eastAsia="zh-TW"/>
        </w:rPr>
      </w:pPr>
      <w:r w:rsidRPr="00803A89">
        <w:rPr>
          <w:rFonts w:ascii="Arial" w:eastAsia="新細明體" w:hAnsi="Arial" w:cs="Arial"/>
          <w:color w:val="000000"/>
          <w:sz w:val="22"/>
          <w:szCs w:val="22"/>
          <w:lang w:eastAsia="zh-TW"/>
        </w:rPr>
        <w:t>Lastly, we were not provided with background on how certain variables were collected. Measurement error in how history of cigarette and alcohol use data was collected could lead to uncontrolled confounding.</w:t>
      </w:r>
    </w:p>
    <w:p w14:paraId="06E3A728" w14:textId="77777777" w:rsidR="00A561BE" w:rsidRDefault="00A561BE" w:rsidP="00A561BE">
      <w:pPr>
        <w:pStyle w:val="2"/>
        <w:spacing w:before="360" w:beforeAutospacing="0" w:after="120" w:afterAutospacing="0"/>
        <w:jc w:val="both"/>
      </w:pPr>
      <w:r>
        <w:rPr>
          <w:rFonts w:ascii="Arial" w:hAnsi="Arial" w:cs="Arial"/>
          <w:b w:val="0"/>
          <w:bCs w:val="0"/>
          <w:color w:val="000000"/>
          <w:sz w:val="32"/>
          <w:szCs w:val="32"/>
        </w:rPr>
        <w:t>Conclusion</w:t>
      </w:r>
    </w:p>
    <w:p w14:paraId="6690524A" w14:textId="77777777" w:rsidR="00A561BE" w:rsidRDefault="00A561BE" w:rsidP="00A561BE">
      <w:pPr>
        <w:pStyle w:val="Web"/>
        <w:numPr>
          <w:ilvl w:val="0"/>
          <w:numId w:val="4"/>
        </w:numPr>
        <w:spacing w:before="0" w:beforeAutospacing="0" w:after="0" w:afterAutospacing="0"/>
        <w:ind w:left="426"/>
        <w:jc w:val="both"/>
        <w:textAlignment w:val="baseline"/>
        <w:rPr>
          <w:rFonts w:ascii="Arial" w:hAnsi="Arial" w:cs="Arial"/>
          <w:color w:val="000000"/>
          <w:sz w:val="22"/>
          <w:szCs w:val="22"/>
        </w:rPr>
      </w:pPr>
      <w:r>
        <w:rPr>
          <w:rFonts w:ascii="Arial" w:hAnsi="Arial" w:cs="Arial"/>
          <w:color w:val="000000"/>
          <w:sz w:val="22"/>
          <w:szCs w:val="22"/>
        </w:rPr>
        <w:t>After adjusting for sex and age, a higher ASM% was associated with decreased odds of HT.</w:t>
      </w:r>
    </w:p>
    <w:p w14:paraId="49B1D9E4" w14:textId="77777777" w:rsidR="00A561BE" w:rsidRDefault="00A561BE" w:rsidP="00A561BE">
      <w:pPr>
        <w:pStyle w:val="Web"/>
        <w:numPr>
          <w:ilvl w:val="0"/>
          <w:numId w:val="4"/>
        </w:numPr>
        <w:spacing w:before="0" w:beforeAutospacing="0" w:after="0" w:afterAutospacing="0"/>
        <w:ind w:left="426"/>
        <w:jc w:val="both"/>
        <w:textAlignment w:val="baseline"/>
        <w:rPr>
          <w:rFonts w:ascii="Arial" w:hAnsi="Arial" w:cs="Arial"/>
          <w:color w:val="000000"/>
          <w:sz w:val="22"/>
          <w:szCs w:val="22"/>
        </w:rPr>
      </w:pPr>
      <w:r>
        <w:rPr>
          <w:rFonts w:ascii="Arial" w:hAnsi="Arial" w:cs="Arial"/>
          <w:color w:val="000000"/>
          <w:sz w:val="22"/>
          <w:szCs w:val="22"/>
        </w:rPr>
        <w:t>MAP was negatively correlated with ASM%, which is consistent with the results from logistic models. Such association persisted even for subjects without known history of HT.</w:t>
      </w:r>
    </w:p>
    <w:p w14:paraId="4700E714" w14:textId="77777777" w:rsidR="00A561BE" w:rsidRDefault="00A561BE" w:rsidP="00A561BE">
      <w:pPr>
        <w:pStyle w:val="Web"/>
        <w:numPr>
          <w:ilvl w:val="0"/>
          <w:numId w:val="4"/>
        </w:numPr>
        <w:spacing w:before="0" w:beforeAutospacing="0" w:after="0" w:afterAutospacing="0"/>
        <w:ind w:left="426"/>
        <w:jc w:val="both"/>
        <w:textAlignment w:val="baseline"/>
        <w:rPr>
          <w:rFonts w:ascii="Arial" w:hAnsi="Arial" w:cs="Arial"/>
          <w:color w:val="000000"/>
          <w:sz w:val="22"/>
          <w:szCs w:val="22"/>
        </w:rPr>
      </w:pPr>
      <w:r>
        <w:rPr>
          <w:rFonts w:ascii="Arial" w:hAnsi="Arial" w:cs="Arial"/>
          <w:color w:val="000000"/>
          <w:sz w:val="22"/>
          <w:szCs w:val="22"/>
        </w:rPr>
        <w:t>Gender seemed to be a strong confounder for the ASM% - HT relationship.</w:t>
      </w:r>
    </w:p>
    <w:p w14:paraId="24DC94A9" w14:textId="3B68BF85" w:rsidR="00AF44FE" w:rsidRPr="00AF44FE" w:rsidRDefault="00AF44FE" w:rsidP="00AF44FE">
      <w:pPr>
        <w:pStyle w:val="2"/>
        <w:spacing w:before="360" w:beforeAutospacing="0" w:after="120" w:afterAutospacing="0"/>
        <w:jc w:val="both"/>
        <w:rPr>
          <w:rFonts w:ascii="Arial" w:hAnsi="Arial" w:cs="Arial"/>
          <w:b w:val="0"/>
          <w:bCs w:val="0"/>
          <w:color w:val="000000"/>
          <w:sz w:val="32"/>
          <w:szCs w:val="32"/>
        </w:rPr>
      </w:pPr>
      <w:r w:rsidRPr="00AF44FE">
        <w:rPr>
          <w:rFonts w:ascii="Arial" w:hAnsi="Arial" w:cs="Arial"/>
          <w:b w:val="0"/>
          <w:bCs w:val="0"/>
          <w:color w:val="000000"/>
          <w:sz w:val="32"/>
          <w:szCs w:val="32"/>
        </w:rPr>
        <w:t>Reference</w:t>
      </w:r>
    </w:p>
    <w:p w14:paraId="3A961AED" w14:textId="3BB709B7" w:rsidR="00A75445" w:rsidRPr="00A75445" w:rsidRDefault="00AF44FE" w:rsidP="00A75445">
      <w:pPr>
        <w:autoSpaceDE w:val="0"/>
        <w:autoSpaceDN w:val="0"/>
        <w:adjustRightInd w:val="0"/>
        <w:ind w:left="640" w:hanging="640"/>
        <w:rPr>
          <w:rFonts w:ascii="Arial" w:hAnsi="Arial" w:cs="Arial"/>
          <w:noProof/>
          <w:sz w:val="22"/>
        </w:rPr>
      </w:pPr>
      <w:r>
        <w:rPr>
          <w:rFonts w:ascii="Arial" w:hAnsi="Arial" w:cs="Arial"/>
          <w:sz w:val="22"/>
          <w:szCs w:val="22"/>
        </w:rPr>
        <w:fldChar w:fldCharType="begin" w:fldLock="1"/>
      </w:r>
      <w:r>
        <w:rPr>
          <w:rFonts w:ascii="Arial" w:hAnsi="Arial" w:cs="Arial"/>
          <w:sz w:val="22"/>
          <w:szCs w:val="22"/>
        </w:rPr>
        <w:instrText xml:space="preserve">ADDIN Mendeley Bibliography CSL_BIBLIOGRAPHY </w:instrText>
      </w:r>
      <w:r>
        <w:rPr>
          <w:rFonts w:ascii="Arial" w:hAnsi="Arial" w:cs="Arial"/>
          <w:sz w:val="22"/>
          <w:szCs w:val="22"/>
        </w:rPr>
        <w:fldChar w:fldCharType="separate"/>
      </w:r>
      <w:r w:rsidR="00A75445" w:rsidRPr="00A75445">
        <w:rPr>
          <w:rFonts w:ascii="Arial" w:hAnsi="Arial" w:cs="Arial"/>
          <w:noProof/>
          <w:sz w:val="22"/>
        </w:rPr>
        <w:t xml:space="preserve">1. </w:t>
      </w:r>
      <w:r w:rsidR="00A75445" w:rsidRPr="00A75445">
        <w:rPr>
          <w:rFonts w:ascii="Arial" w:hAnsi="Arial" w:cs="Arial"/>
          <w:noProof/>
          <w:sz w:val="22"/>
        </w:rPr>
        <w:tab/>
        <w:t xml:space="preserve">Kim SH, Jeong JB, Kang J, et al. Association between sarcopenia level and metabolic syndrome. </w:t>
      </w:r>
      <w:r w:rsidR="00A75445" w:rsidRPr="00A75445">
        <w:rPr>
          <w:rFonts w:ascii="Arial" w:hAnsi="Arial" w:cs="Arial"/>
          <w:i/>
          <w:iCs/>
          <w:noProof/>
          <w:sz w:val="22"/>
        </w:rPr>
        <w:t>PLoS One</w:t>
      </w:r>
      <w:r w:rsidR="00A75445" w:rsidRPr="00A75445">
        <w:rPr>
          <w:rFonts w:ascii="Arial" w:hAnsi="Arial" w:cs="Arial"/>
          <w:noProof/>
          <w:sz w:val="22"/>
        </w:rPr>
        <w:t>. 2021;16(3):e0248856. doi:10.1371/JOURNAL.PONE.0248856</w:t>
      </w:r>
    </w:p>
    <w:p w14:paraId="2B93BCE8" w14:textId="77777777" w:rsidR="00A75445" w:rsidRPr="00A75445" w:rsidRDefault="00A75445" w:rsidP="00A75445">
      <w:pPr>
        <w:autoSpaceDE w:val="0"/>
        <w:autoSpaceDN w:val="0"/>
        <w:adjustRightInd w:val="0"/>
        <w:ind w:left="640" w:hanging="640"/>
        <w:rPr>
          <w:rFonts w:ascii="Arial" w:hAnsi="Arial" w:cs="Arial"/>
          <w:noProof/>
          <w:sz w:val="22"/>
        </w:rPr>
      </w:pPr>
      <w:r w:rsidRPr="00A75445">
        <w:rPr>
          <w:rFonts w:ascii="Arial" w:hAnsi="Arial" w:cs="Arial"/>
          <w:noProof/>
          <w:sz w:val="22"/>
        </w:rPr>
        <w:t xml:space="preserve">2. </w:t>
      </w:r>
      <w:r w:rsidRPr="00A75445">
        <w:rPr>
          <w:rFonts w:ascii="Arial" w:hAnsi="Arial" w:cs="Arial"/>
          <w:noProof/>
          <w:sz w:val="22"/>
        </w:rPr>
        <w:tab/>
        <w:t>Anandita K, Mehta A, Yang E, Parapid B. Older Adults and Hypertension: Beyond the 2017 Guideline for Prevention, Detection, Evaluation, and Management of High Blood Pressure in Adults - American College of Cardiology. https://www.acc.org/latest-in-</w:t>
      </w:r>
      <w:r w:rsidRPr="00A75445">
        <w:rPr>
          <w:rFonts w:ascii="Arial" w:hAnsi="Arial" w:cs="Arial"/>
          <w:noProof/>
          <w:sz w:val="22"/>
        </w:rPr>
        <w:lastRenderedPageBreak/>
        <w:t>cardiology/articles/2020/02/26/06/24/older-adults-and-hypertension. Accessed February 22, 2022.</w:t>
      </w:r>
    </w:p>
    <w:p w14:paraId="5DC2DCB5" w14:textId="77777777" w:rsidR="00A75445" w:rsidRPr="00A75445" w:rsidRDefault="00A75445" w:rsidP="00A75445">
      <w:pPr>
        <w:autoSpaceDE w:val="0"/>
        <w:autoSpaceDN w:val="0"/>
        <w:adjustRightInd w:val="0"/>
        <w:ind w:left="640" w:hanging="640"/>
        <w:rPr>
          <w:rFonts w:ascii="Arial" w:hAnsi="Arial" w:cs="Arial"/>
          <w:noProof/>
          <w:sz w:val="22"/>
        </w:rPr>
      </w:pPr>
      <w:r w:rsidRPr="00A75445">
        <w:rPr>
          <w:rFonts w:ascii="Arial" w:hAnsi="Arial" w:cs="Arial"/>
          <w:noProof/>
          <w:sz w:val="22"/>
        </w:rPr>
        <w:t xml:space="preserve">3. </w:t>
      </w:r>
      <w:r w:rsidRPr="00A75445">
        <w:rPr>
          <w:rFonts w:ascii="Arial" w:hAnsi="Arial" w:cs="Arial"/>
          <w:noProof/>
          <w:sz w:val="22"/>
        </w:rPr>
        <w:tab/>
        <w:t xml:space="preserve">Jiang Q, Zhang Q, Wang T, You Q, Liu C, Cao S. Prevalence and risk factors of hypertension among college freshmen in China. </w:t>
      </w:r>
      <w:r w:rsidRPr="00A75445">
        <w:rPr>
          <w:rFonts w:ascii="Arial" w:hAnsi="Arial" w:cs="Arial"/>
          <w:i/>
          <w:iCs/>
          <w:noProof/>
          <w:sz w:val="22"/>
        </w:rPr>
        <w:t>Sci Reports 2021 111</w:t>
      </w:r>
      <w:r w:rsidRPr="00A75445">
        <w:rPr>
          <w:rFonts w:ascii="Arial" w:hAnsi="Arial" w:cs="Arial"/>
          <w:noProof/>
          <w:sz w:val="22"/>
        </w:rPr>
        <w:t>. 2021;11(1):1-8. doi:10.1038/s41598-021-02578-4</w:t>
      </w:r>
    </w:p>
    <w:p w14:paraId="1799F016" w14:textId="77777777" w:rsidR="00A75445" w:rsidRPr="00A75445" w:rsidRDefault="00A75445" w:rsidP="00A75445">
      <w:pPr>
        <w:autoSpaceDE w:val="0"/>
        <w:autoSpaceDN w:val="0"/>
        <w:adjustRightInd w:val="0"/>
        <w:ind w:left="640" w:hanging="640"/>
        <w:rPr>
          <w:rFonts w:ascii="Arial" w:hAnsi="Arial" w:cs="Arial"/>
          <w:noProof/>
          <w:sz w:val="22"/>
        </w:rPr>
      </w:pPr>
      <w:r w:rsidRPr="00A75445">
        <w:rPr>
          <w:rFonts w:ascii="Arial" w:hAnsi="Arial" w:cs="Arial"/>
          <w:noProof/>
          <w:sz w:val="22"/>
        </w:rPr>
        <w:t xml:space="preserve">4. </w:t>
      </w:r>
      <w:r w:rsidRPr="00A75445">
        <w:rPr>
          <w:rFonts w:ascii="Arial" w:hAnsi="Arial" w:cs="Arial"/>
          <w:noProof/>
          <w:sz w:val="22"/>
        </w:rPr>
        <w:tab/>
        <w:t xml:space="preserve">Gallagher D, Visser M, De Meersman RE, et al. Appendicular skeletal muscle mass: Effects of age, gender, and ethnicity. </w:t>
      </w:r>
      <w:r w:rsidRPr="00A75445">
        <w:rPr>
          <w:rFonts w:ascii="Arial" w:hAnsi="Arial" w:cs="Arial"/>
          <w:i/>
          <w:iCs/>
          <w:noProof/>
          <w:sz w:val="22"/>
        </w:rPr>
        <w:t>J Appl Physiol</w:t>
      </w:r>
      <w:r w:rsidRPr="00A75445">
        <w:rPr>
          <w:rFonts w:ascii="Arial" w:hAnsi="Arial" w:cs="Arial"/>
          <w:noProof/>
          <w:sz w:val="22"/>
        </w:rPr>
        <w:t>. 1997;83(1):229-239. doi:10.1152/JAPPL.1997.83.1.229/ASSET/IMAGES/LARGE/JAPP0574005.JPEG</w:t>
      </w:r>
    </w:p>
    <w:p w14:paraId="079C37CA" w14:textId="77777777" w:rsidR="00A75445" w:rsidRPr="00A75445" w:rsidRDefault="00A75445" w:rsidP="00A75445">
      <w:pPr>
        <w:autoSpaceDE w:val="0"/>
        <w:autoSpaceDN w:val="0"/>
        <w:adjustRightInd w:val="0"/>
        <w:ind w:left="640" w:hanging="640"/>
        <w:rPr>
          <w:rFonts w:ascii="Arial" w:hAnsi="Arial" w:cs="Arial"/>
          <w:noProof/>
          <w:sz w:val="22"/>
        </w:rPr>
      </w:pPr>
      <w:r w:rsidRPr="00A75445">
        <w:rPr>
          <w:rFonts w:ascii="Arial" w:hAnsi="Arial" w:cs="Arial"/>
          <w:noProof/>
          <w:sz w:val="22"/>
        </w:rPr>
        <w:t xml:space="preserve">5. </w:t>
      </w:r>
      <w:r w:rsidRPr="00A75445">
        <w:rPr>
          <w:rFonts w:ascii="Arial" w:hAnsi="Arial" w:cs="Arial"/>
          <w:noProof/>
          <w:sz w:val="22"/>
        </w:rPr>
        <w:tab/>
        <w:t xml:space="preserve">Kim NH, Park Y, Kim NH, Kim SG. Weight-adjusted waist index reflects fat and muscle mass in the opposite direction in older adults. </w:t>
      </w:r>
      <w:r w:rsidRPr="00A75445">
        <w:rPr>
          <w:rFonts w:ascii="Arial" w:hAnsi="Arial" w:cs="Arial"/>
          <w:i/>
          <w:iCs/>
          <w:noProof/>
          <w:sz w:val="22"/>
        </w:rPr>
        <w:t>Age Ageing</w:t>
      </w:r>
      <w:r w:rsidRPr="00A75445">
        <w:rPr>
          <w:rFonts w:ascii="Arial" w:hAnsi="Arial" w:cs="Arial"/>
          <w:noProof/>
          <w:sz w:val="22"/>
        </w:rPr>
        <w:t>. 2021;50(3):780-786. doi:10.1093/AGEING/AFAA208</w:t>
      </w:r>
    </w:p>
    <w:p w14:paraId="0F14F1EA" w14:textId="77777777" w:rsidR="00A75445" w:rsidRPr="00A75445" w:rsidRDefault="00A75445" w:rsidP="00A75445">
      <w:pPr>
        <w:autoSpaceDE w:val="0"/>
        <w:autoSpaceDN w:val="0"/>
        <w:adjustRightInd w:val="0"/>
        <w:ind w:left="640" w:hanging="640"/>
        <w:rPr>
          <w:rFonts w:ascii="Arial" w:hAnsi="Arial" w:cs="Arial"/>
          <w:noProof/>
          <w:sz w:val="22"/>
        </w:rPr>
      </w:pPr>
      <w:r w:rsidRPr="00A75445">
        <w:rPr>
          <w:rFonts w:ascii="Arial" w:hAnsi="Arial" w:cs="Arial"/>
          <w:noProof/>
          <w:sz w:val="22"/>
        </w:rPr>
        <w:t xml:space="preserve">6. </w:t>
      </w:r>
      <w:r w:rsidRPr="00A75445">
        <w:rPr>
          <w:rFonts w:ascii="Arial" w:hAnsi="Arial" w:cs="Arial"/>
          <w:noProof/>
          <w:sz w:val="22"/>
        </w:rPr>
        <w:tab/>
        <w:t xml:space="preserve">Van Der Weele TJ, Ding P. Sensitivity Analysis in Observational Research: Introducing the E-Value. </w:t>
      </w:r>
      <w:r w:rsidRPr="00A75445">
        <w:rPr>
          <w:rFonts w:ascii="Arial" w:hAnsi="Arial" w:cs="Arial"/>
          <w:i/>
          <w:iCs/>
          <w:noProof/>
          <w:sz w:val="22"/>
        </w:rPr>
        <w:t>Ann Intern Med</w:t>
      </w:r>
      <w:r w:rsidRPr="00A75445">
        <w:rPr>
          <w:rFonts w:ascii="Arial" w:hAnsi="Arial" w:cs="Arial"/>
          <w:noProof/>
          <w:sz w:val="22"/>
        </w:rPr>
        <w:t>. 2017;167(4):268-274. doi:10.7326/M16-2607</w:t>
      </w:r>
    </w:p>
    <w:p w14:paraId="319153F5" w14:textId="77777777" w:rsidR="00A75445" w:rsidRPr="00A75445" w:rsidRDefault="00A75445" w:rsidP="00A75445">
      <w:pPr>
        <w:autoSpaceDE w:val="0"/>
        <w:autoSpaceDN w:val="0"/>
        <w:adjustRightInd w:val="0"/>
        <w:ind w:left="640" w:hanging="640"/>
        <w:rPr>
          <w:rFonts w:ascii="Arial" w:hAnsi="Arial" w:cs="Arial"/>
          <w:noProof/>
          <w:sz w:val="22"/>
        </w:rPr>
      </w:pPr>
      <w:r w:rsidRPr="00A75445">
        <w:rPr>
          <w:rFonts w:ascii="Arial" w:hAnsi="Arial" w:cs="Arial"/>
          <w:noProof/>
          <w:sz w:val="22"/>
        </w:rPr>
        <w:t xml:space="preserve">7. </w:t>
      </w:r>
      <w:r w:rsidRPr="00A75445">
        <w:rPr>
          <w:rFonts w:ascii="Arial" w:hAnsi="Arial" w:cs="Arial"/>
          <w:noProof/>
          <w:sz w:val="22"/>
        </w:rPr>
        <w:tab/>
        <w:t>E-value calculator. https://www.evalue-calculator.com/evalue/. Accessed February 22, 2022.</w:t>
      </w:r>
    </w:p>
    <w:p w14:paraId="2F4EAF74" w14:textId="77777777" w:rsidR="00A75445" w:rsidRPr="00A75445" w:rsidRDefault="00A75445" w:rsidP="00A75445">
      <w:pPr>
        <w:autoSpaceDE w:val="0"/>
        <w:autoSpaceDN w:val="0"/>
        <w:adjustRightInd w:val="0"/>
        <w:ind w:left="640" w:hanging="640"/>
        <w:rPr>
          <w:rFonts w:ascii="Arial" w:hAnsi="Arial" w:cs="Arial"/>
          <w:noProof/>
          <w:sz w:val="22"/>
        </w:rPr>
      </w:pPr>
      <w:r w:rsidRPr="00A75445">
        <w:rPr>
          <w:rFonts w:ascii="Arial" w:hAnsi="Arial" w:cs="Arial"/>
          <w:noProof/>
          <w:sz w:val="22"/>
        </w:rPr>
        <w:t xml:space="preserve">8. </w:t>
      </w:r>
      <w:r w:rsidRPr="00A75445">
        <w:rPr>
          <w:rFonts w:ascii="Arial" w:hAnsi="Arial" w:cs="Arial"/>
          <w:noProof/>
          <w:sz w:val="22"/>
        </w:rPr>
        <w:tab/>
        <w:t xml:space="preserve">Mathur MB, Ding P, Riddell CA, VanderWeele TJ. Web Site and R Package for Computing E-values. </w:t>
      </w:r>
      <w:r w:rsidRPr="00A75445">
        <w:rPr>
          <w:rFonts w:ascii="Arial" w:hAnsi="Arial" w:cs="Arial"/>
          <w:i/>
          <w:iCs/>
          <w:noProof/>
          <w:sz w:val="22"/>
        </w:rPr>
        <w:t>Epidemiology</w:t>
      </w:r>
      <w:r w:rsidRPr="00A75445">
        <w:rPr>
          <w:rFonts w:ascii="Arial" w:hAnsi="Arial" w:cs="Arial"/>
          <w:noProof/>
          <w:sz w:val="22"/>
        </w:rPr>
        <w:t>. 2018;29(5):E45-E47. doi:10.1097/EDE.0000000000000864</w:t>
      </w:r>
    </w:p>
    <w:p w14:paraId="5BD01614" w14:textId="3C88307A" w:rsidR="00AF44FE" w:rsidRDefault="00AF44FE" w:rsidP="00A75445">
      <w:pPr>
        <w:autoSpaceDE w:val="0"/>
        <w:autoSpaceDN w:val="0"/>
        <w:adjustRightInd w:val="0"/>
        <w:ind w:left="640" w:hanging="640"/>
        <w:rPr>
          <w:rFonts w:ascii="Arial" w:hAnsi="Arial" w:cs="Arial"/>
          <w:sz w:val="22"/>
          <w:szCs w:val="22"/>
        </w:rPr>
      </w:pPr>
      <w:r>
        <w:rPr>
          <w:rFonts w:ascii="Arial" w:hAnsi="Arial" w:cs="Arial"/>
          <w:sz w:val="22"/>
          <w:szCs w:val="22"/>
        </w:rPr>
        <w:fldChar w:fldCharType="end"/>
      </w:r>
    </w:p>
    <w:p w14:paraId="4FB88605" w14:textId="44A3E7DC" w:rsidR="00364EA4" w:rsidRPr="00342121" w:rsidRDefault="00364EA4" w:rsidP="00342121">
      <w:pPr>
        <w:pStyle w:val="2"/>
        <w:spacing w:before="360" w:beforeAutospacing="0" w:after="120" w:afterAutospacing="0"/>
        <w:jc w:val="both"/>
        <w:rPr>
          <w:rFonts w:ascii="Arial" w:hAnsi="Arial" w:cs="Arial"/>
          <w:b w:val="0"/>
          <w:bCs w:val="0"/>
          <w:color w:val="000000"/>
          <w:sz w:val="32"/>
          <w:szCs w:val="32"/>
        </w:rPr>
      </w:pPr>
      <w:r w:rsidRPr="00342121">
        <w:rPr>
          <w:rFonts w:ascii="Arial" w:hAnsi="Arial" w:cs="Arial"/>
          <w:b w:val="0"/>
          <w:bCs w:val="0"/>
          <w:color w:val="000000"/>
          <w:sz w:val="32"/>
          <w:szCs w:val="32"/>
        </w:rPr>
        <w:t>Codebook and data dictionary</w:t>
      </w:r>
    </w:p>
    <w:p w14:paraId="5F02C0CE" w14:textId="214F1743" w:rsidR="00364EA4" w:rsidRDefault="00342121" w:rsidP="00342121">
      <w:pPr>
        <w:autoSpaceDE w:val="0"/>
        <w:autoSpaceDN w:val="0"/>
        <w:adjustRightInd w:val="0"/>
        <w:rPr>
          <w:rFonts w:ascii="Arial" w:hAnsi="Arial" w:cs="Arial"/>
          <w:sz w:val="22"/>
          <w:szCs w:val="22"/>
        </w:rPr>
      </w:pPr>
      <w:r>
        <w:rPr>
          <w:rFonts w:ascii="Arial" w:hAnsi="Arial" w:cs="Arial"/>
          <w:sz w:val="22"/>
          <w:szCs w:val="22"/>
        </w:rPr>
        <w:t xml:space="preserve">Information variables and code used for this project are stored in </w:t>
      </w:r>
      <w:hyperlink r:id="rId9" w:history="1">
        <w:r w:rsidRPr="008F0679">
          <w:rPr>
            <w:rStyle w:val="a8"/>
            <w:rFonts w:ascii="Arial" w:hAnsi="Arial" w:cs="Arial"/>
            <w:sz w:val="22"/>
            <w:szCs w:val="22"/>
          </w:rPr>
          <w:t>https://github.com/AlycAlyc/EPIDEM207-2022-winter/tree/main/Assignment%202</w:t>
        </w:r>
      </w:hyperlink>
    </w:p>
    <w:p w14:paraId="7DFDCCE0" w14:textId="77777777" w:rsidR="00342121" w:rsidRDefault="00342121" w:rsidP="00342121">
      <w:pPr>
        <w:autoSpaceDE w:val="0"/>
        <w:autoSpaceDN w:val="0"/>
        <w:adjustRightInd w:val="0"/>
        <w:rPr>
          <w:rFonts w:ascii="Arial" w:hAnsi="Arial" w:cs="Arial"/>
          <w:sz w:val="22"/>
          <w:szCs w:val="22"/>
        </w:rPr>
      </w:pPr>
    </w:p>
    <w:p w14:paraId="2B59DD76" w14:textId="6FE6EB10" w:rsidR="00A75445" w:rsidRDefault="00A75445">
      <w:pPr>
        <w:rPr>
          <w:rFonts w:ascii="Arial" w:hAnsi="Arial" w:cs="Arial"/>
          <w:sz w:val="22"/>
          <w:szCs w:val="22"/>
        </w:rPr>
      </w:pPr>
      <w:r>
        <w:rPr>
          <w:rFonts w:ascii="Arial" w:hAnsi="Arial" w:cs="Arial"/>
          <w:sz w:val="22"/>
          <w:szCs w:val="22"/>
        </w:rPr>
        <w:br w:type="page"/>
      </w:r>
    </w:p>
    <w:p w14:paraId="08D4BF2D" w14:textId="14E5C71B" w:rsidR="00A75445" w:rsidRPr="00A75445" w:rsidRDefault="00A75445" w:rsidP="00AF44FE">
      <w:pPr>
        <w:autoSpaceDE w:val="0"/>
        <w:autoSpaceDN w:val="0"/>
        <w:adjustRightInd w:val="0"/>
        <w:ind w:left="640" w:hanging="640"/>
        <w:rPr>
          <w:rFonts w:ascii="Arial" w:hAnsi="Arial" w:cs="Arial"/>
          <w:b/>
          <w:bCs/>
          <w:sz w:val="22"/>
          <w:szCs w:val="22"/>
        </w:rPr>
      </w:pPr>
      <w:r w:rsidRPr="00A75445">
        <w:rPr>
          <w:rFonts w:ascii="Arial" w:hAnsi="Arial" w:cs="Arial" w:hint="eastAsia"/>
          <w:b/>
          <w:bCs/>
          <w:sz w:val="22"/>
          <w:szCs w:val="22"/>
        </w:rPr>
        <w:lastRenderedPageBreak/>
        <w:t>T</w:t>
      </w:r>
      <w:r w:rsidRPr="00A75445">
        <w:rPr>
          <w:rFonts w:ascii="Arial" w:hAnsi="Arial" w:cs="Arial"/>
          <w:b/>
          <w:bCs/>
          <w:sz w:val="22"/>
          <w:szCs w:val="22"/>
        </w:rPr>
        <w:t>able 1. Characteristics of the Study Population (n = 10,759)</w:t>
      </w:r>
    </w:p>
    <w:tbl>
      <w:tblPr>
        <w:tblW w:w="7222" w:type="dxa"/>
        <w:tblCellMar>
          <w:left w:w="0" w:type="dxa"/>
          <w:right w:w="0" w:type="dxa"/>
        </w:tblCellMar>
        <w:tblLook w:val="04A0" w:firstRow="1" w:lastRow="0" w:firstColumn="1" w:lastColumn="0" w:noHBand="0" w:noVBand="1"/>
      </w:tblPr>
      <w:tblGrid>
        <w:gridCol w:w="4812"/>
        <w:gridCol w:w="2410"/>
      </w:tblGrid>
      <w:tr w:rsidR="00A75445" w:rsidRPr="00A75445" w14:paraId="283B45F4" w14:textId="77777777" w:rsidTr="00A75445">
        <w:trPr>
          <w:trHeight w:val="690"/>
        </w:trPr>
        <w:tc>
          <w:tcPr>
            <w:tcW w:w="4812" w:type="dxa"/>
            <w:tcBorders>
              <w:top w:val="single" w:sz="6" w:space="0" w:color="000000"/>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09D033EF" w14:textId="77777777" w:rsidR="00A75445" w:rsidRPr="00A75445" w:rsidRDefault="00A75445" w:rsidP="00A75445">
            <w:pPr>
              <w:rPr>
                <w:rFonts w:ascii="新細明體" w:eastAsia="新細明體" w:hAnsi="新細明體" w:cs="新細明體"/>
                <w:lang w:eastAsia="zh-TW"/>
              </w:rPr>
            </w:pPr>
          </w:p>
        </w:tc>
        <w:tc>
          <w:tcPr>
            <w:tcW w:w="2410" w:type="dxa"/>
            <w:tcBorders>
              <w:top w:val="single" w:sz="6" w:space="0" w:color="000000"/>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1365174B" w14:textId="77777777" w:rsidR="00A75445" w:rsidRPr="00A75445" w:rsidRDefault="00A75445" w:rsidP="00A75445">
            <w:pPr>
              <w:jc w:val="center"/>
              <w:rPr>
                <w:rFonts w:ascii="Arial" w:eastAsia="新細明體" w:hAnsi="Arial" w:cs="Arial"/>
                <w:b/>
                <w:bCs/>
                <w:sz w:val="20"/>
                <w:szCs w:val="20"/>
                <w:lang w:eastAsia="zh-TW"/>
              </w:rPr>
            </w:pPr>
            <w:r w:rsidRPr="00A75445">
              <w:rPr>
                <w:rFonts w:ascii="Arial" w:eastAsia="新細明體" w:hAnsi="Arial" w:cs="Arial"/>
                <w:b/>
                <w:bCs/>
                <w:sz w:val="20"/>
                <w:szCs w:val="20"/>
                <w:lang w:eastAsia="zh-TW"/>
              </w:rPr>
              <w:t xml:space="preserve">Total </w:t>
            </w:r>
            <w:r w:rsidRPr="00A75445">
              <w:rPr>
                <w:rFonts w:ascii="Arial" w:eastAsia="新細明體" w:hAnsi="Arial" w:cs="Arial"/>
                <w:b/>
                <w:bCs/>
                <w:sz w:val="20"/>
                <w:szCs w:val="20"/>
                <w:lang w:eastAsia="zh-TW"/>
              </w:rPr>
              <w:br/>
              <w:t>(n=10,759)</w:t>
            </w:r>
          </w:p>
        </w:tc>
      </w:tr>
      <w:tr w:rsidR="00A75445" w:rsidRPr="00A75445" w14:paraId="0A051E9B" w14:textId="77777777" w:rsidTr="00A75445">
        <w:trPr>
          <w:trHeight w:val="390"/>
        </w:trPr>
        <w:tc>
          <w:tcPr>
            <w:tcW w:w="481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F773D7" w14:textId="77777777" w:rsidR="00A75445" w:rsidRPr="00A75445" w:rsidRDefault="00A75445" w:rsidP="00A75445">
            <w:pPr>
              <w:rPr>
                <w:rFonts w:ascii="Arial" w:eastAsia="新細明體" w:hAnsi="Arial" w:cs="Arial"/>
                <w:b/>
                <w:bCs/>
                <w:sz w:val="20"/>
                <w:szCs w:val="20"/>
                <w:lang w:eastAsia="zh-TW"/>
              </w:rPr>
            </w:pPr>
            <w:r w:rsidRPr="00A75445">
              <w:rPr>
                <w:rFonts w:ascii="Arial" w:eastAsia="新細明體" w:hAnsi="Arial" w:cs="Arial"/>
                <w:b/>
                <w:bCs/>
                <w:sz w:val="20"/>
                <w:szCs w:val="20"/>
                <w:lang w:eastAsia="zh-TW"/>
              </w:rPr>
              <w:t>Appendicular skeletal muscle mass (ASM)</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23BC8C" w14:textId="77777777" w:rsidR="00A75445" w:rsidRPr="00A75445" w:rsidRDefault="00A75445" w:rsidP="00A75445">
            <w:pPr>
              <w:jc w:val="center"/>
              <w:rPr>
                <w:rFonts w:ascii="Arial" w:eastAsia="新細明體" w:hAnsi="Arial" w:cs="Arial"/>
                <w:sz w:val="20"/>
                <w:szCs w:val="20"/>
                <w:lang w:eastAsia="zh-TW"/>
              </w:rPr>
            </w:pPr>
            <w:r w:rsidRPr="00A75445">
              <w:rPr>
                <w:rFonts w:ascii="Arial" w:eastAsia="新細明體" w:hAnsi="Arial" w:cs="Arial"/>
                <w:sz w:val="20"/>
                <w:szCs w:val="20"/>
                <w:lang w:eastAsia="zh-TW"/>
              </w:rPr>
              <w:t>20.2 ± 4.90</w:t>
            </w:r>
          </w:p>
        </w:tc>
      </w:tr>
      <w:tr w:rsidR="00A75445" w:rsidRPr="00A75445" w14:paraId="0502F16D" w14:textId="77777777" w:rsidTr="00A75445">
        <w:trPr>
          <w:trHeight w:val="390"/>
        </w:trPr>
        <w:tc>
          <w:tcPr>
            <w:tcW w:w="481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73C853" w14:textId="77777777" w:rsidR="00A75445" w:rsidRPr="00A75445" w:rsidRDefault="00A75445" w:rsidP="00A75445">
            <w:pPr>
              <w:rPr>
                <w:rFonts w:ascii="Calibri" w:eastAsia="新細明體" w:hAnsi="Calibri" w:cs="Calibri"/>
                <w:b/>
                <w:bCs/>
                <w:sz w:val="22"/>
                <w:szCs w:val="22"/>
                <w:lang w:eastAsia="zh-TW"/>
              </w:rPr>
            </w:pPr>
            <w:r w:rsidRPr="00A75445">
              <w:rPr>
                <w:rFonts w:ascii="Calibri" w:eastAsia="新細明體" w:hAnsi="Calibri" w:cs="Calibri"/>
                <w:b/>
                <w:bCs/>
                <w:sz w:val="22"/>
                <w:szCs w:val="22"/>
                <w:lang w:eastAsia="zh-TW"/>
              </w:rPr>
              <w:t>ASM (%)</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D8CB7A" w14:textId="77777777" w:rsidR="00A75445" w:rsidRPr="00A75445" w:rsidRDefault="00A75445" w:rsidP="00A75445">
            <w:pPr>
              <w:jc w:val="center"/>
              <w:rPr>
                <w:rFonts w:ascii="Arial" w:eastAsia="新細明體" w:hAnsi="Arial" w:cs="Arial"/>
                <w:sz w:val="20"/>
                <w:szCs w:val="20"/>
                <w:lang w:eastAsia="zh-TW"/>
              </w:rPr>
            </w:pPr>
            <w:r w:rsidRPr="00A75445">
              <w:rPr>
                <w:rFonts w:ascii="Arial" w:eastAsia="新細明體" w:hAnsi="Arial" w:cs="Arial"/>
                <w:sz w:val="20"/>
                <w:szCs w:val="20"/>
                <w:lang w:eastAsia="zh-TW"/>
              </w:rPr>
              <w:t>30.22±3.47</w:t>
            </w:r>
          </w:p>
        </w:tc>
      </w:tr>
      <w:tr w:rsidR="00A75445" w:rsidRPr="00A75445" w14:paraId="63B3EEAC" w14:textId="77777777" w:rsidTr="00A75445">
        <w:trPr>
          <w:trHeight w:val="390"/>
        </w:trPr>
        <w:tc>
          <w:tcPr>
            <w:tcW w:w="481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F482F7" w14:textId="77777777" w:rsidR="00A75445" w:rsidRPr="00A75445" w:rsidRDefault="00A75445" w:rsidP="00A75445">
            <w:pPr>
              <w:rPr>
                <w:rFonts w:ascii="Arial" w:eastAsia="新細明體" w:hAnsi="Arial" w:cs="Arial"/>
                <w:b/>
                <w:bCs/>
                <w:sz w:val="20"/>
                <w:szCs w:val="20"/>
                <w:lang w:eastAsia="zh-TW"/>
              </w:rPr>
            </w:pPr>
            <w:r w:rsidRPr="00A75445">
              <w:rPr>
                <w:rFonts w:ascii="Arial" w:eastAsia="新細明體" w:hAnsi="Arial" w:cs="Arial"/>
                <w:b/>
                <w:bCs/>
                <w:sz w:val="20"/>
                <w:szCs w:val="20"/>
                <w:lang w:eastAsia="zh-TW"/>
              </w:rPr>
              <w:t>Age (years)</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51298E" w14:textId="77777777" w:rsidR="00A75445" w:rsidRPr="00A75445" w:rsidRDefault="00A75445" w:rsidP="00A75445">
            <w:pPr>
              <w:jc w:val="center"/>
              <w:rPr>
                <w:rFonts w:ascii="Arial" w:eastAsia="新細明體" w:hAnsi="Arial" w:cs="Arial"/>
                <w:sz w:val="20"/>
                <w:szCs w:val="20"/>
                <w:lang w:eastAsia="zh-TW"/>
              </w:rPr>
            </w:pPr>
            <w:r w:rsidRPr="00A75445">
              <w:rPr>
                <w:rFonts w:ascii="Arial" w:eastAsia="新細明體" w:hAnsi="Arial" w:cs="Arial"/>
                <w:sz w:val="20"/>
                <w:szCs w:val="20"/>
                <w:lang w:eastAsia="zh-TW"/>
              </w:rPr>
              <w:t>44.1± 9.62</w:t>
            </w:r>
          </w:p>
        </w:tc>
      </w:tr>
      <w:tr w:rsidR="00A75445" w:rsidRPr="00A75445" w14:paraId="778F4800" w14:textId="77777777" w:rsidTr="00A75445">
        <w:trPr>
          <w:trHeight w:val="390"/>
        </w:trPr>
        <w:tc>
          <w:tcPr>
            <w:tcW w:w="481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D8B8B6" w14:textId="77777777" w:rsidR="00A75445" w:rsidRPr="00A75445" w:rsidRDefault="00A75445" w:rsidP="00A75445">
            <w:pPr>
              <w:rPr>
                <w:rFonts w:ascii="Arial" w:eastAsia="新細明體" w:hAnsi="Arial" w:cs="Arial"/>
                <w:b/>
                <w:bCs/>
                <w:sz w:val="20"/>
                <w:szCs w:val="20"/>
                <w:lang w:eastAsia="zh-TW"/>
              </w:rPr>
            </w:pPr>
            <w:r w:rsidRPr="00A75445">
              <w:rPr>
                <w:rFonts w:ascii="Arial" w:eastAsia="新細明體" w:hAnsi="Arial" w:cs="Arial"/>
                <w:b/>
                <w:bCs/>
                <w:sz w:val="20"/>
                <w:szCs w:val="20"/>
                <w:lang w:eastAsia="zh-TW"/>
              </w:rPr>
              <w:t>BMI (kg/m^2)</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331A93" w14:textId="77777777" w:rsidR="00A75445" w:rsidRPr="00A75445" w:rsidRDefault="00A75445" w:rsidP="00A75445">
            <w:pPr>
              <w:jc w:val="center"/>
              <w:rPr>
                <w:rFonts w:ascii="Arial" w:eastAsia="新細明體" w:hAnsi="Arial" w:cs="Arial"/>
                <w:sz w:val="20"/>
                <w:szCs w:val="20"/>
                <w:lang w:eastAsia="zh-TW"/>
              </w:rPr>
            </w:pPr>
            <w:r w:rsidRPr="00A75445">
              <w:rPr>
                <w:rFonts w:ascii="Arial" w:eastAsia="新細明體" w:hAnsi="Arial" w:cs="Arial"/>
                <w:sz w:val="20"/>
                <w:szCs w:val="20"/>
                <w:lang w:eastAsia="zh-TW"/>
              </w:rPr>
              <w:t>23.69± 3.50</w:t>
            </w:r>
          </w:p>
        </w:tc>
      </w:tr>
      <w:tr w:rsidR="00A75445" w:rsidRPr="00A75445" w14:paraId="3A654D66" w14:textId="77777777" w:rsidTr="00A75445">
        <w:trPr>
          <w:trHeight w:val="390"/>
        </w:trPr>
        <w:tc>
          <w:tcPr>
            <w:tcW w:w="481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CA1698" w14:textId="77777777" w:rsidR="00A75445" w:rsidRPr="00A75445" w:rsidRDefault="00A75445" w:rsidP="00A75445">
            <w:pPr>
              <w:rPr>
                <w:rFonts w:ascii="Arial" w:eastAsia="新細明體" w:hAnsi="Arial" w:cs="Arial"/>
                <w:b/>
                <w:bCs/>
                <w:sz w:val="20"/>
                <w:szCs w:val="20"/>
                <w:lang w:eastAsia="zh-TW"/>
              </w:rPr>
            </w:pPr>
            <w:r w:rsidRPr="00A75445">
              <w:rPr>
                <w:rFonts w:ascii="Arial" w:eastAsia="新細明體" w:hAnsi="Arial" w:cs="Arial"/>
                <w:b/>
                <w:bCs/>
                <w:sz w:val="20"/>
                <w:szCs w:val="20"/>
                <w:lang w:eastAsia="zh-TW"/>
              </w:rPr>
              <w:t>Waist circumference (cm)</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D1A2F4" w14:textId="77777777" w:rsidR="00A75445" w:rsidRPr="00A75445" w:rsidRDefault="00A75445" w:rsidP="00A75445">
            <w:pPr>
              <w:jc w:val="center"/>
              <w:rPr>
                <w:rFonts w:ascii="Arial" w:eastAsia="新細明體" w:hAnsi="Arial" w:cs="Arial"/>
                <w:sz w:val="20"/>
                <w:szCs w:val="20"/>
                <w:lang w:eastAsia="zh-TW"/>
              </w:rPr>
            </w:pPr>
            <w:r w:rsidRPr="00A75445">
              <w:rPr>
                <w:rFonts w:ascii="Arial" w:eastAsia="新細明體" w:hAnsi="Arial" w:cs="Arial"/>
                <w:sz w:val="20"/>
                <w:szCs w:val="20"/>
                <w:lang w:eastAsia="zh-TW"/>
              </w:rPr>
              <w:t>83.23± 9.93</w:t>
            </w:r>
          </w:p>
        </w:tc>
      </w:tr>
      <w:tr w:rsidR="00A75445" w:rsidRPr="00A75445" w14:paraId="5581F221" w14:textId="77777777" w:rsidTr="00A75445">
        <w:trPr>
          <w:trHeight w:val="390"/>
        </w:trPr>
        <w:tc>
          <w:tcPr>
            <w:tcW w:w="481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5704F7" w14:textId="77777777" w:rsidR="00A75445" w:rsidRPr="00A75445" w:rsidRDefault="00A75445" w:rsidP="00A75445">
            <w:pPr>
              <w:rPr>
                <w:rFonts w:ascii="Arial" w:eastAsia="新細明體" w:hAnsi="Arial" w:cs="Arial"/>
                <w:b/>
                <w:bCs/>
                <w:sz w:val="20"/>
                <w:szCs w:val="20"/>
                <w:lang w:eastAsia="zh-TW"/>
              </w:rPr>
            </w:pPr>
            <w:r w:rsidRPr="00A75445">
              <w:rPr>
                <w:rFonts w:ascii="Arial" w:eastAsia="新細明體" w:hAnsi="Arial" w:cs="Arial"/>
                <w:b/>
                <w:bCs/>
                <w:sz w:val="20"/>
                <w:szCs w:val="20"/>
                <w:lang w:eastAsia="zh-TW"/>
              </w:rPr>
              <w:t>Female</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665970" w14:textId="77777777" w:rsidR="00A75445" w:rsidRPr="00A75445" w:rsidRDefault="00A75445" w:rsidP="00A75445">
            <w:pPr>
              <w:jc w:val="center"/>
              <w:rPr>
                <w:rFonts w:ascii="Arial" w:eastAsia="新細明體" w:hAnsi="Arial" w:cs="Arial"/>
                <w:sz w:val="20"/>
                <w:szCs w:val="20"/>
                <w:lang w:eastAsia="zh-TW"/>
              </w:rPr>
            </w:pPr>
            <w:r w:rsidRPr="00A75445">
              <w:rPr>
                <w:rFonts w:ascii="Arial" w:eastAsia="新細明體" w:hAnsi="Arial" w:cs="Arial"/>
                <w:sz w:val="20"/>
                <w:szCs w:val="20"/>
                <w:lang w:eastAsia="zh-TW"/>
              </w:rPr>
              <w:t>4846 (45.0)</w:t>
            </w:r>
          </w:p>
        </w:tc>
      </w:tr>
      <w:tr w:rsidR="00A75445" w:rsidRPr="00A75445" w14:paraId="75E6FAB6" w14:textId="77777777" w:rsidTr="00A75445">
        <w:trPr>
          <w:trHeight w:val="390"/>
        </w:trPr>
        <w:tc>
          <w:tcPr>
            <w:tcW w:w="481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32D106" w14:textId="77777777" w:rsidR="00A75445" w:rsidRPr="00A75445" w:rsidRDefault="00A75445" w:rsidP="00A75445">
            <w:pPr>
              <w:rPr>
                <w:rFonts w:ascii="Arial" w:eastAsia="新細明體" w:hAnsi="Arial" w:cs="Arial"/>
                <w:b/>
                <w:bCs/>
                <w:sz w:val="20"/>
                <w:szCs w:val="20"/>
                <w:lang w:eastAsia="zh-TW"/>
              </w:rPr>
            </w:pPr>
            <w:r w:rsidRPr="00A75445">
              <w:rPr>
                <w:rFonts w:ascii="Arial" w:eastAsia="新細明體" w:hAnsi="Arial" w:cs="Arial"/>
                <w:b/>
                <w:bCs/>
                <w:sz w:val="20"/>
                <w:szCs w:val="20"/>
                <w:lang w:eastAsia="zh-TW"/>
              </w:rPr>
              <w:t>Obesity status according to BMI</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89C8BE" w14:textId="77777777" w:rsidR="00A75445" w:rsidRPr="00A75445" w:rsidRDefault="00A75445" w:rsidP="00A75445">
            <w:pPr>
              <w:rPr>
                <w:rFonts w:ascii="Arial" w:eastAsia="新細明體" w:hAnsi="Arial" w:cs="Arial"/>
                <w:b/>
                <w:bCs/>
                <w:sz w:val="20"/>
                <w:szCs w:val="20"/>
                <w:lang w:eastAsia="zh-TW"/>
              </w:rPr>
            </w:pPr>
          </w:p>
        </w:tc>
      </w:tr>
      <w:tr w:rsidR="00A75445" w:rsidRPr="00A75445" w14:paraId="313B2983" w14:textId="77777777" w:rsidTr="00A75445">
        <w:trPr>
          <w:trHeight w:val="390"/>
        </w:trPr>
        <w:tc>
          <w:tcPr>
            <w:tcW w:w="481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2D0237" w14:textId="77777777" w:rsidR="00A75445" w:rsidRPr="00A75445" w:rsidRDefault="00A75445" w:rsidP="00A75445">
            <w:pPr>
              <w:jc w:val="right"/>
              <w:rPr>
                <w:rFonts w:ascii="Arial" w:eastAsia="新細明體" w:hAnsi="Arial" w:cs="Arial"/>
                <w:b/>
                <w:bCs/>
                <w:sz w:val="20"/>
                <w:szCs w:val="20"/>
                <w:lang w:eastAsia="zh-TW"/>
              </w:rPr>
            </w:pPr>
            <w:r w:rsidRPr="00A75445">
              <w:rPr>
                <w:rFonts w:ascii="Arial" w:eastAsia="新細明體" w:hAnsi="Arial" w:cs="Arial"/>
                <w:b/>
                <w:bCs/>
                <w:sz w:val="20"/>
                <w:szCs w:val="20"/>
                <w:lang w:eastAsia="zh-TW"/>
              </w:rPr>
              <w:t>Under weight (BMI &lt;18.5 kg/m^2)</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BAD99E" w14:textId="77777777" w:rsidR="00A75445" w:rsidRPr="00A75445" w:rsidRDefault="00A75445" w:rsidP="00A75445">
            <w:pPr>
              <w:jc w:val="center"/>
              <w:rPr>
                <w:rFonts w:ascii="Arial" w:eastAsia="新細明體" w:hAnsi="Arial" w:cs="Arial"/>
                <w:sz w:val="20"/>
                <w:szCs w:val="20"/>
                <w:lang w:eastAsia="zh-TW"/>
              </w:rPr>
            </w:pPr>
            <w:r w:rsidRPr="00A75445">
              <w:rPr>
                <w:rFonts w:ascii="Arial" w:eastAsia="新細明體" w:hAnsi="Arial" w:cs="Arial"/>
                <w:sz w:val="20"/>
                <w:szCs w:val="20"/>
                <w:lang w:eastAsia="zh-TW"/>
              </w:rPr>
              <w:t>444 (4.1)</w:t>
            </w:r>
          </w:p>
        </w:tc>
      </w:tr>
      <w:tr w:rsidR="00A75445" w:rsidRPr="00A75445" w14:paraId="55DC9785" w14:textId="77777777" w:rsidTr="00A75445">
        <w:trPr>
          <w:trHeight w:val="390"/>
        </w:trPr>
        <w:tc>
          <w:tcPr>
            <w:tcW w:w="481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B45963" w14:textId="77777777" w:rsidR="00A75445" w:rsidRPr="00A75445" w:rsidRDefault="00A75445" w:rsidP="00A75445">
            <w:pPr>
              <w:jc w:val="right"/>
              <w:rPr>
                <w:rFonts w:ascii="Arial" w:eastAsia="新細明體" w:hAnsi="Arial" w:cs="Arial"/>
                <w:b/>
                <w:bCs/>
                <w:sz w:val="20"/>
                <w:szCs w:val="20"/>
                <w:lang w:eastAsia="zh-TW"/>
              </w:rPr>
            </w:pPr>
            <w:r w:rsidRPr="00A75445">
              <w:rPr>
                <w:rFonts w:ascii="Arial" w:eastAsia="新細明體" w:hAnsi="Arial" w:cs="Arial"/>
                <w:b/>
                <w:bCs/>
                <w:sz w:val="20"/>
                <w:szCs w:val="20"/>
                <w:lang w:eastAsia="zh-TW"/>
              </w:rPr>
              <w:t>Normal (BMI 18.5-22.9 kg/m^2)</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D5F9CA" w14:textId="77777777" w:rsidR="00A75445" w:rsidRPr="00A75445" w:rsidRDefault="00A75445" w:rsidP="00A75445">
            <w:pPr>
              <w:jc w:val="center"/>
              <w:rPr>
                <w:rFonts w:ascii="Arial" w:eastAsia="新細明體" w:hAnsi="Arial" w:cs="Arial"/>
                <w:sz w:val="20"/>
                <w:szCs w:val="20"/>
                <w:lang w:eastAsia="zh-TW"/>
              </w:rPr>
            </w:pPr>
            <w:r w:rsidRPr="00A75445">
              <w:rPr>
                <w:rFonts w:ascii="Arial" w:eastAsia="新細明體" w:hAnsi="Arial" w:cs="Arial"/>
                <w:sz w:val="20"/>
                <w:szCs w:val="20"/>
                <w:lang w:eastAsia="zh-TW"/>
              </w:rPr>
              <w:t>4469 (41.5)</w:t>
            </w:r>
          </w:p>
        </w:tc>
      </w:tr>
      <w:tr w:rsidR="00A75445" w:rsidRPr="00A75445" w14:paraId="3F6171A3" w14:textId="77777777" w:rsidTr="00A75445">
        <w:trPr>
          <w:trHeight w:val="390"/>
        </w:trPr>
        <w:tc>
          <w:tcPr>
            <w:tcW w:w="481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AD9AB1" w14:textId="77777777" w:rsidR="00A75445" w:rsidRPr="00A75445" w:rsidRDefault="00A75445" w:rsidP="00A75445">
            <w:pPr>
              <w:jc w:val="right"/>
              <w:rPr>
                <w:rFonts w:ascii="Arial" w:eastAsia="新細明體" w:hAnsi="Arial" w:cs="Arial"/>
                <w:b/>
                <w:bCs/>
                <w:sz w:val="20"/>
                <w:szCs w:val="20"/>
                <w:lang w:eastAsia="zh-TW"/>
              </w:rPr>
            </w:pPr>
            <w:r w:rsidRPr="00A75445">
              <w:rPr>
                <w:rFonts w:ascii="Arial" w:eastAsia="新細明體" w:hAnsi="Arial" w:cs="Arial"/>
                <w:b/>
                <w:bCs/>
                <w:sz w:val="20"/>
                <w:szCs w:val="20"/>
                <w:lang w:eastAsia="zh-TW"/>
              </w:rPr>
              <w:t>Overweight (BMI 23-24.9 kg/m^2)</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1435D1" w14:textId="77777777" w:rsidR="00A75445" w:rsidRPr="00A75445" w:rsidRDefault="00A75445" w:rsidP="00A75445">
            <w:pPr>
              <w:jc w:val="center"/>
              <w:rPr>
                <w:rFonts w:ascii="Arial" w:eastAsia="新細明體" w:hAnsi="Arial" w:cs="Arial"/>
                <w:sz w:val="20"/>
                <w:szCs w:val="20"/>
                <w:lang w:eastAsia="zh-TW"/>
              </w:rPr>
            </w:pPr>
            <w:r w:rsidRPr="00A75445">
              <w:rPr>
                <w:rFonts w:ascii="Arial" w:eastAsia="新細明體" w:hAnsi="Arial" w:cs="Arial"/>
                <w:sz w:val="20"/>
                <w:szCs w:val="20"/>
                <w:lang w:eastAsia="zh-TW"/>
              </w:rPr>
              <w:t>2334 (21.7)</w:t>
            </w:r>
          </w:p>
        </w:tc>
      </w:tr>
      <w:tr w:rsidR="00A75445" w:rsidRPr="00A75445" w14:paraId="5BF9D89B" w14:textId="77777777" w:rsidTr="00A75445">
        <w:trPr>
          <w:trHeight w:val="390"/>
        </w:trPr>
        <w:tc>
          <w:tcPr>
            <w:tcW w:w="481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514479" w14:textId="77777777" w:rsidR="00A75445" w:rsidRPr="00A75445" w:rsidRDefault="00A75445" w:rsidP="00A75445">
            <w:pPr>
              <w:jc w:val="right"/>
              <w:rPr>
                <w:rFonts w:ascii="Arial" w:eastAsia="新細明體" w:hAnsi="Arial" w:cs="Arial"/>
                <w:b/>
                <w:bCs/>
                <w:sz w:val="20"/>
                <w:szCs w:val="20"/>
                <w:lang w:eastAsia="zh-TW"/>
              </w:rPr>
            </w:pPr>
            <w:r w:rsidRPr="00A75445">
              <w:rPr>
                <w:rFonts w:ascii="Arial" w:eastAsia="新細明體" w:hAnsi="Arial" w:cs="Arial"/>
                <w:b/>
                <w:bCs/>
                <w:sz w:val="20"/>
                <w:szCs w:val="20"/>
                <w:lang w:eastAsia="zh-TW"/>
              </w:rPr>
              <w:t>Obesity (BMI &gt;=25 kg/m^2)</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BC89A9" w14:textId="77777777" w:rsidR="00A75445" w:rsidRPr="00A75445" w:rsidRDefault="00A75445" w:rsidP="00A75445">
            <w:pPr>
              <w:ind w:left="336" w:hangingChars="168" w:hanging="336"/>
              <w:jc w:val="center"/>
              <w:rPr>
                <w:rFonts w:ascii="Arial" w:eastAsia="新細明體" w:hAnsi="Arial" w:cs="Arial"/>
                <w:sz w:val="20"/>
                <w:szCs w:val="20"/>
                <w:lang w:eastAsia="zh-TW"/>
              </w:rPr>
            </w:pPr>
            <w:r w:rsidRPr="00A75445">
              <w:rPr>
                <w:rFonts w:ascii="Arial" w:eastAsia="新細明體" w:hAnsi="Arial" w:cs="Arial"/>
                <w:sz w:val="20"/>
                <w:szCs w:val="20"/>
                <w:lang w:eastAsia="zh-TW"/>
              </w:rPr>
              <w:t>3512 (32.6)</w:t>
            </w:r>
          </w:p>
        </w:tc>
      </w:tr>
      <w:tr w:rsidR="00A75445" w:rsidRPr="00A75445" w14:paraId="78867DA3" w14:textId="77777777" w:rsidTr="00A75445">
        <w:trPr>
          <w:trHeight w:val="390"/>
        </w:trPr>
        <w:tc>
          <w:tcPr>
            <w:tcW w:w="481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F7A5B4" w14:textId="77777777" w:rsidR="00A75445" w:rsidRPr="00A75445" w:rsidRDefault="00A75445" w:rsidP="00A75445">
            <w:pPr>
              <w:rPr>
                <w:rFonts w:ascii="Arial" w:eastAsia="新細明體" w:hAnsi="Arial" w:cs="Arial"/>
                <w:b/>
                <w:bCs/>
                <w:sz w:val="20"/>
                <w:szCs w:val="20"/>
                <w:lang w:eastAsia="zh-TW"/>
              </w:rPr>
            </w:pPr>
            <w:r w:rsidRPr="00A75445">
              <w:rPr>
                <w:rFonts w:ascii="Arial" w:eastAsia="新細明體" w:hAnsi="Arial" w:cs="Arial"/>
                <w:b/>
                <w:bCs/>
                <w:sz w:val="20"/>
                <w:szCs w:val="20"/>
                <w:lang w:eastAsia="zh-TW"/>
              </w:rPr>
              <w:t>Dyslipidemia</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9C9ED8" w14:textId="77777777" w:rsidR="00A75445" w:rsidRPr="00A75445" w:rsidRDefault="00A75445" w:rsidP="00A75445">
            <w:pPr>
              <w:jc w:val="center"/>
              <w:rPr>
                <w:rFonts w:ascii="Arial" w:eastAsia="新細明體" w:hAnsi="Arial" w:cs="Arial"/>
                <w:sz w:val="20"/>
                <w:szCs w:val="20"/>
                <w:lang w:eastAsia="zh-TW"/>
              </w:rPr>
            </w:pPr>
            <w:r w:rsidRPr="00A75445">
              <w:rPr>
                <w:rFonts w:ascii="Arial" w:eastAsia="新細明體" w:hAnsi="Arial" w:cs="Arial"/>
                <w:sz w:val="20"/>
                <w:szCs w:val="20"/>
                <w:lang w:eastAsia="zh-TW"/>
              </w:rPr>
              <w:t>3682 (34.2)</w:t>
            </w:r>
          </w:p>
        </w:tc>
      </w:tr>
      <w:tr w:rsidR="00A75445" w:rsidRPr="00A75445" w14:paraId="6DA6327A" w14:textId="77777777" w:rsidTr="00A75445">
        <w:trPr>
          <w:trHeight w:val="390"/>
        </w:trPr>
        <w:tc>
          <w:tcPr>
            <w:tcW w:w="481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8EC6C1" w14:textId="77777777" w:rsidR="00A75445" w:rsidRPr="00A75445" w:rsidRDefault="00A75445" w:rsidP="00A75445">
            <w:pPr>
              <w:rPr>
                <w:rFonts w:ascii="Arial" w:eastAsia="新細明體" w:hAnsi="Arial" w:cs="Arial"/>
                <w:b/>
                <w:bCs/>
                <w:sz w:val="20"/>
                <w:szCs w:val="20"/>
                <w:lang w:eastAsia="zh-TW"/>
              </w:rPr>
            </w:pPr>
            <w:r w:rsidRPr="00A75445">
              <w:rPr>
                <w:rFonts w:ascii="Arial" w:eastAsia="新細明體" w:hAnsi="Arial" w:cs="Arial"/>
                <w:b/>
                <w:bCs/>
                <w:sz w:val="20"/>
                <w:szCs w:val="20"/>
                <w:lang w:eastAsia="zh-TW"/>
              </w:rPr>
              <w:t>Diabetes</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6BD3B9" w14:textId="77777777" w:rsidR="00A75445" w:rsidRPr="00A75445" w:rsidRDefault="00A75445" w:rsidP="00A75445">
            <w:pPr>
              <w:jc w:val="center"/>
              <w:rPr>
                <w:rFonts w:ascii="Arial" w:eastAsia="新細明體" w:hAnsi="Arial" w:cs="Arial"/>
                <w:sz w:val="20"/>
                <w:szCs w:val="20"/>
                <w:lang w:eastAsia="zh-TW"/>
              </w:rPr>
            </w:pPr>
            <w:r w:rsidRPr="00A75445">
              <w:rPr>
                <w:rFonts w:ascii="Arial" w:eastAsia="新細明體" w:hAnsi="Arial" w:cs="Arial"/>
                <w:sz w:val="20"/>
                <w:szCs w:val="20"/>
                <w:lang w:eastAsia="zh-TW"/>
              </w:rPr>
              <w:t>651 (6.1)</w:t>
            </w:r>
          </w:p>
        </w:tc>
      </w:tr>
      <w:tr w:rsidR="00A75445" w:rsidRPr="00A75445" w14:paraId="7290F939" w14:textId="77777777" w:rsidTr="00A75445">
        <w:trPr>
          <w:trHeight w:val="390"/>
        </w:trPr>
        <w:tc>
          <w:tcPr>
            <w:tcW w:w="481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EB5D18" w14:textId="4F6A158C" w:rsidR="00A75445" w:rsidRPr="00A75445" w:rsidRDefault="00A75445" w:rsidP="00A75445">
            <w:pPr>
              <w:rPr>
                <w:rFonts w:ascii="Arial" w:eastAsia="新細明體" w:hAnsi="Arial" w:cs="Arial"/>
                <w:b/>
                <w:bCs/>
                <w:sz w:val="20"/>
                <w:szCs w:val="20"/>
                <w:lang w:eastAsia="zh-TW"/>
              </w:rPr>
            </w:pPr>
            <w:r w:rsidRPr="00A75445">
              <w:rPr>
                <w:rFonts w:ascii="Arial" w:eastAsia="新細明體" w:hAnsi="Arial" w:cs="Arial"/>
                <w:b/>
                <w:bCs/>
                <w:sz w:val="20"/>
                <w:szCs w:val="20"/>
                <w:lang w:eastAsia="zh-TW"/>
              </w:rPr>
              <w:t>History of smoking</w:t>
            </w:r>
            <w:r w:rsidR="00694969">
              <w:rPr>
                <w:rFonts w:ascii="Arial" w:eastAsia="新細明體" w:hAnsi="Arial" w:cs="Arial"/>
                <w:b/>
                <w:bCs/>
                <w:sz w:val="20"/>
                <w:szCs w:val="20"/>
                <w:lang w:eastAsia="zh-TW"/>
              </w:rPr>
              <w:t xml:space="preserve"> (Yes vs. no)</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5F356A" w14:textId="77777777" w:rsidR="00A75445" w:rsidRPr="00A75445" w:rsidRDefault="00A75445" w:rsidP="00A75445">
            <w:pPr>
              <w:jc w:val="center"/>
              <w:rPr>
                <w:rFonts w:ascii="Arial" w:eastAsia="新細明體" w:hAnsi="Arial" w:cs="Arial"/>
                <w:sz w:val="20"/>
                <w:szCs w:val="20"/>
                <w:lang w:eastAsia="zh-TW"/>
              </w:rPr>
            </w:pPr>
            <w:r w:rsidRPr="00A75445">
              <w:rPr>
                <w:rFonts w:ascii="Arial" w:eastAsia="新細明體" w:hAnsi="Arial" w:cs="Arial"/>
                <w:sz w:val="20"/>
                <w:szCs w:val="20"/>
                <w:lang w:eastAsia="zh-TW"/>
              </w:rPr>
              <w:t>2064 (19.2)</w:t>
            </w:r>
          </w:p>
        </w:tc>
      </w:tr>
      <w:tr w:rsidR="00A75445" w:rsidRPr="00A75445" w14:paraId="1FE85B0F" w14:textId="77777777" w:rsidTr="00A75445">
        <w:trPr>
          <w:trHeight w:val="390"/>
        </w:trPr>
        <w:tc>
          <w:tcPr>
            <w:tcW w:w="481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B5F81E" w14:textId="742C8D70" w:rsidR="00A75445" w:rsidRPr="00A75445" w:rsidRDefault="00A75445" w:rsidP="00A75445">
            <w:pPr>
              <w:rPr>
                <w:rFonts w:ascii="Arial" w:eastAsia="新細明體" w:hAnsi="Arial" w:cs="Arial"/>
                <w:b/>
                <w:bCs/>
                <w:sz w:val="20"/>
                <w:szCs w:val="20"/>
                <w:lang w:eastAsia="zh-TW"/>
              </w:rPr>
            </w:pPr>
            <w:r w:rsidRPr="00A75445">
              <w:rPr>
                <w:rFonts w:ascii="Arial" w:eastAsia="新細明體" w:hAnsi="Arial" w:cs="Arial"/>
                <w:b/>
                <w:bCs/>
                <w:sz w:val="20"/>
                <w:szCs w:val="20"/>
                <w:lang w:eastAsia="zh-TW"/>
              </w:rPr>
              <w:t>History of alcohol intake</w:t>
            </w:r>
            <w:r w:rsidR="00694969">
              <w:rPr>
                <w:rFonts w:ascii="Arial" w:eastAsia="新細明體" w:hAnsi="Arial" w:cs="Arial"/>
                <w:b/>
                <w:bCs/>
                <w:sz w:val="20"/>
                <w:szCs w:val="20"/>
                <w:lang w:eastAsia="zh-TW"/>
              </w:rPr>
              <w:t xml:space="preserve"> (Yes vs. no)</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FC6CD7" w14:textId="77777777" w:rsidR="00A75445" w:rsidRPr="00A75445" w:rsidRDefault="00A75445" w:rsidP="00A75445">
            <w:pPr>
              <w:jc w:val="center"/>
              <w:rPr>
                <w:rFonts w:ascii="Arial" w:eastAsia="新細明體" w:hAnsi="Arial" w:cs="Arial"/>
                <w:sz w:val="20"/>
                <w:szCs w:val="20"/>
                <w:lang w:eastAsia="zh-TW"/>
              </w:rPr>
            </w:pPr>
            <w:r w:rsidRPr="00A75445">
              <w:rPr>
                <w:rFonts w:ascii="Arial" w:eastAsia="新細明體" w:hAnsi="Arial" w:cs="Arial"/>
                <w:sz w:val="20"/>
                <w:szCs w:val="20"/>
                <w:lang w:eastAsia="zh-TW"/>
              </w:rPr>
              <w:t>6098 (56.7)</w:t>
            </w:r>
          </w:p>
        </w:tc>
      </w:tr>
      <w:tr w:rsidR="00A75445" w:rsidRPr="00A75445" w14:paraId="4A3CA4CF" w14:textId="77777777" w:rsidTr="00A75445">
        <w:trPr>
          <w:trHeight w:val="390"/>
        </w:trPr>
        <w:tc>
          <w:tcPr>
            <w:tcW w:w="4812"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2FFA17F5" w14:textId="77777777" w:rsidR="00A75445" w:rsidRPr="00A75445" w:rsidRDefault="00A75445" w:rsidP="00A75445">
            <w:pPr>
              <w:rPr>
                <w:rFonts w:ascii="Arial" w:eastAsia="新細明體" w:hAnsi="Arial" w:cs="Arial"/>
                <w:b/>
                <w:bCs/>
                <w:sz w:val="20"/>
                <w:szCs w:val="20"/>
                <w:lang w:eastAsia="zh-TW"/>
              </w:rPr>
            </w:pPr>
            <w:r w:rsidRPr="00A75445">
              <w:rPr>
                <w:rFonts w:ascii="Arial" w:eastAsia="新細明體" w:hAnsi="Arial" w:cs="Arial"/>
                <w:b/>
                <w:bCs/>
                <w:sz w:val="20"/>
                <w:szCs w:val="20"/>
                <w:lang w:eastAsia="zh-TW"/>
              </w:rPr>
              <w:t>Hypertension</w:t>
            </w:r>
          </w:p>
        </w:tc>
        <w:tc>
          <w:tcPr>
            <w:tcW w:w="2410"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2875CCC0" w14:textId="77777777" w:rsidR="00A75445" w:rsidRPr="00A75445" w:rsidRDefault="00A75445" w:rsidP="00A75445">
            <w:pPr>
              <w:jc w:val="center"/>
              <w:rPr>
                <w:rFonts w:ascii="Arial" w:eastAsia="新細明體" w:hAnsi="Arial" w:cs="Arial"/>
                <w:sz w:val="20"/>
                <w:szCs w:val="20"/>
                <w:lang w:eastAsia="zh-TW"/>
              </w:rPr>
            </w:pPr>
            <w:r w:rsidRPr="00A75445">
              <w:rPr>
                <w:rFonts w:ascii="Arial" w:eastAsia="新細明體" w:hAnsi="Arial" w:cs="Arial"/>
                <w:sz w:val="20"/>
                <w:szCs w:val="20"/>
                <w:lang w:eastAsia="zh-TW"/>
              </w:rPr>
              <w:t xml:space="preserve">2826 (26.3) </w:t>
            </w:r>
          </w:p>
        </w:tc>
      </w:tr>
      <w:tr w:rsidR="00A75445" w:rsidRPr="00A75445" w14:paraId="02C09FEA" w14:textId="77777777" w:rsidTr="00A75445">
        <w:trPr>
          <w:trHeight w:val="390"/>
        </w:trPr>
        <w:tc>
          <w:tcPr>
            <w:tcW w:w="481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8B88D8" w14:textId="77777777" w:rsidR="00A75445" w:rsidRPr="00A75445" w:rsidRDefault="00A75445" w:rsidP="00A75445">
            <w:pPr>
              <w:rPr>
                <w:rFonts w:ascii="Arial" w:eastAsia="新細明體" w:hAnsi="Arial" w:cs="Arial"/>
                <w:sz w:val="20"/>
                <w:szCs w:val="20"/>
                <w:lang w:eastAsia="zh-TW"/>
              </w:rPr>
            </w:pPr>
            <w:r w:rsidRPr="00A75445">
              <w:rPr>
                <w:rFonts w:ascii="Arial" w:eastAsia="新細明體" w:hAnsi="Arial" w:cs="Arial"/>
                <w:sz w:val="20"/>
                <w:szCs w:val="20"/>
                <w:lang w:eastAsia="zh-TW"/>
              </w:rPr>
              <w:t>Data are presented as mean ± SD or number (%)</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0D92AB" w14:textId="77777777" w:rsidR="00A75445" w:rsidRPr="00A75445" w:rsidRDefault="00A75445" w:rsidP="00A75445">
            <w:pPr>
              <w:rPr>
                <w:rFonts w:ascii="Arial" w:eastAsia="新細明體" w:hAnsi="Arial" w:cs="Arial"/>
                <w:sz w:val="20"/>
                <w:szCs w:val="20"/>
                <w:lang w:eastAsia="zh-TW"/>
              </w:rPr>
            </w:pPr>
          </w:p>
        </w:tc>
      </w:tr>
    </w:tbl>
    <w:p w14:paraId="2C34F496" w14:textId="0697EC59" w:rsidR="00A75445" w:rsidRDefault="00A75445" w:rsidP="00AF44FE">
      <w:pPr>
        <w:autoSpaceDE w:val="0"/>
        <w:autoSpaceDN w:val="0"/>
        <w:adjustRightInd w:val="0"/>
        <w:ind w:left="640" w:hanging="640"/>
        <w:rPr>
          <w:rFonts w:ascii="Arial" w:hAnsi="Arial" w:cs="Arial"/>
          <w:sz w:val="22"/>
          <w:szCs w:val="22"/>
        </w:rPr>
      </w:pPr>
    </w:p>
    <w:p w14:paraId="0D52BB3F" w14:textId="31A46755" w:rsidR="00D855AE" w:rsidRDefault="00D855AE">
      <w:pPr>
        <w:rPr>
          <w:rFonts w:ascii="Arial" w:hAnsi="Arial" w:cs="Arial"/>
          <w:sz w:val="22"/>
          <w:szCs w:val="22"/>
        </w:rPr>
      </w:pPr>
      <w:r>
        <w:rPr>
          <w:rFonts w:ascii="Arial" w:hAnsi="Arial" w:cs="Arial"/>
          <w:sz w:val="22"/>
          <w:szCs w:val="22"/>
        </w:rPr>
        <w:br w:type="page"/>
      </w:r>
    </w:p>
    <w:p w14:paraId="0B1CEE77" w14:textId="6FF502C0" w:rsidR="00A75445" w:rsidRDefault="00A75445" w:rsidP="00AF44FE">
      <w:pPr>
        <w:autoSpaceDE w:val="0"/>
        <w:autoSpaceDN w:val="0"/>
        <w:adjustRightInd w:val="0"/>
        <w:ind w:left="640" w:hanging="640"/>
        <w:rPr>
          <w:rFonts w:ascii="Arial" w:hAnsi="Arial" w:cs="Arial"/>
          <w:sz w:val="22"/>
          <w:szCs w:val="22"/>
        </w:rPr>
      </w:pPr>
    </w:p>
    <w:tbl>
      <w:tblPr>
        <w:tblW w:w="9344" w:type="dxa"/>
        <w:tblCellMar>
          <w:left w:w="0" w:type="dxa"/>
          <w:right w:w="0" w:type="dxa"/>
        </w:tblCellMar>
        <w:tblLook w:val="04A0" w:firstRow="1" w:lastRow="0" w:firstColumn="1" w:lastColumn="0" w:noHBand="0" w:noVBand="1"/>
      </w:tblPr>
      <w:tblGrid>
        <w:gridCol w:w="2527"/>
        <w:gridCol w:w="1455"/>
        <w:gridCol w:w="2940"/>
        <w:gridCol w:w="2422"/>
      </w:tblGrid>
      <w:tr w:rsidR="00D855AE" w:rsidRPr="00D855AE" w14:paraId="005BB518" w14:textId="77777777" w:rsidTr="00D855AE">
        <w:trPr>
          <w:trHeight w:val="300"/>
        </w:trPr>
        <w:tc>
          <w:tcPr>
            <w:tcW w:w="0" w:type="auto"/>
            <w:gridSpan w:val="4"/>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04A9C79E" w14:textId="77777777" w:rsidR="00D855AE" w:rsidRPr="00D855AE" w:rsidRDefault="00D855AE" w:rsidP="00D855AE">
            <w:pPr>
              <w:rPr>
                <w:rFonts w:ascii="Arial" w:eastAsia="新細明體" w:hAnsi="Arial" w:cs="Arial"/>
                <w:b/>
                <w:bCs/>
                <w:sz w:val="22"/>
                <w:szCs w:val="22"/>
                <w:lang w:eastAsia="zh-TW"/>
              </w:rPr>
            </w:pPr>
            <w:r w:rsidRPr="00D855AE">
              <w:rPr>
                <w:rFonts w:ascii="Arial" w:eastAsia="新細明體" w:hAnsi="Arial" w:cs="Arial"/>
                <w:b/>
                <w:bCs/>
                <w:sz w:val="22"/>
                <w:szCs w:val="22"/>
                <w:lang w:eastAsia="zh-TW"/>
              </w:rPr>
              <w:t>Table 2a. Association between appendicular skeletal mass per body weight (%) and hypertension</w:t>
            </w:r>
          </w:p>
        </w:tc>
      </w:tr>
      <w:tr w:rsidR="00D855AE" w:rsidRPr="00D855AE" w14:paraId="34A423E1" w14:textId="77777777" w:rsidTr="00D855AE">
        <w:trPr>
          <w:trHeight w:val="300"/>
        </w:trPr>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593F1223" w14:textId="77777777" w:rsidR="00D855AE" w:rsidRPr="00D855AE" w:rsidRDefault="00D855AE" w:rsidP="00D855AE">
            <w:pPr>
              <w:rPr>
                <w:rFonts w:ascii="Arial" w:eastAsia="新細明體" w:hAnsi="Arial" w:cs="Arial"/>
                <w:b/>
                <w:bCs/>
                <w:sz w:val="22"/>
                <w:szCs w:val="22"/>
                <w:lang w:eastAsia="zh-TW"/>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63A7C04D" w14:textId="77777777" w:rsidR="00D855AE" w:rsidRPr="00D855AE" w:rsidRDefault="00D855AE" w:rsidP="00D855AE">
            <w:pPr>
              <w:jc w:val="center"/>
              <w:rPr>
                <w:rFonts w:ascii="Arial" w:eastAsia="新細明體" w:hAnsi="Arial" w:cs="Arial"/>
                <w:b/>
                <w:bCs/>
                <w:sz w:val="22"/>
                <w:szCs w:val="22"/>
                <w:lang w:eastAsia="zh-TW"/>
              </w:rPr>
            </w:pPr>
            <w:r w:rsidRPr="00D855AE">
              <w:rPr>
                <w:rFonts w:ascii="Arial" w:eastAsia="新細明體" w:hAnsi="Arial" w:cs="Arial"/>
                <w:b/>
                <w:bCs/>
                <w:sz w:val="22"/>
                <w:szCs w:val="22"/>
                <w:lang w:eastAsia="zh-TW"/>
              </w:rPr>
              <w:t>OR</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35892E4D" w14:textId="77777777" w:rsidR="00D855AE" w:rsidRPr="00D855AE" w:rsidRDefault="00D855AE" w:rsidP="00D855AE">
            <w:pPr>
              <w:jc w:val="center"/>
              <w:rPr>
                <w:rFonts w:ascii="Arial" w:eastAsia="新細明體" w:hAnsi="Arial" w:cs="Arial"/>
                <w:b/>
                <w:bCs/>
                <w:sz w:val="22"/>
                <w:szCs w:val="22"/>
                <w:lang w:eastAsia="zh-TW"/>
              </w:rPr>
            </w:pPr>
            <w:r w:rsidRPr="00D855AE">
              <w:rPr>
                <w:rFonts w:ascii="Arial" w:eastAsia="新細明體" w:hAnsi="Arial" w:cs="Arial"/>
                <w:b/>
                <w:bCs/>
                <w:sz w:val="22"/>
                <w:szCs w:val="22"/>
                <w:lang w:eastAsia="zh-TW"/>
              </w:rPr>
              <w:t>95% CI</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6AC22220" w14:textId="77777777" w:rsidR="00D855AE" w:rsidRPr="00D855AE" w:rsidRDefault="00D855AE" w:rsidP="00D855AE">
            <w:pPr>
              <w:jc w:val="center"/>
              <w:rPr>
                <w:rFonts w:ascii="Arial" w:eastAsia="新細明體" w:hAnsi="Arial" w:cs="Arial"/>
                <w:b/>
                <w:bCs/>
                <w:sz w:val="22"/>
                <w:szCs w:val="22"/>
                <w:lang w:eastAsia="zh-TW"/>
              </w:rPr>
            </w:pPr>
            <w:r w:rsidRPr="00D855AE">
              <w:rPr>
                <w:rFonts w:ascii="Arial" w:eastAsia="新細明體" w:hAnsi="Arial" w:cs="Arial"/>
                <w:b/>
                <w:bCs/>
                <w:sz w:val="22"/>
                <w:szCs w:val="22"/>
                <w:lang w:eastAsia="zh-TW"/>
              </w:rPr>
              <w:t>E-value</w:t>
            </w:r>
          </w:p>
        </w:tc>
      </w:tr>
      <w:tr w:rsidR="00D855AE" w:rsidRPr="00D855AE" w14:paraId="54CFDEB4" w14:textId="77777777" w:rsidTr="00D855A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014B0D" w14:textId="77777777" w:rsidR="00D855AE" w:rsidRPr="00D855AE" w:rsidRDefault="00D855AE" w:rsidP="00D855AE">
            <w:pPr>
              <w:rPr>
                <w:rFonts w:ascii="Arial" w:eastAsia="新細明體" w:hAnsi="Arial" w:cs="Arial"/>
                <w:b/>
                <w:bCs/>
                <w:sz w:val="22"/>
                <w:szCs w:val="22"/>
                <w:lang w:eastAsia="zh-TW"/>
              </w:rPr>
            </w:pPr>
            <w:r w:rsidRPr="00D855AE">
              <w:rPr>
                <w:rFonts w:ascii="Arial" w:eastAsia="新細明體" w:hAnsi="Arial" w:cs="Arial"/>
                <w:b/>
                <w:bCs/>
                <w:sz w:val="22"/>
                <w:szCs w:val="22"/>
                <w:lang w:eastAsia="zh-TW"/>
              </w:rPr>
              <w:t>Crude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A9032C" w14:textId="77777777" w:rsidR="00D855AE" w:rsidRPr="00D855AE" w:rsidRDefault="00D855AE" w:rsidP="00D855AE">
            <w:pPr>
              <w:jc w:val="center"/>
              <w:rPr>
                <w:rFonts w:ascii="Arial" w:eastAsia="新細明體" w:hAnsi="Arial" w:cs="Arial"/>
                <w:sz w:val="22"/>
                <w:szCs w:val="22"/>
                <w:lang w:eastAsia="zh-TW"/>
              </w:rPr>
            </w:pPr>
            <w:r w:rsidRPr="00D855AE">
              <w:rPr>
                <w:rFonts w:ascii="Arial" w:eastAsia="新細明體" w:hAnsi="Arial" w:cs="Arial"/>
                <w:sz w:val="22"/>
                <w:szCs w:val="22"/>
                <w:lang w:eastAsia="zh-TW"/>
              </w:rPr>
              <w:t>1.00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EB7378" w14:textId="77777777" w:rsidR="00D855AE" w:rsidRPr="00D855AE" w:rsidRDefault="00D855AE" w:rsidP="00D855AE">
            <w:pPr>
              <w:jc w:val="center"/>
              <w:rPr>
                <w:rFonts w:ascii="Arial" w:eastAsia="新細明體" w:hAnsi="Arial" w:cs="Arial"/>
                <w:sz w:val="22"/>
                <w:szCs w:val="22"/>
                <w:lang w:eastAsia="zh-TW"/>
              </w:rPr>
            </w:pPr>
            <w:r w:rsidRPr="00D855AE">
              <w:rPr>
                <w:rFonts w:ascii="Arial" w:eastAsia="新細明體" w:hAnsi="Arial" w:cs="Arial"/>
                <w:sz w:val="22"/>
                <w:szCs w:val="22"/>
                <w:lang w:eastAsia="zh-TW"/>
              </w:rPr>
              <w:t>0.99, 1.01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B99D2E" w14:textId="77777777" w:rsidR="00D855AE" w:rsidRPr="00D855AE" w:rsidRDefault="00D855AE" w:rsidP="00D855AE">
            <w:pPr>
              <w:jc w:val="center"/>
              <w:rPr>
                <w:rFonts w:ascii="Arial" w:eastAsia="新細明體" w:hAnsi="Arial" w:cs="Arial"/>
                <w:sz w:val="22"/>
                <w:szCs w:val="22"/>
                <w:lang w:eastAsia="zh-TW"/>
              </w:rPr>
            </w:pPr>
            <w:r w:rsidRPr="00D855AE">
              <w:rPr>
                <w:rFonts w:ascii="Arial" w:eastAsia="新細明體" w:hAnsi="Arial" w:cs="Arial"/>
                <w:sz w:val="22"/>
                <w:szCs w:val="22"/>
                <w:lang w:eastAsia="zh-TW"/>
              </w:rPr>
              <w:t>N/A</w:t>
            </w:r>
          </w:p>
        </w:tc>
      </w:tr>
      <w:tr w:rsidR="00D855AE" w:rsidRPr="00D855AE" w14:paraId="4A8800A1" w14:textId="77777777" w:rsidTr="00D855A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9F75EF" w14:textId="77777777" w:rsidR="00D855AE" w:rsidRPr="00D855AE" w:rsidRDefault="00D855AE" w:rsidP="00D855AE">
            <w:pPr>
              <w:rPr>
                <w:rFonts w:ascii="Arial" w:eastAsia="新細明體" w:hAnsi="Arial" w:cs="Arial"/>
                <w:b/>
                <w:bCs/>
                <w:sz w:val="22"/>
                <w:szCs w:val="22"/>
                <w:lang w:eastAsia="zh-TW"/>
              </w:rPr>
            </w:pPr>
            <w:r w:rsidRPr="00D855AE">
              <w:rPr>
                <w:rFonts w:ascii="Arial" w:eastAsia="新細明體" w:hAnsi="Arial" w:cs="Arial"/>
                <w:b/>
                <w:bCs/>
                <w:sz w:val="22"/>
                <w:szCs w:val="22"/>
                <w:lang w:eastAsia="zh-TW"/>
              </w:rPr>
              <w:t>Model 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7C23CD" w14:textId="77777777" w:rsidR="00D855AE" w:rsidRPr="00D855AE" w:rsidRDefault="00D855AE" w:rsidP="00D855AE">
            <w:pPr>
              <w:jc w:val="center"/>
              <w:rPr>
                <w:rFonts w:ascii="Arial" w:eastAsia="新細明體" w:hAnsi="Arial" w:cs="Arial"/>
                <w:sz w:val="22"/>
                <w:szCs w:val="22"/>
                <w:lang w:eastAsia="zh-TW"/>
              </w:rPr>
            </w:pPr>
            <w:r w:rsidRPr="00D855AE">
              <w:rPr>
                <w:rFonts w:ascii="Arial" w:eastAsia="新細明體" w:hAnsi="Arial" w:cs="Arial"/>
                <w:sz w:val="22"/>
                <w:szCs w:val="22"/>
                <w:lang w:eastAsia="zh-TW"/>
              </w:rPr>
              <w:t>0.80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761802" w14:textId="77777777" w:rsidR="00D855AE" w:rsidRPr="00D855AE" w:rsidRDefault="00D855AE" w:rsidP="00D855AE">
            <w:pPr>
              <w:jc w:val="center"/>
              <w:rPr>
                <w:rFonts w:ascii="Arial" w:eastAsia="新細明體" w:hAnsi="Arial" w:cs="Arial"/>
                <w:sz w:val="22"/>
                <w:szCs w:val="22"/>
                <w:lang w:eastAsia="zh-TW"/>
              </w:rPr>
            </w:pPr>
            <w:r w:rsidRPr="00D855AE">
              <w:rPr>
                <w:rFonts w:ascii="Arial" w:eastAsia="新細明體" w:hAnsi="Arial" w:cs="Arial"/>
                <w:sz w:val="22"/>
                <w:szCs w:val="22"/>
                <w:lang w:eastAsia="zh-TW"/>
              </w:rPr>
              <w:t>0.78, 0.81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83E8D4" w14:textId="77777777" w:rsidR="00D855AE" w:rsidRPr="00D855AE" w:rsidRDefault="00D855AE" w:rsidP="00D855AE">
            <w:pPr>
              <w:jc w:val="center"/>
              <w:rPr>
                <w:rFonts w:ascii="Arial" w:eastAsia="新細明體" w:hAnsi="Arial" w:cs="Arial"/>
                <w:sz w:val="22"/>
                <w:szCs w:val="22"/>
                <w:lang w:eastAsia="zh-TW"/>
              </w:rPr>
            </w:pPr>
            <w:r w:rsidRPr="00D855AE">
              <w:rPr>
                <w:rFonts w:ascii="Arial" w:eastAsia="新細明體" w:hAnsi="Arial" w:cs="Arial"/>
                <w:sz w:val="22"/>
                <w:szCs w:val="22"/>
                <w:lang w:eastAsia="zh-TW"/>
              </w:rPr>
              <w:t>1.46</w:t>
            </w:r>
          </w:p>
        </w:tc>
      </w:tr>
      <w:tr w:rsidR="00D855AE" w:rsidRPr="00D855AE" w14:paraId="77F969A3" w14:textId="77777777" w:rsidTr="00D855AE">
        <w:trPr>
          <w:trHeight w:val="300"/>
        </w:trPr>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5E8D04BE" w14:textId="77777777" w:rsidR="00D855AE" w:rsidRPr="00D855AE" w:rsidRDefault="00D855AE" w:rsidP="00D855AE">
            <w:pPr>
              <w:rPr>
                <w:rFonts w:ascii="Arial" w:eastAsia="新細明體" w:hAnsi="Arial" w:cs="Arial"/>
                <w:b/>
                <w:bCs/>
                <w:sz w:val="22"/>
                <w:szCs w:val="22"/>
                <w:lang w:eastAsia="zh-TW"/>
              </w:rPr>
            </w:pPr>
            <w:r w:rsidRPr="00D855AE">
              <w:rPr>
                <w:rFonts w:ascii="Arial" w:eastAsia="新細明體" w:hAnsi="Arial" w:cs="Arial"/>
                <w:b/>
                <w:bCs/>
                <w:sz w:val="22"/>
                <w:szCs w:val="22"/>
                <w:lang w:eastAsia="zh-TW"/>
              </w:rPr>
              <w:t>Model 2</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62FBC836" w14:textId="77777777" w:rsidR="00D855AE" w:rsidRPr="00D855AE" w:rsidRDefault="00D855AE" w:rsidP="00D855AE">
            <w:pPr>
              <w:jc w:val="center"/>
              <w:rPr>
                <w:rFonts w:ascii="Arial" w:eastAsia="新細明體" w:hAnsi="Arial" w:cs="Arial"/>
                <w:sz w:val="22"/>
                <w:szCs w:val="22"/>
                <w:lang w:eastAsia="zh-TW"/>
              </w:rPr>
            </w:pPr>
            <w:r w:rsidRPr="00D855AE">
              <w:rPr>
                <w:rFonts w:ascii="Arial" w:eastAsia="新細明體" w:hAnsi="Arial" w:cs="Arial"/>
                <w:sz w:val="22"/>
                <w:szCs w:val="22"/>
                <w:lang w:eastAsia="zh-TW"/>
              </w:rPr>
              <w:t>0.81</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703C9BA0" w14:textId="77777777" w:rsidR="00D855AE" w:rsidRPr="00D855AE" w:rsidRDefault="00D855AE" w:rsidP="00D855AE">
            <w:pPr>
              <w:jc w:val="center"/>
              <w:rPr>
                <w:rFonts w:ascii="Arial" w:eastAsia="新細明體" w:hAnsi="Arial" w:cs="Arial"/>
                <w:sz w:val="22"/>
                <w:szCs w:val="22"/>
                <w:lang w:eastAsia="zh-TW"/>
              </w:rPr>
            </w:pPr>
            <w:r w:rsidRPr="00D855AE">
              <w:rPr>
                <w:rFonts w:ascii="Arial" w:eastAsia="新細明體" w:hAnsi="Arial" w:cs="Arial"/>
                <w:sz w:val="22"/>
                <w:szCs w:val="22"/>
                <w:lang w:eastAsia="zh-TW"/>
              </w:rPr>
              <w:t>0.79, 0.83</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602B4B6C" w14:textId="77777777" w:rsidR="00D855AE" w:rsidRPr="00D855AE" w:rsidRDefault="00D855AE" w:rsidP="00D855AE">
            <w:pPr>
              <w:jc w:val="center"/>
              <w:rPr>
                <w:rFonts w:ascii="Arial" w:eastAsia="新細明體" w:hAnsi="Arial" w:cs="Arial"/>
                <w:sz w:val="22"/>
                <w:szCs w:val="22"/>
                <w:lang w:eastAsia="zh-TW"/>
              </w:rPr>
            </w:pPr>
            <w:r w:rsidRPr="00D855AE">
              <w:rPr>
                <w:rFonts w:ascii="Arial" w:eastAsia="新細明體" w:hAnsi="Arial" w:cs="Arial"/>
                <w:sz w:val="22"/>
                <w:szCs w:val="22"/>
                <w:lang w:eastAsia="zh-TW"/>
              </w:rPr>
              <w:t>1.46</w:t>
            </w:r>
          </w:p>
        </w:tc>
      </w:tr>
      <w:tr w:rsidR="00D855AE" w:rsidRPr="00D855AE" w14:paraId="7F95968C" w14:textId="77777777" w:rsidTr="00D855AE">
        <w:trPr>
          <w:trHeight w:val="300"/>
        </w:trPr>
        <w:tc>
          <w:tcPr>
            <w:tcW w:w="0" w:type="auto"/>
            <w:gridSpan w:val="3"/>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5698A3" w14:textId="77777777" w:rsidR="00D855AE" w:rsidRPr="00D855AE" w:rsidRDefault="00D855AE" w:rsidP="00D855AE">
            <w:pPr>
              <w:rPr>
                <w:rFonts w:ascii="Arial" w:eastAsia="新細明體" w:hAnsi="Arial" w:cs="Arial"/>
                <w:sz w:val="20"/>
                <w:szCs w:val="20"/>
                <w:lang w:eastAsia="zh-TW"/>
              </w:rPr>
            </w:pPr>
            <w:r w:rsidRPr="00D855AE">
              <w:rPr>
                <w:rFonts w:ascii="Arial" w:eastAsia="新細明體" w:hAnsi="Arial" w:cs="Arial"/>
                <w:sz w:val="20"/>
                <w:szCs w:val="20"/>
                <w:lang w:eastAsia="zh-TW"/>
              </w:rPr>
              <w:t>Model 1 adjusted for age, sex</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2A79F6" w14:textId="77777777" w:rsidR="00D855AE" w:rsidRPr="00D855AE" w:rsidRDefault="00D855AE" w:rsidP="00D855AE">
            <w:pPr>
              <w:rPr>
                <w:rFonts w:ascii="Arial" w:eastAsia="新細明體" w:hAnsi="Arial" w:cs="Arial"/>
                <w:sz w:val="22"/>
                <w:szCs w:val="22"/>
                <w:lang w:eastAsia="zh-TW"/>
              </w:rPr>
            </w:pPr>
          </w:p>
        </w:tc>
      </w:tr>
      <w:tr w:rsidR="00D855AE" w:rsidRPr="00D855AE" w14:paraId="0989592A" w14:textId="77777777" w:rsidTr="00D855AE">
        <w:trPr>
          <w:trHeight w:val="300"/>
        </w:trPr>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BD844D" w14:textId="77777777" w:rsidR="00D855AE" w:rsidRPr="00D855AE" w:rsidRDefault="00D855AE" w:rsidP="00D855AE">
            <w:pPr>
              <w:rPr>
                <w:rFonts w:ascii="Arial" w:eastAsia="新細明體" w:hAnsi="Arial" w:cs="Arial"/>
                <w:sz w:val="20"/>
                <w:szCs w:val="20"/>
                <w:lang w:eastAsia="zh-TW"/>
              </w:rPr>
            </w:pPr>
            <w:r w:rsidRPr="00D855AE">
              <w:rPr>
                <w:rFonts w:ascii="Arial" w:eastAsia="新細明體" w:hAnsi="Arial" w:cs="Arial"/>
                <w:sz w:val="20"/>
                <w:szCs w:val="20"/>
                <w:lang w:eastAsia="zh-TW"/>
              </w:rPr>
              <w:t>Model 2 adjusted for age, sex, history of smoking, history of alcohol intake</w:t>
            </w:r>
          </w:p>
        </w:tc>
      </w:tr>
    </w:tbl>
    <w:p w14:paraId="25777072" w14:textId="504EB588" w:rsidR="00D855AE" w:rsidRDefault="00D855AE" w:rsidP="00AF44FE">
      <w:pPr>
        <w:autoSpaceDE w:val="0"/>
        <w:autoSpaceDN w:val="0"/>
        <w:adjustRightInd w:val="0"/>
        <w:ind w:left="640" w:hanging="640"/>
        <w:rPr>
          <w:rFonts w:ascii="Arial" w:hAnsi="Arial" w:cs="Arial"/>
          <w:sz w:val="22"/>
          <w:szCs w:val="22"/>
        </w:rPr>
      </w:pPr>
    </w:p>
    <w:p w14:paraId="7697083B" w14:textId="1B23B9DE" w:rsidR="00D855AE" w:rsidRDefault="00D855AE" w:rsidP="00AF44FE">
      <w:pPr>
        <w:autoSpaceDE w:val="0"/>
        <w:autoSpaceDN w:val="0"/>
        <w:adjustRightInd w:val="0"/>
        <w:ind w:left="640" w:hanging="640"/>
        <w:rPr>
          <w:rFonts w:ascii="Arial" w:hAnsi="Arial" w:cs="Arial"/>
          <w:sz w:val="22"/>
          <w:szCs w:val="22"/>
        </w:rPr>
      </w:pPr>
    </w:p>
    <w:tbl>
      <w:tblPr>
        <w:tblW w:w="9344" w:type="dxa"/>
        <w:tblCellMar>
          <w:left w:w="0" w:type="dxa"/>
          <w:right w:w="0" w:type="dxa"/>
        </w:tblCellMar>
        <w:tblLook w:val="04A0" w:firstRow="1" w:lastRow="0" w:firstColumn="1" w:lastColumn="0" w:noHBand="0" w:noVBand="1"/>
      </w:tblPr>
      <w:tblGrid>
        <w:gridCol w:w="3120"/>
        <w:gridCol w:w="2042"/>
        <w:gridCol w:w="4086"/>
        <w:gridCol w:w="96"/>
      </w:tblGrid>
      <w:tr w:rsidR="00D855AE" w:rsidRPr="00D855AE" w14:paraId="40B630C4" w14:textId="77777777" w:rsidTr="00CC023C">
        <w:trPr>
          <w:trHeight w:val="300"/>
        </w:trPr>
        <w:tc>
          <w:tcPr>
            <w:tcW w:w="0" w:type="auto"/>
            <w:gridSpan w:val="3"/>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07D64105" w14:textId="30F0C87F" w:rsidR="00D855AE" w:rsidRPr="00D855AE" w:rsidRDefault="00D855AE" w:rsidP="00CC023C">
            <w:pPr>
              <w:rPr>
                <w:rFonts w:ascii="Arial" w:eastAsia="新細明體" w:hAnsi="Arial" w:cs="Arial"/>
                <w:b/>
                <w:bCs/>
                <w:sz w:val="22"/>
                <w:szCs w:val="22"/>
                <w:lang w:eastAsia="zh-TW"/>
              </w:rPr>
            </w:pPr>
            <w:r w:rsidRPr="00D855AE">
              <w:rPr>
                <w:rFonts w:ascii="Arial" w:eastAsia="新細明體" w:hAnsi="Arial" w:cs="Arial"/>
                <w:b/>
                <w:bCs/>
                <w:sz w:val="22"/>
                <w:szCs w:val="22"/>
                <w:lang w:eastAsia="zh-TW"/>
              </w:rPr>
              <w:t xml:space="preserve">Table 2b. </w:t>
            </w:r>
            <w:r w:rsidR="00683BD1">
              <w:rPr>
                <w:rFonts w:ascii="Arial" w:eastAsia="新細明體" w:hAnsi="Arial" w:cs="Arial"/>
                <w:b/>
                <w:bCs/>
                <w:sz w:val="22"/>
                <w:szCs w:val="22"/>
                <w:lang w:eastAsia="zh-TW"/>
              </w:rPr>
              <w:t>Expected</w:t>
            </w:r>
            <w:r w:rsidRPr="00D855AE">
              <w:rPr>
                <w:rFonts w:ascii="Arial" w:eastAsia="新細明體" w:hAnsi="Arial" w:cs="Arial"/>
                <w:b/>
                <w:bCs/>
                <w:sz w:val="22"/>
                <w:szCs w:val="22"/>
                <w:lang w:eastAsia="zh-TW"/>
              </w:rPr>
              <w:t xml:space="preserve"> change in MAP</w:t>
            </w:r>
            <w:r w:rsidR="00683BD1">
              <w:rPr>
                <w:rFonts w:ascii="Arial" w:eastAsia="新細明體" w:hAnsi="Arial" w:cs="Arial"/>
                <w:b/>
                <w:bCs/>
                <w:sz w:val="22"/>
                <w:szCs w:val="22"/>
                <w:lang w:eastAsia="zh-TW"/>
              </w:rPr>
              <w:t xml:space="preserve"> </w:t>
            </w:r>
            <w:r w:rsidR="00683BD1">
              <w:rPr>
                <w:rFonts w:ascii="Arial" w:eastAsia="新細明體" w:hAnsi="Arial" w:cs="Arial"/>
                <w:b/>
                <w:bCs/>
                <w:sz w:val="22"/>
                <w:szCs w:val="22"/>
                <w:lang w:eastAsia="zh-TW"/>
              </w:rPr>
              <w:t>(mmHg)</w:t>
            </w:r>
            <w:r w:rsidRPr="00D855AE">
              <w:rPr>
                <w:rFonts w:ascii="Arial" w:eastAsia="新細明體" w:hAnsi="Arial" w:cs="Arial"/>
                <w:b/>
                <w:bCs/>
                <w:sz w:val="22"/>
                <w:szCs w:val="22"/>
                <w:lang w:eastAsia="zh-TW"/>
              </w:rPr>
              <w:t xml:space="preserve"> per 10% increase in appendicular skeletal mass per body weight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8905F4" w14:textId="77777777" w:rsidR="00D855AE" w:rsidRPr="00D855AE" w:rsidRDefault="00D855AE" w:rsidP="00CC023C">
            <w:pPr>
              <w:rPr>
                <w:rFonts w:ascii="Arial" w:eastAsia="新細明體" w:hAnsi="Arial" w:cs="Arial"/>
                <w:b/>
                <w:bCs/>
                <w:sz w:val="22"/>
                <w:szCs w:val="22"/>
                <w:lang w:eastAsia="zh-TW"/>
              </w:rPr>
            </w:pPr>
          </w:p>
        </w:tc>
      </w:tr>
      <w:tr w:rsidR="00D855AE" w:rsidRPr="00D855AE" w14:paraId="5139FA41" w14:textId="77777777" w:rsidTr="00CC023C">
        <w:trPr>
          <w:trHeight w:val="300"/>
        </w:trPr>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2879A1DA" w14:textId="77777777" w:rsidR="00D855AE" w:rsidRPr="00D855AE" w:rsidRDefault="00D855AE" w:rsidP="00CC023C">
            <w:pPr>
              <w:rPr>
                <w:rFonts w:ascii="Times New Roman" w:eastAsia="Times New Roman" w:hAnsi="Times New Roman" w:cs="Times New Roman"/>
                <w:sz w:val="20"/>
                <w:szCs w:val="20"/>
                <w:lang w:eastAsia="zh-TW"/>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5D42E915" w14:textId="77777777" w:rsidR="00D855AE" w:rsidRPr="00D855AE" w:rsidRDefault="00D855AE" w:rsidP="00CC023C">
            <w:pPr>
              <w:jc w:val="center"/>
              <w:rPr>
                <w:rFonts w:ascii="Arial" w:eastAsia="新細明體" w:hAnsi="Arial" w:cs="Arial"/>
                <w:b/>
                <w:bCs/>
                <w:sz w:val="22"/>
                <w:szCs w:val="22"/>
                <w:lang w:eastAsia="zh-TW"/>
              </w:rPr>
            </w:pPr>
            <w:r w:rsidRPr="00D855AE">
              <w:rPr>
                <w:rFonts w:ascii="Arial" w:eastAsia="新細明體" w:hAnsi="Arial" w:cs="Arial"/>
                <w:b/>
                <w:bCs/>
                <w:sz w:val="22"/>
                <w:szCs w:val="22"/>
                <w:lang w:eastAsia="zh-TW"/>
              </w:rPr>
              <w:t>β</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6AF4B001" w14:textId="77777777" w:rsidR="00D855AE" w:rsidRPr="00D855AE" w:rsidRDefault="00D855AE" w:rsidP="00CC023C">
            <w:pPr>
              <w:jc w:val="center"/>
              <w:rPr>
                <w:rFonts w:ascii="Arial" w:eastAsia="新細明體" w:hAnsi="Arial" w:cs="Arial"/>
                <w:b/>
                <w:bCs/>
                <w:sz w:val="22"/>
                <w:szCs w:val="22"/>
                <w:lang w:eastAsia="zh-TW"/>
              </w:rPr>
            </w:pPr>
            <w:r w:rsidRPr="00D855AE">
              <w:rPr>
                <w:rFonts w:ascii="Arial" w:eastAsia="新細明體" w:hAnsi="Arial" w:cs="Arial"/>
                <w:b/>
                <w:bCs/>
                <w:sz w:val="22"/>
                <w:szCs w:val="22"/>
                <w:lang w:eastAsia="zh-TW"/>
              </w:rPr>
              <w:t>95% CI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110D59" w14:textId="77777777" w:rsidR="00D855AE" w:rsidRPr="00D855AE" w:rsidRDefault="00D855AE" w:rsidP="00CC023C">
            <w:pPr>
              <w:jc w:val="center"/>
              <w:rPr>
                <w:rFonts w:ascii="Arial" w:eastAsia="新細明體" w:hAnsi="Arial" w:cs="Arial"/>
                <w:sz w:val="22"/>
                <w:szCs w:val="22"/>
                <w:lang w:eastAsia="zh-TW"/>
              </w:rPr>
            </w:pPr>
          </w:p>
        </w:tc>
      </w:tr>
      <w:tr w:rsidR="00D855AE" w:rsidRPr="00D855AE" w14:paraId="3A30B968" w14:textId="77777777" w:rsidTr="00CC023C">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842712C" w14:textId="77777777" w:rsidR="00D855AE" w:rsidRPr="00D855AE" w:rsidRDefault="00D855AE" w:rsidP="00CC023C">
            <w:pPr>
              <w:rPr>
                <w:rFonts w:ascii="Arial" w:eastAsia="新細明體" w:hAnsi="Arial" w:cs="Arial"/>
                <w:b/>
                <w:bCs/>
                <w:sz w:val="22"/>
                <w:szCs w:val="22"/>
                <w:lang w:eastAsia="zh-TW"/>
              </w:rPr>
            </w:pPr>
            <w:r w:rsidRPr="00D855AE">
              <w:rPr>
                <w:rFonts w:ascii="Arial" w:eastAsia="新細明體" w:hAnsi="Arial" w:cs="Arial"/>
                <w:b/>
                <w:bCs/>
                <w:sz w:val="22"/>
                <w:szCs w:val="22"/>
                <w:lang w:eastAsia="zh-TW"/>
              </w:rPr>
              <w:t>Crude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FC6B7D" w14:textId="77777777" w:rsidR="00D855AE" w:rsidRPr="00D855AE" w:rsidRDefault="00D855AE" w:rsidP="00CC023C">
            <w:pPr>
              <w:jc w:val="center"/>
              <w:rPr>
                <w:rFonts w:ascii="Arial" w:eastAsia="新細明體" w:hAnsi="Arial" w:cs="Arial"/>
                <w:sz w:val="22"/>
                <w:szCs w:val="22"/>
                <w:lang w:eastAsia="zh-TW"/>
              </w:rPr>
            </w:pPr>
            <w:r w:rsidRPr="00D855AE">
              <w:rPr>
                <w:rFonts w:ascii="Arial" w:eastAsia="新細明體" w:hAnsi="Arial" w:cs="Arial"/>
                <w:sz w:val="22"/>
                <w:szCs w:val="22"/>
                <w:lang w:eastAsia="zh-TW"/>
              </w:rPr>
              <w:t>2.4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B497B0" w14:textId="77777777" w:rsidR="00D855AE" w:rsidRPr="00D855AE" w:rsidRDefault="00D855AE" w:rsidP="00CC023C">
            <w:pPr>
              <w:jc w:val="center"/>
              <w:rPr>
                <w:rFonts w:ascii="Arial" w:eastAsia="新細明體" w:hAnsi="Arial" w:cs="Arial"/>
                <w:sz w:val="22"/>
                <w:szCs w:val="22"/>
                <w:lang w:eastAsia="zh-TW"/>
              </w:rPr>
            </w:pPr>
            <w:r w:rsidRPr="00D855AE">
              <w:rPr>
                <w:rFonts w:ascii="Arial" w:eastAsia="新細明體" w:hAnsi="Arial" w:cs="Arial"/>
                <w:sz w:val="22"/>
                <w:szCs w:val="22"/>
                <w:lang w:eastAsia="zh-TW"/>
              </w:rPr>
              <w:t>1.7, 3.0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2C2FC1" w14:textId="77777777" w:rsidR="00D855AE" w:rsidRPr="00D855AE" w:rsidRDefault="00D855AE" w:rsidP="00CC023C">
            <w:pPr>
              <w:jc w:val="center"/>
              <w:rPr>
                <w:rFonts w:ascii="Arial" w:eastAsia="新細明體" w:hAnsi="Arial" w:cs="Arial"/>
                <w:sz w:val="22"/>
                <w:szCs w:val="22"/>
                <w:lang w:eastAsia="zh-TW"/>
              </w:rPr>
            </w:pPr>
          </w:p>
        </w:tc>
      </w:tr>
      <w:tr w:rsidR="00D855AE" w:rsidRPr="00D855AE" w14:paraId="6ED01E5D" w14:textId="77777777" w:rsidTr="00CC023C">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45B0C2" w14:textId="77777777" w:rsidR="00D855AE" w:rsidRPr="00D855AE" w:rsidRDefault="00D855AE" w:rsidP="00CC023C">
            <w:pPr>
              <w:rPr>
                <w:rFonts w:ascii="Arial" w:eastAsia="新細明體" w:hAnsi="Arial" w:cs="Arial"/>
                <w:b/>
                <w:bCs/>
                <w:sz w:val="22"/>
                <w:szCs w:val="22"/>
                <w:lang w:eastAsia="zh-TW"/>
              </w:rPr>
            </w:pPr>
            <w:r w:rsidRPr="00D855AE">
              <w:rPr>
                <w:rFonts w:ascii="Arial" w:eastAsia="新細明體" w:hAnsi="Arial" w:cs="Arial"/>
                <w:b/>
                <w:bCs/>
                <w:sz w:val="22"/>
                <w:szCs w:val="22"/>
                <w:lang w:eastAsia="zh-TW"/>
              </w:rPr>
              <w:t>Model 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9AF2DE" w14:textId="77777777" w:rsidR="00D855AE" w:rsidRPr="00D855AE" w:rsidRDefault="00D855AE" w:rsidP="00CC023C">
            <w:pPr>
              <w:jc w:val="center"/>
              <w:rPr>
                <w:rFonts w:ascii="Arial" w:eastAsia="新細明體" w:hAnsi="Arial" w:cs="Arial"/>
                <w:sz w:val="22"/>
                <w:szCs w:val="22"/>
                <w:lang w:eastAsia="zh-TW"/>
              </w:rPr>
            </w:pPr>
            <w:r w:rsidRPr="00D855AE">
              <w:rPr>
                <w:rFonts w:ascii="Arial" w:eastAsia="新細明體" w:hAnsi="Arial" w:cs="Arial"/>
                <w:sz w:val="22"/>
                <w:szCs w:val="22"/>
                <w:lang w:eastAsia="zh-TW"/>
              </w:rPr>
              <w:t>-11.2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641A2B" w14:textId="77777777" w:rsidR="00D855AE" w:rsidRPr="00D855AE" w:rsidRDefault="00D855AE" w:rsidP="00CC023C">
            <w:pPr>
              <w:jc w:val="center"/>
              <w:rPr>
                <w:rFonts w:ascii="Arial" w:eastAsia="新細明體" w:hAnsi="Arial" w:cs="Arial"/>
                <w:sz w:val="22"/>
                <w:szCs w:val="22"/>
                <w:lang w:eastAsia="zh-TW"/>
              </w:rPr>
            </w:pPr>
            <w:r w:rsidRPr="00D855AE">
              <w:rPr>
                <w:rFonts w:ascii="Arial" w:eastAsia="新細明體" w:hAnsi="Arial" w:cs="Arial"/>
                <w:sz w:val="22"/>
                <w:szCs w:val="22"/>
                <w:lang w:eastAsia="zh-TW"/>
              </w:rPr>
              <w:t>-12.0, -10.5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4CD690" w14:textId="77777777" w:rsidR="00D855AE" w:rsidRPr="00D855AE" w:rsidRDefault="00D855AE" w:rsidP="00CC023C">
            <w:pPr>
              <w:jc w:val="center"/>
              <w:rPr>
                <w:rFonts w:ascii="Arial" w:eastAsia="新細明體" w:hAnsi="Arial" w:cs="Arial"/>
                <w:sz w:val="22"/>
                <w:szCs w:val="22"/>
                <w:lang w:eastAsia="zh-TW"/>
              </w:rPr>
            </w:pPr>
          </w:p>
        </w:tc>
      </w:tr>
      <w:tr w:rsidR="00D855AE" w:rsidRPr="00D855AE" w14:paraId="3B21C28C" w14:textId="77777777" w:rsidTr="00CC023C">
        <w:trPr>
          <w:trHeight w:val="300"/>
        </w:trPr>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4129BDA3" w14:textId="77777777" w:rsidR="00D855AE" w:rsidRPr="00D855AE" w:rsidRDefault="00D855AE" w:rsidP="00CC023C">
            <w:pPr>
              <w:rPr>
                <w:rFonts w:ascii="Arial" w:eastAsia="新細明體" w:hAnsi="Arial" w:cs="Arial"/>
                <w:b/>
                <w:bCs/>
                <w:sz w:val="22"/>
                <w:szCs w:val="22"/>
                <w:lang w:eastAsia="zh-TW"/>
              </w:rPr>
            </w:pPr>
            <w:r w:rsidRPr="00D855AE">
              <w:rPr>
                <w:rFonts w:ascii="Arial" w:eastAsia="新細明體" w:hAnsi="Arial" w:cs="Arial"/>
                <w:b/>
                <w:bCs/>
                <w:sz w:val="22"/>
                <w:szCs w:val="22"/>
                <w:lang w:eastAsia="zh-TW"/>
              </w:rPr>
              <w:t>Model 2</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795CE6C2" w14:textId="77777777" w:rsidR="00D855AE" w:rsidRPr="00D855AE" w:rsidRDefault="00D855AE" w:rsidP="00CC023C">
            <w:pPr>
              <w:jc w:val="center"/>
              <w:rPr>
                <w:rFonts w:ascii="Arial" w:eastAsia="新細明體" w:hAnsi="Arial" w:cs="Arial"/>
                <w:sz w:val="22"/>
                <w:szCs w:val="22"/>
                <w:lang w:eastAsia="zh-TW"/>
              </w:rPr>
            </w:pPr>
            <w:r w:rsidRPr="00D855AE">
              <w:rPr>
                <w:rFonts w:ascii="Arial" w:eastAsia="新細明體" w:hAnsi="Arial" w:cs="Arial"/>
                <w:sz w:val="22"/>
                <w:szCs w:val="22"/>
                <w:lang w:eastAsia="zh-TW"/>
              </w:rPr>
              <w:t>-11.3</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7C0DAACA" w14:textId="77777777" w:rsidR="00D855AE" w:rsidRPr="00D855AE" w:rsidRDefault="00D855AE" w:rsidP="00CC023C">
            <w:pPr>
              <w:jc w:val="center"/>
              <w:rPr>
                <w:rFonts w:ascii="Arial" w:eastAsia="新細明體" w:hAnsi="Arial" w:cs="Arial"/>
                <w:sz w:val="22"/>
                <w:szCs w:val="22"/>
                <w:lang w:eastAsia="zh-TW"/>
              </w:rPr>
            </w:pPr>
            <w:r w:rsidRPr="00D855AE">
              <w:rPr>
                <w:rFonts w:ascii="Arial" w:eastAsia="新細明體" w:hAnsi="Arial" w:cs="Arial"/>
                <w:sz w:val="22"/>
                <w:szCs w:val="22"/>
                <w:lang w:eastAsia="zh-TW"/>
              </w:rPr>
              <w:t>-12.0, -10.5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5E1393" w14:textId="77777777" w:rsidR="00D855AE" w:rsidRPr="00D855AE" w:rsidRDefault="00D855AE" w:rsidP="00CC023C">
            <w:pPr>
              <w:jc w:val="center"/>
              <w:rPr>
                <w:rFonts w:ascii="Arial" w:eastAsia="新細明體" w:hAnsi="Arial" w:cs="Arial"/>
                <w:sz w:val="22"/>
                <w:szCs w:val="22"/>
                <w:lang w:eastAsia="zh-TW"/>
              </w:rPr>
            </w:pPr>
          </w:p>
        </w:tc>
      </w:tr>
      <w:tr w:rsidR="00D855AE" w:rsidRPr="00D855AE" w14:paraId="5AB8C566" w14:textId="77777777" w:rsidTr="00CC023C">
        <w:trPr>
          <w:trHeight w:val="300"/>
        </w:trPr>
        <w:tc>
          <w:tcPr>
            <w:tcW w:w="0" w:type="auto"/>
            <w:gridSpan w:val="3"/>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314E07" w14:textId="77777777" w:rsidR="00D855AE" w:rsidRPr="00D855AE" w:rsidRDefault="00D855AE" w:rsidP="00CC023C">
            <w:pPr>
              <w:rPr>
                <w:rFonts w:ascii="Arial" w:eastAsia="新細明體" w:hAnsi="Arial" w:cs="Arial"/>
                <w:sz w:val="20"/>
                <w:szCs w:val="20"/>
                <w:lang w:eastAsia="zh-TW"/>
              </w:rPr>
            </w:pPr>
            <w:r w:rsidRPr="00D855AE">
              <w:rPr>
                <w:rFonts w:ascii="Arial" w:eastAsia="新細明體" w:hAnsi="Arial" w:cs="Arial"/>
                <w:sz w:val="20"/>
                <w:szCs w:val="20"/>
                <w:lang w:eastAsia="zh-TW"/>
              </w:rPr>
              <w:t>Model 1 adjusted for age, sex</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8B1BDE" w14:textId="77777777" w:rsidR="00D855AE" w:rsidRPr="00D855AE" w:rsidRDefault="00D855AE" w:rsidP="00CC023C">
            <w:pPr>
              <w:rPr>
                <w:rFonts w:ascii="Arial" w:eastAsia="新細明體" w:hAnsi="Arial" w:cs="Arial"/>
                <w:sz w:val="22"/>
                <w:szCs w:val="22"/>
                <w:lang w:eastAsia="zh-TW"/>
              </w:rPr>
            </w:pPr>
          </w:p>
        </w:tc>
      </w:tr>
      <w:tr w:rsidR="00D855AE" w:rsidRPr="00D855AE" w14:paraId="44780183" w14:textId="77777777" w:rsidTr="00CC023C">
        <w:trPr>
          <w:trHeight w:val="300"/>
        </w:trPr>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79CB45" w14:textId="77777777" w:rsidR="00D855AE" w:rsidRPr="00D855AE" w:rsidRDefault="00D855AE" w:rsidP="00CC023C">
            <w:pPr>
              <w:rPr>
                <w:rFonts w:ascii="Arial" w:eastAsia="新細明體" w:hAnsi="Arial" w:cs="Arial"/>
                <w:sz w:val="20"/>
                <w:szCs w:val="20"/>
                <w:lang w:eastAsia="zh-TW"/>
              </w:rPr>
            </w:pPr>
            <w:r w:rsidRPr="00D855AE">
              <w:rPr>
                <w:rFonts w:ascii="Arial" w:eastAsia="新細明體" w:hAnsi="Arial" w:cs="Arial"/>
                <w:sz w:val="20"/>
                <w:szCs w:val="20"/>
                <w:lang w:eastAsia="zh-TW"/>
              </w:rPr>
              <w:t>Model 2 adjusted for age, sex, history of smoking, history of alcohol intake</w:t>
            </w:r>
          </w:p>
        </w:tc>
      </w:tr>
    </w:tbl>
    <w:p w14:paraId="449E4BFF" w14:textId="4ADEEAB6" w:rsidR="00D855AE" w:rsidRDefault="00D855AE" w:rsidP="00AF44FE">
      <w:pPr>
        <w:autoSpaceDE w:val="0"/>
        <w:autoSpaceDN w:val="0"/>
        <w:adjustRightInd w:val="0"/>
        <w:ind w:left="640" w:hanging="640"/>
        <w:rPr>
          <w:rFonts w:ascii="Arial" w:hAnsi="Arial" w:cs="Arial"/>
          <w:sz w:val="22"/>
          <w:szCs w:val="22"/>
        </w:rPr>
      </w:pPr>
    </w:p>
    <w:p w14:paraId="64DF2613" w14:textId="5FC49E90" w:rsidR="00D855AE" w:rsidRDefault="00D855AE">
      <w:pPr>
        <w:rPr>
          <w:rFonts w:ascii="Arial" w:hAnsi="Arial" w:cs="Arial"/>
          <w:sz w:val="22"/>
          <w:szCs w:val="22"/>
        </w:rPr>
      </w:pPr>
      <w:r>
        <w:rPr>
          <w:rFonts w:ascii="Arial" w:hAnsi="Arial" w:cs="Arial"/>
          <w:sz w:val="22"/>
          <w:szCs w:val="22"/>
        </w:rPr>
        <w:br w:type="page"/>
      </w:r>
    </w:p>
    <w:p w14:paraId="31FD1265" w14:textId="77777777" w:rsidR="006B77EC" w:rsidRPr="006B77EC" w:rsidRDefault="006B77EC" w:rsidP="006B77EC">
      <w:pPr>
        <w:rPr>
          <w:rFonts w:ascii="新細明體" w:eastAsia="新細明體" w:hAnsi="新細明體" w:cs="新細明體"/>
          <w:lang w:eastAsia="zh-TW"/>
        </w:rPr>
      </w:pPr>
      <w:r w:rsidRPr="006B77EC">
        <w:rPr>
          <w:rFonts w:ascii="Arial" w:eastAsia="新細明體" w:hAnsi="Arial" w:cs="Arial"/>
          <w:b/>
          <w:bCs/>
          <w:color w:val="000000"/>
          <w:sz w:val="22"/>
          <w:szCs w:val="22"/>
          <w:lang w:eastAsia="zh-TW"/>
        </w:rPr>
        <w:lastRenderedPageBreak/>
        <w:t>Figure 1. Directed acyclic graph (DAG) depicting the causal assumptions driving the analytic strategy. </w:t>
      </w:r>
    </w:p>
    <w:p w14:paraId="54B77C90" w14:textId="3C953198" w:rsidR="006B77EC" w:rsidRPr="006B77EC" w:rsidRDefault="006B77EC" w:rsidP="006B77EC">
      <w:pPr>
        <w:rPr>
          <w:rFonts w:ascii="新細明體" w:eastAsia="新細明體" w:hAnsi="新細明體" w:cs="新細明體"/>
          <w:lang w:eastAsia="zh-TW"/>
        </w:rPr>
      </w:pPr>
      <w:r w:rsidRPr="006B77EC">
        <w:rPr>
          <w:rFonts w:ascii="Arial" w:eastAsia="新細明體" w:hAnsi="Arial" w:cs="Arial"/>
          <w:b/>
          <w:bCs/>
          <w:color w:val="000000"/>
          <w:sz w:val="22"/>
          <w:szCs w:val="22"/>
          <w:bdr w:val="none" w:sz="0" w:space="0" w:color="auto" w:frame="1"/>
          <w:lang w:eastAsia="zh-TW"/>
        </w:rPr>
        <w:fldChar w:fldCharType="begin"/>
      </w:r>
      <w:r w:rsidRPr="006B77EC">
        <w:rPr>
          <w:rFonts w:ascii="Arial" w:eastAsia="新細明體" w:hAnsi="Arial" w:cs="Arial"/>
          <w:b/>
          <w:bCs/>
          <w:color w:val="000000"/>
          <w:sz w:val="22"/>
          <w:szCs w:val="22"/>
          <w:bdr w:val="none" w:sz="0" w:space="0" w:color="auto" w:frame="1"/>
          <w:lang w:eastAsia="zh-TW"/>
        </w:rPr>
        <w:instrText xml:space="preserve"> INCLUDEPICTURE "https://lh4.googleusercontent.com/meB5Cj2pCmxA_fs7LVYLwp8PFQqoAwtXdkIyHCA6qr6fY2NDvMzYguFuVvQaMf7RIDiZ1LcY1E-9Y7TzwtI2hPzwyrHQQmEmca9sMg-v2BghWWAOS9-llE_k2wwI0K82Dhbzz34b" \* MERGEFORMATINET </w:instrText>
      </w:r>
      <w:r w:rsidRPr="006B77EC">
        <w:rPr>
          <w:rFonts w:ascii="Arial" w:eastAsia="新細明體" w:hAnsi="Arial" w:cs="Arial"/>
          <w:b/>
          <w:bCs/>
          <w:color w:val="000000"/>
          <w:sz w:val="22"/>
          <w:szCs w:val="22"/>
          <w:bdr w:val="none" w:sz="0" w:space="0" w:color="auto" w:frame="1"/>
          <w:lang w:eastAsia="zh-TW"/>
        </w:rPr>
        <w:fldChar w:fldCharType="separate"/>
      </w:r>
      <w:r w:rsidRPr="006B77EC">
        <w:rPr>
          <w:rFonts w:ascii="Arial" w:eastAsia="新細明體" w:hAnsi="Arial" w:cs="Arial"/>
          <w:b/>
          <w:bCs/>
          <w:noProof/>
          <w:color w:val="000000"/>
          <w:sz w:val="22"/>
          <w:szCs w:val="22"/>
          <w:bdr w:val="none" w:sz="0" w:space="0" w:color="auto" w:frame="1"/>
          <w:lang w:eastAsia="zh-TW"/>
        </w:rPr>
        <w:drawing>
          <wp:inline distT="0" distB="0" distL="0" distR="0" wp14:anchorId="47981F7E" wp14:editId="0BB5128C">
            <wp:extent cx="5526405" cy="356997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6405" cy="3569970"/>
                    </a:xfrm>
                    <a:prstGeom prst="rect">
                      <a:avLst/>
                    </a:prstGeom>
                    <a:noFill/>
                    <a:ln>
                      <a:noFill/>
                    </a:ln>
                  </pic:spPr>
                </pic:pic>
              </a:graphicData>
            </a:graphic>
          </wp:inline>
        </w:drawing>
      </w:r>
      <w:r w:rsidRPr="006B77EC">
        <w:rPr>
          <w:rFonts w:ascii="Arial" w:eastAsia="新細明體" w:hAnsi="Arial" w:cs="Arial"/>
          <w:b/>
          <w:bCs/>
          <w:color w:val="000000"/>
          <w:sz w:val="22"/>
          <w:szCs w:val="22"/>
          <w:bdr w:val="none" w:sz="0" w:space="0" w:color="auto" w:frame="1"/>
          <w:lang w:eastAsia="zh-TW"/>
        </w:rPr>
        <w:fldChar w:fldCharType="end"/>
      </w:r>
    </w:p>
    <w:p w14:paraId="1E329248" w14:textId="5C829C1C" w:rsidR="006B77EC" w:rsidRPr="006B77EC" w:rsidRDefault="006B77EC" w:rsidP="006B77EC">
      <w:pPr>
        <w:rPr>
          <w:rFonts w:ascii="新細明體" w:eastAsia="新細明體" w:hAnsi="新細明體" w:cs="新細明體"/>
          <w:lang w:eastAsia="zh-TW"/>
        </w:rPr>
      </w:pPr>
      <w:r w:rsidRPr="006B77EC">
        <w:rPr>
          <w:rFonts w:ascii="Arial" w:eastAsia="新細明體" w:hAnsi="Arial" w:cs="Arial"/>
          <w:color w:val="000000"/>
          <w:sz w:val="20"/>
          <w:szCs w:val="20"/>
          <w:lang w:eastAsia="zh-TW"/>
        </w:rPr>
        <w:t xml:space="preserve">Of note, </w:t>
      </w:r>
      <w:proofErr w:type="gramStart"/>
      <w:r w:rsidRPr="006B77EC">
        <w:rPr>
          <w:rFonts w:ascii="Arial" w:eastAsia="新細明體" w:hAnsi="Arial" w:cs="Arial"/>
          <w:color w:val="000000"/>
          <w:sz w:val="20"/>
          <w:szCs w:val="20"/>
          <w:lang w:eastAsia="zh-TW"/>
        </w:rPr>
        <w:t>CAD</w:t>
      </w:r>
      <w:proofErr w:type="gramEnd"/>
      <w:r w:rsidRPr="006B77EC">
        <w:rPr>
          <w:rFonts w:ascii="Arial" w:eastAsia="新細明體" w:hAnsi="Arial" w:cs="Arial"/>
          <w:color w:val="000000"/>
          <w:sz w:val="20"/>
          <w:szCs w:val="20"/>
          <w:lang w:eastAsia="zh-TW"/>
        </w:rPr>
        <w:t xml:space="preserve"> and physical inactivity</w:t>
      </w:r>
      <w:r w:rsidR="004957C9">
        <w:rPr>
          <w:rFonts w:ascii="Arial" w:eastAsia="新細明體" w:hAnsi="Arial" w:cs="Arial"/>
          <w:color w:val="000000"/>
          <w:sz w:val="20"/>
          <w:szCs w:val="20"/>
          <w:lang w:eastAsia="zh-TW"/>
        </w:rPr>
        <w:t xml:space="preserve"> (nodes in grey)</w:t>
      </w:r>
      <w:r w:rsidRPr="006B77EC">
        <w:rPr>
          <w:rFonts w:ascii="Arial" w:eastAsia="新細明體" w:hAnsi="Arial" w:cs="Arial"/>
          <w:color w:val="000000"/>
          <w:sz w:val="20"/>
          <w:szCs w:val="20"/>
          <w:lang w:eastAsia="zh-TW"/>
        </w:rPr>
        <w:t xml:space="preserve"> are unobserved variables.</w:t>
      </w:r>
    </w:p>
    <w:p w14:paraId="15229233" w14:textId="77777777" w:rsidR="006B77EC" w:rsidRPr="006B77EC" w:rsidRDefault="006B77EC" w:rsidP="006B77EC">
      <w:pPr>
        <w:rPr>
          <w:rFonts w:ascii="新細明體" w:eastAsia="新細明體" w:hAnsi="新細明體" w:cs="新細明體"/>
          <w:lang w:eastAsia="zh-TW"/>
        </w:rPr>
      </w:pPr>
      <w:r w:rsidRPr="006B77EC">
        <w:rPr>
          <w:rFonts w:ascii="Arial" w:eastAsia="新細明體" w:hAnsi="Arial" w:cs="Arial"/>
          <w:color w:val="000000"/>
          <w:sz w:val="20"/>
          <w:szCs w:val="20"/>
          <w:lang w:eastAsia="zh-TW"/>
        </w:rPr>
        <w:t>CAD = coronary artery disease</w:t>
      </w:r>
    </w:p>
    <w:p w14:paraId="6A4F7149" w14:textId="77777777" w:rsidR="006B77EC" w:rsidRPr="006B77EC" w:rsidRDefault="006B77EC" w:rsidP="006B77EC">
      <w:pPr>
        <w:rPr>
          <w:rFonts w:ascii="新細明體" w:eastAsia="新細明體" w:hAnsi="新細明體" w:cs="新細明體"/>
          <w:lang w:eastAsia="zh-TW"/>
        </w:rPr>
      </w:pPr>
      <w:r w:rsidRPr="006B77EC">
        <w:rPr>
          <w:rFonts w:ascii="Arial" w:eastAsia="新細明體" w:hAnsi="Arial" w:cs="Arial"/>
          <w:color w:val="000000"/>
          <w:sz w:val="20"/>
          <w:szCs w:val="20"/>
          <w:lang w:eastAsia="zh-TW"/>
        </w:rPr>
        <w:t>DM = diabetes</w:t>
      </w:r>
    </w:p>
    <w:p w14:paraId="04B9F7A8" w14:textId="77777777" w:rsidR="006B77EC" w:rsidRPr="006B77EC" w:rsidRDefault="006B77EC" w:rsidP="006B77EC">
      <w:pPr>
        <w:rPr>
          <w:rFonts w:ascii="新細明體" w:eastAsia="新細明體" w:hAnsi="新細明體" w:cs="新細明體"/>
          <w:lang w:eastAsia="zh-TW"/>
        </w:rPr>
      </w:pPr>
    </w:p>
    <w:p w14:paraId="1503D73A" w14:textId="1C8DA01E" w:rsidR="00D855AE" w:rsidRDefault="00D855AE" w:rsidP="00AF44FE">
      <w:pPr>
        <w:autoSpaceDE w:val="0"/>
        <w:autoSpaceDN w:val="0"/>
        <w:adjustRightInd w:val="0"/>
        <w:ind w:left="640" w:hanging="640"/>
        <w:rPr>
          <w:rFonts w:ascii="Arial" w:hAnsi="Arial" w:cs="Arial"/>
          <w:sz w:val="22"/>
          <w:szCs w:val="22"/>
        </w:rPr>
      </w:pPr>
    </w:p>
    <w:p w14:paraId="00446FD3" w14:textId="5C82ABB8" w:rsidR="00D855AE" w:rsidRDefault="00D855AE">
      <w:pPr>
        <w:rPr>
          <w:rFonts w:ascii="Arial" w:hAnsi="Arial" w:cs="Arial"/>
          <w:sz w:val="22"/>
          <w:szCs w:val="22"/>
        </w:rPr>
      </w:pPr>
      <w:r>
        <w:rPr>
          <w:rFonts w:ascii="Arial" w:hAnsi="Arial" w:cs="Arial"/>
          <w:sz w:val="22"/>
          <w:szCs w:val="22"/>
        </w:rPr>
        <w:br w:type="page"/>
      </w:r>
    </w:p>
    <w:tbl>
      <w:tblPr>
        <w:tblW w:w="0" w:type="dxa"/>
        <w:tblCellMar>
          <w:left w:w="0" w:type="dxa"/>
          <w:right w:w="0" w:type="dxa"/>
        </w:tblCellMar>
        <w:tblLook w:val="04A0" w:firstRow="1" w:lastRow="0" w:firstColumn="1" w:lastColumn="0" w:noHBand="0" w:noVBand="1"/>
      </w:tblPr>
      <w:tblGrid>
        <w:gridCol w:w="3164"/>
        <w:gridCol w:w="2089"/>
        <w:gridCol w:w="3995"/>
        <w:gridCol w:w="96"/>
      </w:tblGrid>
      <w:tr w:rsidR="00D855AE" w:rsidRPr="00D855AE" w14:paraId="2789BDA0" w14:textId="77777777" w:rsidTr="00D855AE">
        <w:trPr>
          <w:trHeight w:val="300"/>
        </w:trPr>
        <w:tc>
          <w:tcPr>
            <w:tcW w:w="0" w:type="auto"/>
            <w:gridSpan w:val="3"/>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2B22F553" w14:textId="0EAFC55B" w:rsidR="00D855AE" w:rsidRPr="00D855AE" w:rsidRDefault="00D855AE" w:rsidP="00D855AE">
            <w:pPr>
              <w:rPr>
                <w:rFonts w:ascii="Arial" w:eastAsia="新細明體" w:hAnsi="Arial" w:cs="Arial"/>
                <w:b/>
                <w:bCs/>
                <w:sz w:val="22"/>
                <w:szCs w:val="22"/>
                <w:lang w:eastAsia="zh-TW"/>
              </w:rPr>
            </w:pPr>
            <w:r w:rsidRPr="00D855AE">
              <w:rPr>
                <w:rFonts w:ascii="Arial" w:eastAsia="新細明體" w:hAnsi="Arial" w:cs="Arial"/>
                <w:b/>
                <w:bCs/>
                <w:sz w:val="22"/>
                <w:szCs w:val="22"/>
                <w:lang w:eastAsia="zh-TW"/>
              </w:rPr>
              <w:lastRenderedPageBreak/>
              <w:t xml:space="preserve">Supplementary Table. Sensitivity analysis for </w:t>
            </w:r>
            <w:r w:rsidR="00683BD1">
              <w:rPr>
                <w:rFonts w:ascii="Arial" w:eastAsia="新細明體" w:hAnsi="Arial" w:cs="Arial"/>
                <w:b/>
                <w:bCs/>
                <w:sz w:val="22"/>
                <w:szCs w:val="22"/>
                <w:lang w:eastAsia="zh-TW"/>
              </w:rPr>
              <w:t>expected</w:t>
            </w:r>
            <w:r w:rsidRPr="00D855AE">
              <w:rPr>
                <w:rFonts w:ascii="Arial" w:eastAsia="新細明體" w:hAnsi="Arial" w:cs="Arial"/>
                <w:b/>
                <w:bCs/>
                <w:sz w:val="22"/>
                <w:szCs w:val="22"/>
                <w:lang w:eastAsia="zh-TW"/>
              </w:rPr>
              <w:t xml:space="preserve"> change in MAP</w:t>
            </w:r>
            <w:r w:rsidR="00171294">
              <w:rPr>
                <w:rFonts w:ascii="Arial" w:eastAsia="新細明體" w:hAnsi="Arial" w:cs="Arial"/>
                <w:b/>
                <w:bCs/>
                <w:sz w:val="22"/>
                <w:szCs w:val="22"/>
                <w:lang w:eastAsia="zh-TW"/>
              </w:rPr>
              <w:t xml:space="preserve"> (mmHg)</w:t>
            </w:r>
            <w:r w:rsidRPr="00D855AE">
              <w:rPr>
                <w:rFonts w:ascii="Arial" w:eastAsia="新細明體" w:hAnsi="Arial" w:cs="Arial"/>
                <w:b/>
                <w:bCs/>
                <w:sz w:val="22"/>
                <w:szCs w:val="22"/>
                <w:lang w:eastAsia="zh-TW"/>
              </w:rPr>
              <w:t xml:space="preserve"> per 10% increase in appendicular skeletal mass per body weight, excluding those with known history of hypertension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2A2992" w14:textId="77777777" w:rsidR="00D855AE" w:rsidRPr="00D855AE" w:rsidRDefault="00D855AE" w:rsidP="00D855AE">
            <w:pPr>
              <w:rPr>
                <w:rFonts w:ascii="Arial" w:eastAsia="新細明體" w:hAnsi="Arial" w:cs="Arial"/>
                <w:b/>
                <w:bCs/>
                <w:sz w:val="22"/>
                <w:szCs w:val="22"/>
                <w:lang w:eastAsia="zh-TW"/>
              </w:rPr>
            </w:pPr>
          </w:p>
        </w:tc>
      </w:tr>
      <w:tr w:rsidR="00D855AE" w:rsidRPr="00D855AE" w14:paraId="1BB1F62A" w14:textId="77777777" w:rsidTr="00D855AE">
        <w:trPr>
          <w:trHeight w:val="300"/>
        </w:trPr>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6A3C7911" w14:textId="77777777" w:rsidR="00D855AE" w:rsidRPr="00D855AE" w:rsidRDefault="00D855AE" w:rsidP="00D855AE">
            <w:pPr>
              <w:rPr>
                <w:rFonts w:ascii="Times New Roman" w:eastAsia="Times New Roman" w:hAnsi="Times New Roman" w:cs="Times New Roman"/>
                <w:sz w:val="20"/>
                <w:szCs w:val="20"/>
                <w:lang w:eastAsia="zh-TW"/>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2CFD6821" w14:textId="77777777" w:rsidR="00D855AE" w:rsidRPr="00D855AE" w:rsidRDefault="00D855AE" w:rsidP="00D855AE">
            <w:pPr>
              <w:jc w:val="center"/>
              <w:rPr>
                <w:rFonts w:ascii="Arial" w:eastAsia="新細明體" w:hAnsi="Arial" w:cs="Arial"/>
                <w:b/>
                <w:bCs/>
                <w:sz w:val="22"/>
                <w:szCs w:val="22"/>
                <w:lang w:eastAsia="zh-TW"/>
              </w:rPr>
            </w:pPr>
            <w:r w:rsidRPr="00D855AE">
              <w:rPr>
                <w:rFonts w:ascii="Arial" w:eastAsia="新細明體" w:hAnsi="Arial" w:cs="Arial"/>
                <w:b/>
                <w:bCs/>
                <w:sz w:val="22"/>
                <w:szCs w:val="22"/>
                <w:lang w:eastAsia="zh-TW"/>
              </w:rPr>
              <w:t>β</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1090837F" w14:textId="77777777" w:rsidR="00D855AE" w:rsidRPr="00D855AE" w:rsidRDefault="00D855AE" w:rsidP="00D855AE">
            <w:pPr>
              <w:jc w:val="center"/>
              <w:rPr>
                <w:rFonts w:ascii="Arial" w:eastAsia="新細明體" w:hAnsi="Arial" w:cs="Arial"/>
                <w:b/>
                <w:bCs/>
                <w:sz w:val="22"/>
                <w:szCs w:val="22"/>
                <w:lang w:eastAsia="zh-TW"/>
              </w:rPr>
            </w:pPr>
            <w:r w:rsidRPr="00D855AE">
              <w:rPr>
                <w:rFonts w:ascii="Arial" w:eastAsia="新細明體" w:hAnsi="Arial" w:cs="Arial"/>
                <w:b/>
                <w:bCs/>
                <w:sz w:val="22"/>
                <w:szCs w:val="22"/>
                <w:lang w:eastAsia="zh-TW"/>
              </w:rPr>
              <w:t>95% CI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1159E2" w14:textId="77777777" w:rsidR="00D855AE" w:rsidRPr="00D855AE" w:rsidRDefault="00D855AE" w:rsidP="00D855AE">
            <w:pPr>
              <w:jc w:val="center"/>
              <w:rPr>
                <w:rFonts w:ascii="Arial" w:eastAsia="新細明體" w:hAnsi="Arial" w:cs="Arial"/>
                <w:sz w:val="22"/>
                <w:szCs w:val="22"/>
                <w:lang w:eastAsia="zh-TW"/>
              </w:rPr>
            </w:pPr>
          </w:p>
        </w:tc>
      </w:tr>
      <w:tr w:rsidR="00D855AE" w:rsidRPr="00D855AE" w14:paraId="4611788F" w14:textId="77777777" w:rsidTr="00D855A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3D728A" w14:textId="77777777" w:rsidR="00D855AE" w:rsidRPr="00D855AE" w:rsidRDefault="00D855AE" w:rsidP="00D855AE">
            <w:pPr>
              <w:rPr>
                <w:rFonts w:ascii="Arial" w:eastAsia="新細明體" w:hAnsi="Arial" w:cs="Arial"/>
                <w:b/>
                <w:bCs/>
                <w:sz w:val="22"/>
                <w:szCs w:val="22"/>
                <w:lang w:eastAsia="zh-TW"/>
              </w:rPr>
            </w:pPr>
            <w:r w:rsidRPr="00D855AE">
              <w:rPr>
                <w:rFonts w:ascii="Arial" w:eastAsia="新細明體" w:hAnsi="Arial" w:cs="Arial"/>
                <w:b/>
                <w:bCs/>
                <w:sz w:val="22"/>
                <w:szCs w:val="22"/>
                <w:lang w:eastAsia="zh-TW"/>
              </w:rPr>
              <w:t>Crude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5FE455" w14:textId="77777777" w:rsidR="00D855AE" w:rsidRPr="00D855AE" w:rsidRDefault="00D855AE" w:rsidP="00D855AE">
            <w:pPr>
              <w:jc w:val="center"/>
              <w:rPr>
                <w:rFonts w:ascii="Arial" w:eastAsia="新細明體" w:hAnsi="Arial" w:cs="Arial"/>
                <w:sz w:val="22"/>
                <w:szCs w:val="22"/>
                <w:lang w:eastAsia="zh-TW"/>
              </w:rPr>
            </w:pPr>
            <w:r w:rsidRPr="00D855AE">
              <w:rPr>
                <w:rFonts w:ascii="Arial" w:eastAsia="新細明體" w:hAnsi="Arial" w:cs="Arial"/>
                <w:sz w:val="22"/>
                <w:szCs w:val="22"/>
                <w:lang w:eastAsia="zh-TW"/>
              </w:rPr>
              <w:t>2.6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C786AC" w14:textId="77777777" w:rsidR="00D855AE" w:rsidRPr="00D855AE" w:rsidRDefault="00D855AE" w:rsidP="00D855AE">
            <w:pPr>
              <w:jc w:val="center"/>
              <w:rPr>
                <w:rFonts w:ascii="Arial" w:eastAsia="新細明體" w:hAnsi="Arial" w:cs="Arial"/>
                <w:sz w:val="22"/>
                <w:szCs w:val="22"/>
                <w:lang w:eastAsia="zh-TW"/>
              </w:rPr>
            </w:pPr>
            <w:r w:rsidRPr="00D855AE">
              <w:rPr>
                <w:rFonts w:ascii="Arial" w:eastAsia="新細明體" w:hAnsi="Arial" w:cs="Arial"/>
                <w:sz w:val="22"/>
                <w:szCs w:val="22"/>
                <w:lang w:eastAsia="zh-TW"/>
              </w:rPr>
              <w:t>2.0, 3.3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861647" w14:textId="77777777" w:rsidR="00D855AE" w:rsidRPr="00D855AE" w:rsidRDefault="00D855AE" w:rsidP="00D855AE">
            <w:pPr>
              <w:jc w:val="center"/>
              <w:rPr>
                <w:rFonts w:ascii="Arial" w:eastAsia="新細明體" w:hAnsi="Arial" w:cs="Arial"/>
                <w:sz w:val="22"/>
                <w:szCs w:val="22"/>
                <w:lang w:eastAsia="zh-TW"/>
              </w:rPr>
            </w:pPr>
          </w:p>
        </w:tc>
      </w:tr>
      <w:tr w:rsidR="00D855AE" w:rsidRPr="00D855AE" w14:paraId="2411B648" w14:textId="77777777" w:rsidTr="00D855A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4AECD4" w14:textId="77777777" w:rsidR="00D855AE" w:rsidRPr="00D855AE" w:rsidRDefault="00D855AE" w:rsidP="00D855AE">
            <w:pPr>
              <w:rPr>
                <w:rFonts w:ascii="Arial" w:eastAsia="新細明體" w:hAnsi="Arial" w:cs="Arial"/>
                <w:b/>
                <w:bCs/>
                <w:sz w:val="22"/>
                <w:szCs w:val="22"/>
                <w:lang w:eastAsia="zh-TW"/>
              </w:rPr>
            </w:pPr>
            <w:r w:rsidRPr="00D855AE">
              <w:rPr>
                <w:rFonts w:ascii="Arial" w:eastAsia="新細明體" w:hAnsi="Arial" w:cs="Arial"/>
                <w:b/>
                <w:bCs/>
                <w:sz w:val="22"/>
                <w:szCs w:val="22"/>
                <w:lang w:eastAsia="zh-TW"/>
              </w:rPr>
              <w:t>Model 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6C438E" w14:textId="77777777" w:rsidR="00D855AE" w:rsidRPr="00D855AE" w:rsidRDefault="00D855AE" w:rsidP="00D855AE">
            <w:pPr>
              <w:jc w:val="center"/>
              <w:rPr>
                <w:rFonts w:ascii="Arial" w:eastAsia="新細明體" w:hAnsi="Arial" w:cs="Arial"/>
                <w:sz w:val="22"/>
                <w:szCs w:val="22"/>
                <w:lang w:eastAsia="zh-TW"/>
              </w:rPr>
            </w:pPr>
            <w:r w:rsidRPr="00D855AE">
              <w:rPr>
                <w:rFonts w:ascii="Arial" w:eastAsia="新細明體" w:hAnsi="Arial" w:cs="Arial"/>
                <w:sz w:val="22"/>
                <w:szCs w:val="22"/>
                <w:lang w:eastAsia="zh-TW"/>
              </w:rPr>
              <w:t>-11.1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685D73" w14:textId="77777777" w:rsidR="00D855AE" w:rsidRPr="00D855AE" w:rsidRDefault="00D855AE" w:rsidP="00D855AE">
            <w:pPr>
              <w:jc w:val="center"/>
              <w:rPr>
                <w:rFonts w:ascii="Arial" w:eastAsia="新細明體" w:hAnsi="Arial" w:cs="Arial"/>
                <w:sz w:val="22"/>
                <w:szCs w:val="22"/>
                <w:lang w:eastAsia="zh-TW"/>
              </w:rPr>
            </w:pPr>
            <w:r w:rsidRPr="00D855AE">
              <w:rPr>
                <w:rFonts w:ascii="Arial" w:eastAsia="新細明體" w:hAnsi="Arial" w:cs="Arial"/>
                <w:sz w:val="22"/>
                <w:szCs w:val="22"/>
                <w:lang w:eastAsia="zh-TW"/>
              </w:rPr>
              <w:t>-12.0, -10.3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D5EDD4" w14:textId="77777777" w:rsidR="00D855AE" w:rsidRPr="00D855AE" w:rsidRDefault="00D855AE" w:rsidP="00D855AE">
            <w:pPr>
              <w:jc w:val="center"/>
              <w:rPr>
                <w:rFonts w:ascii="Arial" w:eastAsia="新細明體" w:hAnsi="Arial" w:cs="Arial"/>
                <w:sz w:val="22"/>
                <w:szCs w:val="22"/>
                <w:lang w:eastAsia="zh-TW"/>
              </w:rPr>
            </w:pPr>
          </w:p>
        </w:tc>
      </w:tr>
      <w:tr w:rsidR="00D855AE" w:rsidRPr="00D855AE" w14:paraId="663E81B7" w14:textId="77777777" w:rsidTr="00D855AE">
        <w:trPr>
          <w:trHeight w:val="300"/>
        </w:trPr>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568AC0F2" w14:textId="77777777" w:rsidR="00D855AE" w:rsidRPr="00D855AE" w:rsidRDefault="00D855AE" w:rsidP="00D855AE">
            <w:pPr>
              <w:rPr>
                <w:rFonts w:ascii="Arial" w:eastAsia="新細明體" w:hAnsi="Arial" w:cs="Arial"/>
                <w:b/>
                <w:bCs/>
                <w:sz w:val="22"/>
                <w:szCs w:val="22"/>
                <w:lang w:eastAsia="zh-TW"/>
              </w:rPr>
            </w:pPr>
            <w:r w:rsidRPr="00D855AE">
              <w:rPr>
                <w:rFonts w:ascii="Arial" w:eastAsia="新細明體" w:hAnsi="Arial" w:cs="Arial"/>
                <w:b/>
                <w:bCs/>
                <w:sz w:val="22"/>
                <w:szCs w:val="22"/>
                <w:lang w:eastAsia="zh-TW"/>
              </w:rPr>
              <w:t>Model 2</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2418E71F" w14:textId="77777777" w:rsidR="00D855AE" w:rsidRPr="00D855AE" w:rsidRDefault="00D855AE" w:rsidP="00D855AE">
            <w:pPr>
              <w:jc w:val="center"/>
              <w:rPr>
                <w:rFonts w:ascii="Arial" w:eastAsia="新細明體" w:hAnsi="Arial" w:cs="Arial"/>
                <w:sz w:val="22"/>
                <w:szCs w:val="22"/>
                <w:lang w:eastAsia="zh-TW"/>
              </w:rPr>
            </w:pPr>
            <w:r w:rsidRPr="00D855AE">
              <w:rPr>
                <w:rFonts w:ascii="Arial" w:eastAsia="新細明體" w:hAnsi="Arial" w:cs="Arial"/>
                <w:sz w:val="22"/>
                <w:szCs w:val="22"/>
                <w:lang w:eastAsia="zh-TW"/>
              </w:rPr>
              <w:t>-11.2</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6A67569E" w14:textId="77777777" w:rsidR="00D855AE" w:rsidRPr="00D855AE" w:rsidRDefault="00D855AE" w:rsidP="00D855AE">
            <w:pPr>
              <w:jc w:val="center"/>
              <w:rPr>
                <w:rFonts w:ascii="Arial" w:eastAsia="新細明體" w:hAnsi="Arial" w:cs="Arial"/>
                <w:sz w:val="22"/>
                <w:szCs w:val="22"/>
                <w:lang w:eastAsia="zh-TW"/>
              </w:rPr>
            </w:pPr>
            <w:r w:rsidRPr="00D855AE">
              <w:rPr>
                <w:rFonts w:ascii="Arial" w:eastAsia="新細明體" w:hAnsi="Arial" w:cs="Arial"/>
                <w:sz w:val="22"/>
                <w:szCs w:val="22"/>
                <w:lang w:eastAsia="zh-TW"/>
              </w:rPr>
              <w:t>-12.0, -10.4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72DABF" w14:textId="77777777" w:rsidR="00D855AE" w:rsidRPr="00D855AE" w:rsidRDefault="00D855AE" w:rsidP="00D855AE">
            <w:pPr>
              <w:jc w:val="center"/>
              <w:rPr>
                <w:rFonts w:ascii="Arial" w:eastAsia="新細明體" w:hAnsi="Arial" w:cs="Arial"/>
                <w:sz w:val="22"/>
                <w:szCs w:val="22"/>
                <w:lang w:eastAsia="zh-TW"/>
              </w:rPr>
            </w:pPr>
          </w:p>
        </w:tc>
      </w:tr>
      <w:tr w:rsidR="00D855AE" w:rsidRPr="00D855AE" w14:paraId="00D45368" w14:textId="77777777" w:rsidTr="00D855AE">
        <w:trPr>
          <w:trHeight w:val="300"/>
        </w:trPr>
        <w:tc>
          <w:tcPr>
            <w:tcW w:w="0" w:type="auto"/>
            <w:gridSpan w:val="3"/>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032964" w14:textId="77777777" w:rsidR="00D855AE" w:rsidRPr="00D855AE" w:rsidRDefault="00D855AE" w:rsidP="00D855AE">
            <w:pPr>
              <w:rPr>
                <w:rFonts w:ascii="Arial" w:eastAsia="新細明體" w:hAnsi="Arial" w:cs="Arial"/>
                <w:sz w:val="20"/>
                <w:szCs w:val="20"/>
                <w:lang w:eastAsia="zh-TW"/>
              </w:rPr>
            </w:pPr>
            <w:r w:rsidRPr="00D855AE">
              <w:rPr>
                <w:rFonts w:ascii="Arial" w:eastAsia="新細明體" w:hAnsi="Arial" w:cs="Arial"/>
                <w:sz w:val="20"/>
                <w:szCs w:val="20"/>
                <w:lang w:eastAsia="zh-TW"/>
              </w:rPr>
              <w:t>Model 1 adjusted for age, sex</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57A7FD" w14:textId="77777777" w:rsidR="00D855AE" w:rsidRPr="00D855AE" w:rsidRDefault="00D855AE" w:rsidP="00D855AE">
            <w:pPr>
              <w:rPr>
                <w:rFonts w:ascii="Arial" w:eastAsia="新細明體" w:hAnsi="Arial" w:cs="Arial"/>
                <w:sz w:val="22"/>
                <w:szCs w:val="22"/>
                <w:lang w:eastAsia="zh-TW"/>
              </w:rPr>
            </w:pPr>
          </w:p>
        </w:tc>
      </w:tr>
      <w:tr w:rsidR="00D855AE" w:rsidRPr="00D855AE" w14:paraId="793E4788" w14:textId="77777777" w:rsidTr="00D855AE">
        <w:trPr>
          <w:trHeight w:val="300"/>
        </w:trPr>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905CA0" w14:textId="77777777" w:rsidR="00D855AE" w:rsidRPr="00D855AE" w:rsidRDefault="00D855AE" w:rsidP="00D855AE">
            <w:pPr>
              <w:rPr>
                <w:rFonts w:ascii="Arial" w:eastAsia="新細明體" w:hAnsi="Arial" w:cs="Arial"/>
                <w:sz w:val="20"/>
                <w:szCs w:val="20"/>
                <w:lang w:eastAsia="zh-TW"/>
              </w:rPr>
            </w:pPr>
            <w:r w:rsidRPr="00D855AE">
              <w:rPr>
                <w:rFonts w:ascii="Arial" w:eastAsia="新細明體" w:hAnsi="Arial" w:cs="Arial"/>
                <w:sz w:val="20"/>
                <w:szCs w:val="20"/>
                <w:lang w:eastAsia="zh-TW"/>
              </w:rPr>
              <w:t>Model 2 adjusted for age, sex, history of smoking, history of alcohol intake</w:t>
            </w:r>
          </w:p>
        </w:tc>
      </w:tr>
    </w:tbl>
    <w:p w14:paraId="1C02A949" w14:textId="429C588E" w:rsidR="00D855AE" w:rsidRDefault="00D855AE" w:rsidP="00AF44FE">
      <w:pPr>
        <w:autoSpaceDE w:val="0"/>
        <w:autoSpaceDN w:val="0"/>
        <w:adjustRightInd w:val="0"/>
        <w:ind w:left="640" w:hanging="640"/>
        <w:rPr>
          <w:rFonts w:ascii="Arial" w:hAnsi="Arial" w:cs="Arial"/>
          <w:sz w:val="22"/>
          <w:szCs w:val="22"/>
        </w:rPr>
      </w:pPr>
    </w:p>
    <w:p w14:paraId="02FE0C3E" w14:textId="67285307" w:rsidR="006B77EC" w:rsidRDefault="006B77EC">
      <w:pPr>
        <w:rPr>
          <w:rFonts w:ascii="Arial" w:hAnsi="Arial" w:cs="Arial"/>
          <w:sz w:val="22"/>
          <w:szCs w:val="22"/>
        </w:rPr>
      </w:pPr>
      <w:r>
        <w:rPr>
          <w:rFonts w:ascii="Arial" w:hAnsi="Arial" w:cs="Arial"/>
          <w:sz w:val="22"/>
          <w:szCs w:val="22"/>
        </w:rPr>
        <w:br w:type="page"/>
      </w:r>
    </w:p>
    <w:p w14:paraId="11062FB4" w14:textId="6918604C" w:rsidR="006B77EC" w:rsidRPr="006B77EC" w:rsidRDefault="006B77EC" w:rsidP="006B77EC">
      <w:pPr>
        <w:autoSpaceDE w:val="0"/>
        <w:autoSpaceDN w:val="0"/>
        <w:adjustRightInd w:val="0"/>
        <w:rPr>
          <w:rFonts w:ascii="Arial" w:hAnsi="Arial" w:cs="Arial"/>
          <w:b/>
          <w:bCs/>
          <w:sz w:val="22"/>
          <w:szCs w:val="22"/>
        </w:rPr>
      </w:pPr>
      <w:r w:rsidRPr="006B77EC">
        <w:rPr>
          <w:rFonts w:ascii="Arial" w:hAnsi="Arial" w:cs="Arial" w:hint="eastAsia"/>
          <w:b/>
          <w:bCs/>
          <w:sz w:val="22"/>
          <w:szCs w:val="22"/>
        </w:rPr>
        <w:lastRenderedPageBreak/>
        <w:t>S</w:t>
      </w:r>
      <w:r w:rsidRPr="006B77EC">
        <w:rPr>
          <w:rFonts w:ascii="Arial" w:hAnsi="Arial" w:cs="Arial"/>
          <w:b/>
          <w:bCs/>
          <w:sz w:val="22"/>
          <w:szCs w:val="22"/>
        </w:rPr>
        <w:t xml:space="preserve">upplementary </w:t>
      </w:r>
      <w:r w:rsidR="001812E3">
        <w:rPr>
          <w:rFonts w:ascii="Arial" w:hAnsi="Arial" w:cs="Arial"/>
          <w:b/>
          <w:bCs/>
          <w:sz w:val="22"/>
          <w:szCs w:val="22"/>
        </w:rPr>
        <w:t>Figure</w:t>
      </w:r>
      <w:r w:rsidRPr="006B77EC">
        <w:rPr>
          <w:rFonts w:ascii="Arial" w:hAnsi="Arial" w:cs="Arial"/>
          <w:b/>
          <w:bCs/>
          <w:sz w:val="22"/>
          <w:szCs w:val="22"/>
        </w:rPr>
        <w:t>. Scatter plot depicting the association between ASM% and MAP, stratified by sex</w:t>
      </w:r>
    </w:p>
    <w:p w14:paraId="397640CC" w14:textId="6A4FABCE" w:rsidR="006B77EC" w:rsidRPr="006B77EC" w:rsidRDefault="006B77EC" w:rsidP="006B77EC">
      <w:pPr>
        <w:rPr>
          <w:rFonts w:ascii="新細明體" w:eastAsia="新細明體" w:hAnsi="新細明體" w:cs="新細明體"/>
          <w:lang w:eastAsia="zh-TW"/>
        </w:rPr>
      </w:pPr>
      <w:r w:rsidRPr="006B77EC">
        <w:rPr>
          <w:rFonts w:ascii="Arial" w:eastAsia="新細明體" w:hAnsi="Arial" w:cs="Arial"/>
          <w:color w:val="000000"/>
          <w:sz w:val="22"/>
          <w:szCs w:val="22"/>
          <w:bdr w:val="none" w:sz="0" w:space="0" w:color="auto" w:frame="1"/>
          <w:lang w:eastAsia="zh-TW"/>
        </w:rPr>
        <w:fldChar w:fldCharType="begin"/>
      </w:r>
      <w:r w:rsidRPr="006B77EC">
        <w:rPr>
          <w:rFonts w:ascii="Arial" w:eastAsia="新細明體" w:hAnsi="Arial" w:cs="Arial"/>
          <w:color w:val="000000"/>
          <w:sz w:val="22"/>
          <w:szCs w:val="22"/>
          <w:bdr w:val="none" w:sz="0" w:space="0" w:color="auto" w:frame="1"/>
          <w:lang w:eastAsia="zh-TW"/>
        </w:rPr>
        <w:instrText xml:space="preserve"> INCLUDEPICTURE "https://lh3.googleusercontent.com/ZJHRZ28yPJlef8R0Vk8qLjRddQw9d4x9SkpJBk0JfNB2p4mS2QQWNMYAzx4x03ic7DDbFjvRcZ3S39ArSAMkffsnHxz_ewuqcUjwi1V5_dXuf5PCd5km123-SntV7lWJbVI36JcJ" \* MERGEFORMATINET </w:instrText>
      </w:r>
      <w:r w:rsidRPr="006B77EC">
        <w:rPr>
          <w:rFonts w:ascii="Arial" w:eastAsia="新細明體" w:hAnsi="Arial" w:cs="Arial"/>
          <w:color w:val="000000"/>
          <w:sz w:val="22"/>
          <w:szCs w:val="22"/>
          <w:bdr w:val="none" w:sz="0" w:space="0" w:color="auto" w:frame="1"/>
          <w:lang w:eastAsia="zh-TW"/>
        </w:rPr>
        <w:fldChar w:fldCharType="separate"/>
      </w:r>
      <w:r w:rsidRPr="006B77EC">
        <w:rPr>
          <w:rFonts w:ascii="Arial" w:eastAsia="新細明體" w:hAnsi="Arial" w:cs="Arial"/>
          <w:noProof/>
          <w:color w:val="000000"/>
          <w:sz w:val="22"/>
          <w:szCs w:val="22"/>
          <w:bdr w:val="none" w:sz="0" w:space="0" w:color="auto" w:frame="1"/>
          <w:lang w:eastAsia="zh-TW"/>
        </w:rPr>
        <w:drawing>
          <wp:inline distT="0" distB="0" distL="0" distR="0" wp14:anchorId="635E7332" wp14:editId="7EA06500">
            <wp:extent cx="5943600" cy="44577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6B77EC">
        <w:rPr>
          <w:rFonts w:ascii="Arial" w:eastAsia="新細明體" w:hAnsi="Arial" w:cs="Arial"/>
          <w:color w:val="000000"/>
          <w:sz w:val="22"/>
          <w:szCs w:val="22"/>
          <w:bdr w:val="none" w:sz="0" w:space="0" w:color="auto" w:frame="1"/>
          <w:lang w:eastAsia="zh-TW"/>
        </w:rPr>
        <w:fldChar w:fldCharType="end"/>
      </w:r>
    </w:p>
    <w:p w14:paraId="5F00530A" w14:textId="77777777" w:rsidR="006B77EC" w:rsidRDefault="006B77EC" w:rsidP="00AF44FE">
      <w:pPr>
        <w:autoSpaceDE w:val="0"/>
        <w:autoSpaceDN w:val="0"/>
        <w:adjustRightInd w:val="0"/>
        <w:ind w:left="640" w:hanging="640"/>
        <w:rPr>
          <w:rFonts w:ascii="Arial" w:hAnsi="Arial" w:cs="Arial"/>
          <w:sz w:val="22"/>
          <w:szCs w:val="22"/>
        </w:rPr>
      </w:pPr>
    </w:p>
    <w:p w14:paraId="7C3AFA25" w14:textId="2555BF7D" w:rsidR="00CF74EE" w:rsidRDefault="00CF74EE">
      <w:pPr>
        <w:rPr>
          <w:rFonts w:ascii="Arial" w:hAnsi="Arial" w:cs="Arial"/>
          <w:sz w:val="22"/>
          <w:szCs w:val="22"/>
        </w:rPr>
      </w:pPr>
    </w:p>
    <w:sectPr w:rsidR="00CF74EE" w:rsidSect="007D609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FA147" w14:textId="77777777" w:rsidR="001E2460" w:rsidRDefault="001E2460" w:rsidP="00293A50">
      <w:r>
        <w:separator/>
      </w:r>
    </w:p>
  </w:endnote>
  <w:endnote w:type="continuationSeparator" w:id="0">
    <w:p w14:paraId="5C859160" w14:textId="77777777" w:rsidR="001E2460" w:rsidRDefault="001E2460" w:rsidP="00293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rPr>
      <w:id w:val="-706793724"/>
      <w:docPartObj>
        <w:docPartGallery w:val="Page Numbers (Bottom of Page)"/>
        <w:docPartUnique/>
      </w:docPartObj>
    </w:sdtPr>
    <w:sdtEndPr/>
    <w:sdtContent>
      <w:sdt>
        <w:sdtPr>
          <w:rPr>
            <w:rFonts w:ascii="Arial" w:hAnsi="Arial" w:cs="Arial"/>
            <w:sz w:val="20"/>
          </w:rPr>
          <w:id w:val="1728636285"/>
          <w:docPartObj>
            <w:docPartGallery w:val="Page Numbers (Top of Page)"/>
            <w:docPartUnique/>
          </w:docPartObj>
        </w:sdtPr>
        <w:sdtEndPr/>
        <w:sdtContent>
          <w:p w14:paraId="59E4C400" w14:textId="0DD851D7" w:rsidR="00293A50" w:rsidRPr="00293A50" w:rsidRDefault="00293A50">
            <w:pPr>
              <w:pStyle w:val="a6"/>
              <w:jc w:val="center"/>
              <w:rPr>
                <w:rFonts w:ascii="Arial" w:hAnsi="Arial" w:cs="Arial"/>
                <w:sz w:val="20"/>
              </w:rPr>
            </w:pPr>
            <w:r w:rsidRPr="00293A50">
              <w:rPr>
                <w:rFonts w:ascii="Arial" w:hAnsi="Arial" w:cs="Arial"/>
                <w:sz w:val="20"/>
              </w:rPr>
              <w:t xml:space="preserve">Page </w:t>
            </w:r>
            <w:r w:rsidRPr="00293A50">
              <w:rPr>
                <w:rFonts w:ascii="Arial" w:hAnsi="Arial" w:cs="Arial"/>
                <w:bCs/>
                <w:sz w:val="20"/>
              </w:rPr>
              <w:fldChar w:fldCharType="begin"/>
            </w:r>
            <w:r w:rsidRPr="00293A50">
              <w:rPr>
                <w:rFonts w:ascii="Arial" w:hAnsi="Arial" w:cs="Arial"/>
                <w:bCs/>
                <w:sz w:val="20"/>
              </w:rPr>
              <w:instrText xml:space="preserve"> PAGE </w:instrText>
            </w:r>
            <w:r w:rsidRPr="00293A50">
              <w:rPr>
                <w:rFonts w:ascii="Arial" w:hAnsi="Arial" w:cs="Arial"/>
                <w:bCs/>
                <w:sz w:val="20"/>
              </w:rPr>
              <w:fldChar w:fldCharType="separate"/>
            </w:r>
            <w:r w:rsidRPr="00293A50">
              <w:rPr>
                <w:rFonts w:ascii="Arial" w:hAnsi="Arial" w:cs="Arial"/>
                <w:bCs/>
                <w:noProof/>
                <w:sz w:val="20"/>
              </w:rPr>
              <w:t>2</w:t>
            </w:r>
            <w:r w:rsidRPr="00293A50">
              <w:rPr>
                <w:rFonts w:ascii="Arial" w:hAnsi="Arial" w:cs="Arial"/>
                <w:bCs/>
                <w:sz w:val="20"/>
              </w:rPr>
              <w:fldChar w:fldCharType="end"/>
            </w:r>
            <w:r w:rsidRPr="00293A50">
              <w:rPr>
                <w:rFonts w:ascii="Arial" w:hAnsi="Arial" w:cs="Arial"/>
                <w:sz w:val="20"/>
              </w:rPr>
              <w:t xml:space="preserve"> of </w:t>
            </w:r>
            <w:r w:rsidRPr="00293A50">
              <w:rPr>
                <w:rFonts w:ascii="Arial" w:hAnsi="Arial" w:cs="Arial"/>
                <w:bCs/>
                <w:sz w:val="20"/>
              </w:rPr>
              <w:fldChar w:fldCharType="begin"/>
            </w:r>
            <w:r w:rsidRPr="00293A50">
              <w:rPr>
                <w:rFonts w:ascii="Arial" w:hAnsi="Arial" w:cs="Arial"/>
                <w:bCs/>
                <w:sz w:val="20"/>
              </w:rPr>
              <w:instrText xml:space="preserve"> NUMPAGES  </w:instrText>
            </w:r>
            <w:r w:rsidRPr="00293A50">
              <w:rPr>
                <w:rFonts w:ascii="Arial" w:hAnsi="Arial" w:cs="Arial"/>
                <w:bCs/>
                <w:sz w:val="20"/>
              </w:rPr>
              <w:fldChar w:fldCharType="separate"/>
            </w:r>
            <w:r w:rsidRPr="00293A50">
              <w:rPr>
                <w:rFonts w:ascii="Arial" w:hAnsi="Arial" w:cs="Arial"/>
                <w:bCs/>
                <w:noProof/>
                <w:sz w:val="20"/>
              </w:rPr>
              <w:t>2</w:t>
            </w:r>
            <w:r w:rsidRPr="00293A50">
              <w:rPr>
                <w:rFonts w:ascii="Arial" w:hAnsi="Arial" w:cs="Arial"/>
                <w:bCs/>
                <w:sz w:val="20"/>
              </w:rPr>
              <w:fldChar w:fldCharType="end"/>
            </w:r>
          </w:p>
        </w:sdtContent>
      </w:sdt>
    </w:sdtContent>
  </w:sdt>
  <w:p w14:paraId="2E95AC21" w14:textId="77777777" w:rsidR="00293A50" w:rsidRDefault="00293A5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A7D43" w14:textId="77777777" w:rsidR="001E2460" w:rsidRDefault="001E2460" w:rsidP="00293A50">
      <w:r>
        <w:separator/>
      </w:r>
    </w:p>
  </w:footnote>
  <w:footnote w:type="continuationSeparator" w:id="0">
    <w:p w14:paraId="649BF5CA" w14:textId="77777777" w:rsidR="001E2460" w:rsidRDefault="001E2460" w:rsidP="00293A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3F6EE" w14:textId="145FAAF6" w:rsidR="007D6099" w:rsidRDefault="007D6099" w:rsidP="00126048">
    <w:pPr>
      <w:pStyle w:val="a3"/>
      <w:spacing w:after="120"/>
      <w:rPr>
        <w:b/>
        <w:sz w:val="22"/>
        <w:szCs w:val="22"/>
      </w:rPr>
    </w:pPr>
    <w:r w:rsidRPr="00C04A0A">
      <w:rPr>
        <w:b/>
        <w:sz w:val="22"/>
        <w:szCs w:val="22"/>
      </w:rPr>
      <w:t xml:space="preserve">Epi 207: Reproducibility in Epidemiologic </w:t>
    </w:r>
    <w:r w:rsidRPr="00016C3A">
      <w:rPr>
        <w:b/>
        <w:sz w:val="22"/>
        <w:szCs w:val="22"/>
      </w:rPr>
      <w:t xml:space="preserve">Research Assignment </w:t>
    </w:r>
    <w:r w:rsidR="0012634D">
      <w:rPr>
        <w:b/>
        <w:sz w:val="22"/>
        <w:szCs w:val="22"/>
      </w:rPr>
      <w:t>4</w:t>
    </w:r>
    <w:r w:rsidR="00172A3E">
      <w:rPr>
        <w:b/>
        <w:sz w:val="22"/>
        <w:szCs w:val="22"/>
      </w:rPr>
      <w:t xml:space="preserve"> – Full written assignment for Assignment</w:t>
    </w:r>
    <w:r w:rsidR="0012634D">
      <w:rPr>
        <w:b/>
        <w:sz w:val="22"/>
        <w:szCs w:val="22"/>
      </w:rPr>
      <w:t xml:space="preserve"> with Revisions</w:t>
    </w:r>
  </w:p>
  <w:p w14:paraId="3F813ADB" w14:textId="6940A77F" w:rsidR="00126048" w:rsidRPr="0070593D" w:rsidRDefault="00126048">
    <w:pPr>
      <w:pStyle w:val="a3"/>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7762C"/>
    <w:multiLevelType w:val="hybridMultilevel"/>
    <w:tmpl w:val="1826C4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A2C315F"/>
    <w:multiLevelType w:val="multilevel"/>
    <w:tmpl w:val="A8F44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2915C0"/>
    <w:multiLevelType w:val="multilevel"/>
    <w:tmpl w:val="3812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8F0F6F"/>
    <w:multiLevelType w:val="hybridMultilevel"/>
    <w:tmpl w:val="62389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10"/>
    <w:rsid w:val="00016C3A"/>
    <w:rsid w:val="00021538"/>
    <w:rsid w:val="00036FB4"/>
    <w:rsid w:val="00062A04"/>
    <w:rsid w:val="000A6724"/>
    <w:rsid w:val="000B45B1"/>
    <w:rsid w:val="00113848"/>
    <w:rsid w:val="00126048"/>
    <w:rsid w:val="0012634D"/>
    <w:rsid w:val="00130ECC"/>
    <w:rsid w:val="00171294"/>
    <w:rsid w:val="00172A3E"/>
    <w:rsid w:val="001812E3"/>
    <w:rsid w:val="001A0599"/>
    <w:rsid w:val="001A7D99"/>
    <w:rsid w:val="001B3D81"/>
    <w:rsid w:val="001E2460"/>
    <w:rsid w:val="0024365D"/>
    <w:rsid w:val="00252AC9"/>
    <w:rsid w:val="00252E30"/>
    <w:rsid w:val="00266A87"/>
    <w:rsid w:val="00293A50"/>
    <w:rsid w:val="002E1759"/>
    <w:rsid w:val="003320C0"/>
    <w:rsid w:val="00342121"/>
    <w:rsid w:val="00364EA4"/>
    <w:rsid w:val="00366F91"/>
    <w:rsid w:val="00374A90"/>
    <w:rsid w:val="00395922"/>
    <w:rsid w:val="003A4B7E"/>
    <w:rsid w:val="003B786F"/>
    <w:rsid w:val="003F598E"/>
    <w:rsid w:val="004155CE"/>
    <w:rsid w:val="00424D7A"/>
    <w:rsid w:val="00446B1F"/>
    <w:rsid w:val="00485210"/>
    <w:rsid w:val="004957C9"/>
    <w:rsid w:val="004D74E9"/>
    <w:rsid w:val="005064AC"/>
    <w:rsid w:val="00510CCD"/>
    <w:rsid w:val="00513338"/>
    <w:rsid w:val="005348E8"/>
    <w:rsid w:val="0054578F"/>
    <w:rsid w:val="00573AD9"/>
    <w:rsid w:val="00591390"/>
    <w:rsid w:val="005A75E6"/>
    <w:rsid w:val="005F01EC"/>
    <w:rsid w:val="00612C8A"/>
    <w:rsid w:val="00631FBD"/>
    <w:rsid w:val="00645248"/>
    <w:rsid w:val="006819E5"/>
    <w:rsid w:val="00683BD1"/>
    <w:rsid w:val="00691D93"/>
    <w:rsid w:val="00694969"/>
    <w:rsid w:val="006B77EC"/>
    <w:rsid w:val="006F587A"/>
    <w:rsid w:val="00701A3B"/>
    <w:rsid w:val="0070593D"/>
    <w:rsid w:val="00744A7E"/>
    <w:rsid w:val="007C5821"/>
    <w:rsid w:val="007D6099"/>
    <w:rsid w:val="007E5DE0"/>
    <w:rsid w:val="007E73E4"/>
    <w:rsid w:val="007F24D6"/>
    <w:rsid w:val="00803A89"/>
    <w:rsid w:val="0087365B"/>
    <w:rsid w:val="00880B9E"/>
    <w:rsid w:val="008A35DD"/>
    <w:rsid w:val="00900630"/>
    <w:rsid w:val="00910AEB"/>
    <w:rsid w:val="009B7E21"/>
    <w:rsid w:val="009C5296"/>
    <w:rsid w:val="009E6360"/>
    <w:rsid w:val="00A107A2"/>
    <w:rsid w:val="00A561BE"/>
    <w:rsid w:val="00A565CC"/>
    <w:rsid w:val="00A74E3C"/>
    <w:rsid w:val="00A75445"/>
    <w:rsid w:val="00AA0819"/>
    <w:rsid w:val="00AC5D08"/>
    <w:rsid w:val="00AE1237"/>
    <w:rsid w:val="00AF1EE0"/>
    <w:rsid w:val="00AF44FE"/>
    <w:rsid w:val="00B70CE8"/>
    <w:rsid w:val="00B76B55"/>
    <w:rsid w:val="00BC5C9E"/>
    <w:rsid w:val="00C04A0A"/>
    <w:rsid w:val="00C04A4C"/>
    <w:rsid w:val="00C427C8"/>
    <w:rsid w:val="00CA0D6E"/>
    <w:rsid w:val="00CE21C1"/>
    <w:rsid w:val="00CF74EE"/>
    <w:rsid w:val="00D15C25"/>
    <w:rsid w:val="00D737D4"/>
    <w:rsid w:val="00D82352"/>
    <w:rsid w:val="00D855AE"/>
    <w:rsid w:val="00DA7B2D"/>
    <w:rsid w:val="00DB2DE8"/>
    <w:rsid w:val="00E11985"/>
    <w:rsid w:val="00E5752A"/>
    <w:rsid w:val="00E67D3E"/>
    <w:rsid w:val="00E825B9"/>
    <w:rsid w:val="00ED2647"/>
    <w:rsid w:val="00F04517"/>
    <w:rsid w:val="00F10AEB"/>
    <w:rsid w:val="00F20E03"/>
    <w:rsid w:val="00F44F86"/>
    <w:rsid w:val="00F8260D"/>
    <w:rsid w:val="00FC468A"/>
    <w:rsid w:val="00FD70FA"/>
    <w:rsid w:val="00FF4395"/>
    <w:rsid w:val="00FF73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405E9"/>
  <w15:chartTrackingRefBased/>
  <w15:docId w15:val="{7ACC30DC-C28D-4A1E-9BFB-8C36A43F1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A561BE"/>
    <w:pPr>
      <w:spacing w:before="100" w:beforeAutospacing="1" w:after="100" w:afterAutospacing="1"/>
      <w:outlineLvl w:val="1"/>
    </w:pPr>
    <w:rPr>
      <w:rFonts w:ascii="新細明體" w:eastAsia="新細明體" w:hAnsi="新細明體" w:cs="新細明體"/>
      <w:b/>
      <w:bCs/>
      <w:sz w:val="36"/>
      <w:szCs w:val="36"/>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5210"/>
    <w:pPr>
      <w:tabs>
        <w:tab w:val="center" w:pos="4680"/>
        <w:tab w:val="right" w:pos="9360"/>
      </w:tabs>
    </w:pPr>
    <w:rPr>
      <w:rFonts w:ascii="Arial" w:hAnsi="Arial" w:cs="Arial"/>
      <w:sz w:val="20"/>
      <w:szCs w:val="20"/>
    </w:rPr>
  </w:style>
  <w:style w:type="character" w:customStyle="1" w:styleId="a4">
    <w:name w:val="頁首 字元"/>
    <w:basedOn w:val="a0"/>
    <w:link w:val="a3"/>
    <w:uiPriority w:val="99"/>
    <w:rsid w:val="00485210"/>
    <w:rPr>
      <w:rFonts w:ascii="Arial" w:hAnsi="Arial" w:cs="Arial"/>
      <w:sz w:val="20"/>
      <w:szCs w:val="20"/>
    </w:rPr>
  </w:style>
  <w:style w:type="paragraph" w:styleId="a5">
    <w:name w:val="List Paragraph"/>
    <w:basedOn w:val="a"/>
    <w:uiPriority w:val="34"/>
    <w:qFormat/>
    <w:rsid w:val="00485210"/>
    <w:pPr>
      <w:ind w:left="720"/>
      <w:contextualSpacing/>
    </w:pPr>
  </w:style>
  <w:style w:type="paragraph" w:customStyle="1" w:styleId="Default">
    <w:name w:val="Default"/>
    <w:rsid w:val="00CE21C1"/>
    <w:pPr>
      <w:autoSpaceDE w:val="0"/>
      <w:autoSpaceDN w:val="0"/>
      <w:adjustRightInd w:val="0"/>
    </w:pPr>
    <w:rPr>
      <w:rFonts w:ascii="Arial" w:hAnsi="Arial" w:cs="Arial"/>
      <w:color w:val="000000"/>
    </w:rPr>
  </w:style>
  <w:style w:type="paragraph" w:styleId="a6">
    <w:name w:val="footer"/>
    <w:basedOn w:val="a"/>
    <w:link w:val="a7"/>
    <w:uiPriority w:val="99"/>
    <w:unhideWhenUsed/>
    <w:rsid w:val="00293A50"/>
    <w:pPr>
      <w:tabs>
        <w:tab w:val="center" w:pos="4680"/>
        <w:tab w:val="right" w:pos="9360"/>
      </w:tabs>
    </w:pPr>
  </w:style>
  <w:style w:type="character" w:customStyle="1" w:styleId="a7">
    <w:name w:val="頁尾 字元"/>
    <w:basedOn w:val="a0"/>
    <w:link w:val="a6"/>
    <w:uiPriority w:val="99"/>
    <w:rsid w:val="00293A50"/>
  </w:style>
  <w:style w:type="character" w:customStyle="1" w:styleId="20">
    <w:name w:val="標題 2 字元"/>
    <w:basedOn w:val="a0"/>
    <w:link w:val="2"/>
    <w:uiPriority w:val="9"/>
    <w:rsid w:val="00A561BE"/>
    <w:rPr>
      <w:rFonts w:ascii="新細明體" w:eastAsia="新細明體" w:hAnsi="新細明體" w:cs="新細明體"/>
      <w:b/>
      <w:bCs/>
      <w:sz w:val="36"/>
      <w:szCs w:val="36"/>
      <w:lang w:eastAsia="zh-TW"/>
    </w:rPr>
  </w:style>
  <w:style w:type="paragraph" w:styleId="Web">
    <w:name w:val="Normal (Web)"/>
    <w:basedOn w:val="a"/>
    <w:uiPriority w:val="99"/>
    <w:semiHidden/>
    <w:unhideWhenUsed/>
    <w:rsid w:val="00A561BE"/>
    <w:pPr>
      <w:spacing w:before="100" w:beforeAutospacing="1" w:after="100" w:afterAutospacing="1"/>
    </w:pPr>
    <w:rPr>
      <w:rFonts w:ascii="新細明體" w:eastAsia="新細明體" w:hAnsi="新細明體" w:cs="新細明體"/>
      <w:lang w:eastAsia="zh-TW"/>
    </w:rPr>
  </w:style>
  <w:style w:type="character" w:styleId="a8">
    <w:name w:val="Hyperlink"/>
    <w:basedOn w:val="a0"/>
    <w:uiPriority w:val="99"/>
    <w:unhideWhenUsed/>
    <w:rsid w:val="00A561BE"/>
    <w:rPr>
      <w:color w:val="0000FF"/>
      <w:u w:val="single"/>
    </w:rPr>
  </w:style>
  <w:style w:type="character" w:customStyle="1" w:styleId="apple-tab-span">
    <w:name w:val="apple-tab-span"/>
    <w:basedOn w:val="a0"/>
    <w:rsid w:val="00A561BE"/>
  </w:style>
  <w:style w:type="character" w:styleId="a9">
    <w:name w:val="Unresolved Mention"/>
    <w:basedOn w:val="a0"/>
    <w:uiPriority w:val="99"/>
    <w:semiHidden/>
    <w:unhideWhenUsed/>
    <w:rsid w:val="003421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2268">
      <w:bodyDiv w:val="1"/>
      <w:marLeft w:val="0"/>
      <w:marRight w:val="0"/>
      <w:marTop w:val="0"/>
      <w:marBottom w:val="0"/>
      <w:divBdr>
        <w:top w:val="none" w:sz="0" w:space="0" w:color="auto"/>
        <w:left w:val="none" w:sz="0" w:space="0" w:color="auto"/>
        <w:bottom w:val="none" w:sz="0" w:space="0" w:color="auto"/>
        <w:right w:val="none" w:sz="0" w:space="0" w:color="auto"/>
      </w:divBdr>
    </w:div>
    <w:div w:id="102964137">
      <w:bodyDiv w:val="1"/>
      <w:marLeft w:val="0"/>
      <w:marRight w:val="0"/>
      <w:marTop w:val="0"/>
      <w:marBottom w:val="0"/>
      <w:divBdr>
        <w:top w:val="none" w:sz="0" w:space="0" w:color="auto"/>
        <w:left w:val="none" w:sz="0" w:space="0" w:color="auto"/>
        <w:bottom w:val="none" w:sz="0" w:space="0" w:color="auto"/>
        <w:right w:val="none" w:sz="0" w:space="0" w:color="auto"/>
      </w:divBdr>
    </w:div>
    <w:div w:id="104616438">
      <w:bodyDiv w:val="1"/>
      <w:marLeft w:val="0"/>
      <w:marRight w:val="0"/>
      <w:marTop w:val="0"/>
      <w:marBottom w:val="0"/>
      <w:divBdr>
        <w:top w:val="none" w:sz="0" w:space="0" w:color="auto"/>
        <w:left w:val="none" w:sz="0" w:space="0" w:color="auto"/>
        <w:bottom w:val="none" w:sz="0" w:space="0" w:color="auto"/>
        <w:right w:val="none" w:sz="0" w:space="0" w:color="auto"/>
      </w:divBdr>
    </w:div>
    <w:div w:id="229581485">
      <w:bodyDiv w:val="1"/>
      <w:marLeft w:val="0"/>
      <w:marRight w:val="0"/>
      <w:marTop w:val="0"/>
      <w:marBottom w:val="0"/>
      <w:divBdr>
        <w:top w:val="none" w:sz="0" w:space="0" w:color="auto"/>
        <w:left w:val="none" w:sz="0" w:space="0" w:color="auto"/>
        <w:bottom w:val="none" w:sz="0" w:space="0" w:color="auto"/>
        <w:right w:val="none" w:sz="0" w:space="0" w:color="auto"/>
      </w:divBdr>
    </w:div>
    <w:div w:id="555818005">
      <w:bodyDiv w:val="1"/>
      <w:marLeft w:val="0"/>
      <w:marRight w:val="0"/>
      <w:marTop w:val="0"/>
      <w:marBottom w:val="0"/>
      <w:divBdr>
        <w:top w:val="none" w:sz="0" w:space="0" w:color="auto"/>
        <w:left w:val="none" w:sz="0" w:space="0" w:color="auto"/>
        <w:bottom w:val="none" w:sz="0" w:space="0" w:color="auto"/>
        <w:right w:val="none" w:sz="0" w:space="0" w:color="auto"/>
      </w:divBdr>
    </w:div>
    <w:div w:id="661931444">
      <w:bodyDiv w:val="1"/>
      <w:marLeft w:val="0"/>
      <w:marRight w:val="0"/>
      <w:marTop w:val="0"/>
      <w:marBottom w:val="0"/>
      <w:divBdr>
        <w:top w:val="none" w:sz="0" w:space="0" w:color="auto"/>
        <w:left w:val="none" w:sz="0" w:space="0" w:color="auto"/>
        <w:bottom w:val="none" w:sz="0" w:space="0" w:color="auto"/>
        <w:right w:val="none" w:sz="0" w:space="0" w:color="auto"/>
      </w:divBdr>
    </w:div>
    <w:div w:id="703361792">
      <w:bodyDiv w:val="1"/>
      <w:marLeft w:val="0"/>
      <w:marRight w:val="0"/>
      <w:marTop w:val="0"/>
      <w:marBottom w:val="0"/>
      <w:divBdr>
        <w:top w:val="none" w:sz="0" w:space="0" w:color="auto"/>
        <w:left w:val="none" w:sz="0" w:space="0" w:color="auto"/>
        <w:bottom w:val="none" w:sz="0" w:space="0" w:color="auto"/>
        <w:right w:val="none" w:sz="0" w:space="0" w:color="auto"/>
      </w:divBdr>
    </w:div>
    <w:div w:id="786119494">
      <w:bodyDiv w:val="1"/>
      <w:marLeft w:val="0"/>
      <w:marRight w:val="0"/>
      <w:marTop w:val="0"/>
      <w:marBottom w:val="0"/>
      <w:divBdr>
        <w:top w:val="none" w:sz="0" w:space="0" w:color="auto"/>
        <w:left w:val="none" w:sz="0" w:space="0" w:color="auto"/>
        <w:bottom w:val="none" w:sz="0" w:space="0" w:color="auto"/>
        <w:right w:val="none" w:sz="0" w:space="0" w:color="auto"/>
      </w:divBdr>
    </w:div>
    <w:div w:id="921455716">
      <w:bodyDiv w:val="1"/>
      <w:marLeft w:val="0"/>
      <w:marRight w:val="0"/>
      <w:marTop w:val="0"/>
      <w:marBottom w:val="0"/>
      <w:divBdr>
        <w:top w:val="none" w:sz="0" w:space="0" w:color="auto"/>
        <w:left w:val="none" w:sz="0" w:space="0" w:color="auto"/>
        <w:bottom w:val="none" w:sz="0" w:space="0" w:color="auto"/>
        <w:right w:val="none" w:sz="0" w:space="0" w:color="auto"/>
      </w:divBdr>
      <w:divsChild>
        <w:div w:id="925921212">
          <w:marLeft w:val="1365"/>
          <w:marRight w:val="0"/>
          <w:marTop w:val="0"/>
          <w:marBottom w:val="0"/>
          <w:divBdr>
            <w:top w:val="none" w:sz="0" w:space="0" w:color="auto"/>
            <w:left w:val="none" w:sz="0" w:space="0" w:color="auto"/>
            <w:bottom w:val="none" w:sz="0" w:space="0" w:color="auto"/>
            <w:right w:val="none" w:sz="0" w:space="0" w:color="auto"/>
          </w:divBdr>
        </w:div>
      </w:divsChild>
    </w:div>
    <w:div w:id="1066298542">
      <w:bodyDiv w:val="1"/>
      <w:marLeft w:val="0"/>
      <w:marRight w:val="0"/>
      <w:marTop w:val="0"/>
      <w:marBottom w:val="0"/>
      <w:divBdr>
        <w:top w:val="none" w:sz="0" w:space="0" w:color="auto"/>
        <w:left w:val="none" w:sz="0" w:space="0" w:color="auto"/>
        <w:bottom w:val="none" w:sz="0" w:space="0" w:color="auto"/>
        <w:right w:val="none" w:sz="0" w:space="0" w:color="auto"/>
      </w:divBdr>
    </w:div>
    <w:div w:id="1077706539">
      <w:bodyDiv w:val="1"/>
      <w:marLeft w:val="0"/>
      <w:marRight w:val="0"/>
      <w:marTop w:val="0"/>
      <w:marBottom w:val="0"/>
      <w:divBdr>
        <w:top w:val="none" w:sz="0" w:space="0" w:color="auto"/>
        <w:left w:val="none" w:sz="0" w:space="0" w:color="auto"/>
        <w:bottom w:val="none" w:sz="0" w:space="0" w:color="auto"/>
        <w:right w:val="none" w:sz="0" w:space="0" w:color="auto"/>
      </w:divBdr>
    </w:div>
    <w:div w:id="1141001921">
      <w:bodyDiv w:val="1"/>
      <w:marLeft w:val="0"/>
      <w:marRight w:val="0"/>
      <w:marTop w:val="0"/>
      <w:marBottom w:val="0"/>
      <w:divBdr>
        <w:top w:val="none" w:sz="0" w:space="0" w:color="auto"/>
        <w:left w:val="none" w:sz="0" w:space="0" w:color="auto"/>
        <w:bottom w:val="none" w:sz="0" w:space="0" w:color="auto"/>
        <w:right w:val="none" w:sz="0" w:space="0" w:color="auto"/>
      </w:divBdr>
    </w:div>
    <w:div w:id="1460686580">
      <w:bodyDiv w:val="1"/>
      <w:marLeft w:val="0"/>
      <w:marRight w:val="0"/>
      <w:marTop w:val="0"/>
      <w:marBottom w:val="0"/>
      <w:divBdr>
        <w:top w:val="none" w:sz="0" w:space="0" w:color="auto"/>
        <w:left w:val="none" w:sz="0" w:space="0" w:color="auto"/>
        <w:bottom w:val="none" w:sz="0" w:space="0" w:color="auto"/>
        <w:right w:val="none" w:sz="0" w:space="0" w:color="auto"/>
      </w:divBdr>
    </w:div>
    <w:div w:id="1845168734">
      <w:bodyDiv w:val="1"/>
      <w:marLeft w:val="0"/>
      <w:marRight w:val="0"/>
      <w:marTop w:val="0"/>
      <w:marBottom w:val="0"/>
      <w:divBdr>
        <w:top w:val="none" w:sz="0" w:space="0" w:color="auto"/>
        <w:left w:val="none" w:sz="0" w:space="0" w:color="auto"/>
        <w:bottom w:val="none" w:sz="0" w:space="0" w:color="auto"/>
        <w:right w:val="none" w:sz="0" w:space="0" w:color="auto"/>
      </w:divBdr>
      <w:divsChild>
        <w:div w:id="1878159274">
          <w:marLeft w:val="1365"/>
          <w:marRight w:val="0"/>
          <w:marTop w:val="0"/>
          <w:marBottom w:val="0"/>
          <w:divBdr>
            <w:top w:val="none" w:sz="0" w:space="0" w:color="auto"/>
            <w:left w:val="none" w:sz="0" w:space="0" w:color="auto"/>
            <w:bottom w:val="none" w:sz="0" w:space="0" w:color="auto"/>
            <w:right w:val="none" w:sz="0" w:space="0" w:color="auto"/>
          </w:divBdr>
        </w:div>
      </w:divsChild>
    </w:div>
    <w:div w:id="1880899572">
      <w:bodyDiv w:val="1"/>
      <w:marLeft w:val="0"/>
      <w:marRight w:val="0"/>
      <w:marTop w:val="0"/>
      <w:marBottom w:val="0"/>
      <w:divBdr>
        <w:top w:val="none" w:sz="0" w:space="0" w:color="auto"/>
        <w:left w:val="none" w:sz="0" w:space="0" w:color="auto"/>
        <w:bottom w:val="none" w:sz="0" w:space="0" w:color="auto"/>
        <w:right w:val="none" w:sz="0" w:space="0" w:color="auto"/>
      </w:divBdr>
    </w:div>
    <w:div w:id="2068840772">
      <w:bodyDiv w:val="1"/>
      <w:marLeft w:val="0"/>
      <w:marRight w:val="0"/>
      <w:marTop w:val="0"/>
      <w:marBottom w:val="0"/>
      <w:divBdr>
        <w:top w:val="none" w:sz="0" w:space="0" w:color="auto"/>
        <w:left w:val="none" w:sz="0" w:space="0" w:color="auto"/>
        <w:bottom w:val="none" w:sz="0" w:space="0" w:color="auto"/>
        <w:right w:val="none" w:sz="0" w:space="0" w:color="auto"/>
      </w:divBdr>
    </w:div>
    <w:div w:id="2118602130">
      <w:bodyDiv w:val="1"/>
      <w:marLeft w:val="0"/>
      <w:marRight w:val="0"/>
      <w:marTop w:val="0"/>
      <w:marBottom w:val="0"/>
      <w:divBdr>
        <w:top w:val="none" w:sz="0" w:space="0" w:color="auto"/>
        <w:left w:val="none" w:sz="0" w:space="0" w:color="auto"/>
        <w:bottom w:val="none" w:sz="0" w:space="0" w:color="auto"/>
        <w:right w:val="none" w:sz="0" w:space="0" w:color="auto"/>
      </w:divBdr>
      <w:divsChild>
        <w:div w:id="1118522623">
          <w:marLeft w:val="136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oogle-docs/?uwope3"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AlycAlyc/EPIDEM207-2022-winter/tree/main/Assignment%20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0AC25-FFA5-1640-B66C-FE3083478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5795</Words>
  <Characters>33034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Rose Mayeda</dc:creator>
  <cp:keywords/>
  <dc:description/>
  <cp:lastModifiedBy>Hu, Yang Cheng</cp:lastModifiedBy>
  <cp:revision>34</cp:revision>
  <cp:lastPrinted>2022-02-10T18:37:00Z</cp:lastPrinted>
  <dcterms:created xsi:type="dcterms:W3CDTF">2022-02-10T17:49:00Z</dcterms:created>
  <dcterms:modified xsi:type="dcterms:W3CDTF">2022-03-16T19:33:00Z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b50ca3d0-c8ca-3e5c-8e51-d2b191b32d3d</vt:lpwstr>
  </property>
  <property fmtid="{D5CDD505-2E9C-101B-9397-08002B2CF9AE}" pid="24" name="Mendeley Citation Style_1">
    <vt:lpwstr>http://www.zotero.org/styles/american-medical-association</vt:lpwstr>
  </property>
</Properties>
</file>