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ПОЯСНИТЕЛЬНАЯ ЗАПИСКА</w:t>
      </w:r>
    </w:p>
    <w:p>
      <w:pPr>
        <w:jc w:val="center"/>
      </w:pPr>
      <w:r>
        <w:rPr>
          <w:b/>
          <w:sz w:val="26"/>
        </w:rPr>
        <w:t>к решению полуфинального задания</w:t>
        <w:br/>
        <w:t>«Распознавание нестандартных государственных регистрационных знаков»</w:t>
      </w:r>
    </w:p>
    <w:p>
      <w:pPr>
        <w:jc w:val="center"/>
      </w:pPr>
      <w:r>
        <w:t>Дисциплина: «Искусственный интеллект и анализ данных»</w:t>
        <w:br/>
        <w:t>Куратор: АИС Город</w:t>
        <w:br/>
        <w:t>Дата: 25.10.2026</w:t>
      </w:r>
    </w:p>
    <w:p>
      <w:pPr>
        <w:pStyle w:val="Heading1"/>
        <w:spacing w:before="160" w:after="80"/>
      </w:pPr>
      <w:r>
        <w:t>1. Цель и постановка задачи</w:t>
      </w:r>
    </w:p>
    <w:p>
      <w:pPr>
        <w:spacing w:after="60" w:line="240" w:lineRule="auto"/>
        <w:ind w:firstLine="454"/>
        <w:jc w:val="both"/>
      </w:pPr>
      <w:r>
        <w:t>Решение предназначено для полностью офлайн-распознавания российских государственных регистрационных знаков типов type1 (тип 1), type1a (тип 1А) и type1b (тип 1Б), а также для корректного отсева прочих знаков (other). На вход программе передаётся каталог изображений JPG/PNG. На выходе формируется CSV-файл с полями image;plate_num;plate_type;confidence. Во время распознавания решение не обращается к внешним API и может работать локально на ПК.</w:t>
      </w:r>
    </w:p>
    <w:p>
      <w:pPr>
        <w:pStyle w:val="Heading1"/>
        <w:spacing w:before="160" w:after="80"/>
      </w:pPr>
      <w:r>
        <w:t>2. Данные и подготовка датасета</w:t>
      </w:r>
    </w:p>
    <w:p>
      <w:pPr>
        <w:spacing w:after="60" w:line="240" w:lineRule="auto"/>
        <w:ind w:firstLine="454"/>
        <w:jc w:val="both"/>
      </w:pPr>
      <w:r>
        <w:t>В комплект проекта включена воспроизводимая синтетическая часть датасета объёмом 5600 изображений. Генерация выполняется собственными скриптами с фиксируемым random seed. Для приближения к условиям реальной съёмки применяются перспективные искажения, размытие, шум, изменение яркости, JPEG-деградация и отрицательные примеры.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Класс</w:t>
            </w:r>
          </w:p>
        </w:tc>
        <w:tc>
          <w:tcPr>
            <w:tcW w:type="dxa" w:w="5128"/>
          </w:tcPr>
          <w:p>
            <w:r>
              <w:t>Количество</w:t>
            </w:r>
          </w:p>
        </w:tc>
      </w:tr>
      <w:tr>
        <w:tc>
          <w:tcPr>
            <w:tcW w:type="dxa" w:w="5128"/>
          </w:tcPr>
          <w:p>
            <w:r>
              <w:t>type1</w:t>
            </w:r>
          </w:p>
        </w:tc>
        <w:tc>
          <w:tcPr>
            <w:tcW w:type="dxa" w:w="5128"/>
          </w:tcPr>
          <w:p>
            <w:r>
              <w:t>1662</w:t>
            </w:r>
          </w:p>
        </w:tc>
      </w:tr>
      <w:tr>
        <w:tc>
          <w:tcPr>
            <w:tcW w:type="dxa" w:w="5128"/>
          </w:tcPr>
          <w:p>
            <w:r>
              <w:t>type1a</w:t>
            </w:r>
          </w:p>
        </w:tc>
        <w:tc>
          <w:tcPr>
            <w:tcW w:type="dxa" w:w="5128"/>
          </w:tcPr>
          <w:p>
            <w:r>
              <w:t>1729</w:t>
            </w:r>
          </w:p>
        </w:tc>
      </w:tr>
      <w:tr>
        <w:tc>
          <w:tcPr>
            <w:tcW w:type="dxa" w:w="5128"/>
          </w:tcPr>
          <w:p>
            <w:r>
              <w:t>type1b</w:t>
            </w:r>
          </w:p>
        </w:tc>
        <w:tc>
          <w:tcPr>
            <w:tcW w:type="dxa" w:w="5128"/>
          </w:tcPr>
          <w:p>
            <w:r>
              <w:t>1609</w:t>
            </w:r>
          </w:p>
        </w:tc>
      </w:tr>
      <w:tr>
        <w:tc>
          <w:tcPr>
            <w:tcW w:type="dxa" w:w="5128"/>
          </w:tcPr>
          <w:p>
            <w:r>
              <w:t>other</w:t>
            </w:r>
          </w:p>
        </w:tc>
        <w:tc>
          <w:tcPr>
            <w:tcW w:type="dxa" w:w="5128"/>
          </w:tcPr>
          <w:p>
            <w:r>
              <w:t>600</w:t>
            </w:r>
          </w:p>
        </w:tc>
      </w:tr>
      <w:tr>
        <w:tc>
          <w:tcPr>
            <w:tcW w:type="dxa" w:w="5128"/>
          </w:tcPr>
          <w:p>
            <w:r>
              <w:t>Итого</w:t>
            </w:r>
          </w:p>
        </w:tc>
        <w:tc>
          <w:tcPr>
            <w:tcW w:type="dxa" w:w="5128"/>
          </w:tcPr>
          <w:p>
            <w:r>
              <w:t>5600</w:t>
            </w:r>
          </w:p>
        </w:tc>
      </w:tr>
    </w:tbl>
    <w:p>
      <w:pPr>
        <w:spacing w:after="60" w:line="240" w:lineRule="auto"/>
        <w:ind w:firstLine="454"/>
        <w:jc w:val="both"/>
      </w:pPr>
      <w:r>
        <w:t>Формат метаданных соответствует требованиям задания: для каждого знака могут фиксироваться относительный путь к изображению, plate_num, plate_type, bbox, четыре угловые точки quad, is_vehicle, is_synthetic, source, license и conditions. Для реальных изображений в проекте предусмотрен отдельный механизм сбора из открытых источников с проверкой лицензий. Автоматически предложенная разметка не выдаётся за ручную: её происхождение фиксируется в annotation_audit.csv, а неизвестные символы обозначаются символом #.</w:t>
      </w:r>
    </w:p>
    <w:p>
      <w:pPr>
        <w:spacing w:after="60" w:line="240" w:lineRule="auto"/>
        <w:ind w:firstLine="454"/>
        <w:jc w:val="both"/>
      </w:pPr>
      <w:r>
        <w:t>На момент формирования данной сборки локальный валидатор подтвердил корректность структуры синтетической части: Errors: 0. При этом он выводит предупреждения о том, что рекомендуемые объёмы реальных type1a, type1b и other ещё не набраны. Эти предупреждения не скрываются и должны учитываться при оценке ограничения текущей версии.</w:t>
      </w:r>
    </w:p>
    <w:p>
      <w:pPr>
        <w:pStyle w:val="Heading1"/>
        <w:spacing w:before="160" w:after="80"/>
      </w:pPr>
      <w:r>
        <w:t>3. Архитектура решения</w:t>
      </w:r>
    </w:p>
    <w:p>
      <w:pPr>
        <w:spacing w:after="60" w:line="240" w:lineRule="auto"/>
        <w:ind w:firstLine="454"/>
        <w:jc w:val="both"/>
      </w:pPr>
      <w:r>
        <w:t>Пайплайн построен модульно и состоит из последовательных стадий:</w:t>
      </w:r>
    </w:p>
    <w:p>
      <w:pPr>
        <w:pStyle w:val="ListBullet"/>
        <w:spacing w:after="20" w:line="240" w:lineRule="auto"/>
      </w:pPr>
      <w:r>
        <w:t>OpenCV формирует быстрые region proposals по геометрии и визуальным признакам.</w:t>
      </w:r>
    </w:p>
    <w:p>
      <w:pPr>
        <w:pStyle w:val="ListBullet"/>
        <w:spacing w:after="20" w:line="240" w:lineRule="auto"/>
      </w:pPr>
      <w:r>
        <w:t>Локальный обученный SVM-фильтр detector_svm.joblib отсеивает ложные кандидаты.</w:t>
      </w:r>
    </w:p>
    <w:p>
      <w:pPr>
        <w:pStyle w:val="ListBullet"/>
        <w:spacing w:after="20" w:line="240" w:lineRule="auto"/>
      </w:pPr>
      <w:r>
        <w:t>Найденный знак выравнивается перспективным преобразованием.</w:t>
      </w:r>
    </w:p>
    <w:p>
      <w:pPr>
        <w:pStyle w:val="ListBullet"/>
        <w:spacing w:after="20" w:line="240" w:lineRule="auto"/>
      </w:pPr>
      <w:r>
        <w:t>Определяется тип знака type1/type1a/type1b/other; для целевых классов выполняется OCR.</w:t>
      </w:r>
    </w:p>
    <w:p>
      <w:pPr>
        <w:pStyle w:val="ListBullet"/>
        <w:spacing w:after="20" w:line="240" w:lineRule="auto"/>
      </w:pPr>
      <w:r>
        <w:t>Основная OCR-модель ocr_svm.joblib использует HOG-признаки и LinearSVC; предусмотрен детерминированный fallback.</w:t>
      </w:r>
    </w:p>
    <w:p>
      <w:pPr>
        <w:pStyle w:val="ListBullet"/>
        <w:spacing w:after="20" w:line="240" w:lineRule="auto"/>
      </w:pPr>
      <w:r>
        <w:t>Постобработка проверяет допустимый алфавит и маску российского ГРЗ, рассчитывает confidence и формирует CSV.</w:t>
      </w:r>
    </w:p>
    <w:p>
      <w:pPr>
        <w:spacing w:after="60" w:line="240" w:lineRule="auto"/>
        <w:ind w:firstLine="454"/>
        <w:jc w:val="both"/>
      </w:pPr>
      <w:r>
        <w:t>Разделение detect → rectify → classify → recognize → validate позволяет заменять отдельные компоненты более тяжёлыми моделями без изменения внешнего интерфейса программы. Веса моделей передаются вместе с исходным кодом.</w:t>
      </w:r>
    </w:p>
    <w:p>
      <w:pPr>
        <w:pStyle w:val="Heading1"/>
        <w:spacing w:before="160" w:after="80"/>
      </w:pPr>
      <w:r>
        <w:t>4. Обучение и локальная валидация</w:t>
      </w:r>
    </w:p>
    <w:p>
      <w:pPr>
        <w:spacing w:after="60" w:line="240" w:lineRule="auto"/>
        <w:ind w:firstLine="454"/>
        <w:jc w:val="both"/>
      </w:pPr>
      <w:r>
        <w:t>В составе проекта находятся скрипты воспроизведения обучения. OCR SVM обучен на процедурно сгенерированных вариантах допустимых символов. На отдельной синтетической held-out выборке получена accuracy 1.0000 на 528 примерах. SVM-фильтр кандидатов на отдельной синтетической held-out выборке показал accuracy, precision, recall и F1 = 1.0000 на 720 примерах. Эти показатели характеризуют только процедурную синтетику и не интерпретируются как качество на скрытом тестовом наборе или на реальном видеопотоке.</w:t>
      </w:r>
    </w:p>
    <w:p>
      <w:pPr>
        <w:spacing w:after="60" w:line="240" w:lineRule="auto"/>
        <w:ind w:firstLine="454"/>
        <w:jc w:val="both"/>
      </w:pPr>
      <w:r>
        <w:t>Для воспроизводимости сериализованных SVM-моделей в requirements.txt зафиксирована версия scikit-learn==1.8.0, соответствующая версии, на которой были сохранены веса. Это устраняет предупреждение о несовместимости версий при загрузке моделей.</w:t>
      </w:r>
    </w:p>
    <w:p>
      <w:pPr>
        <w:pStyle w:val="Heading1"/>
        <w:spacing w:before="160" w:after="80"/>
      </w:pPr>
      <w:r>
        <w:t>5. Производительность и инструкция запуска</w:t>
      </w:r>
    </w:p>
    <w:p>
      <w:pPr>
        <w:spacing w:after="60" w:line="240" w:lineRule="auto"/>
        <w:ind w:firstLine="454"/>
        <w:jc w:val="both"/>
      </w:pPr>
      <w:r>
        <w:t>Основная команда запуска решения на каталоге изображений:</w:t>
      </w:r>
    </w:p>
    <w:p>
      <w:pPr>
        <w:ind w:left="454"/>
      </w:pPr>
      <w:r>
        <w:rPr>
          <w:rFonts w:ascii="Courier New" w:hAnsi="Courier New"/>
          <w:sz w:val="19"/>
        </w:rPr>
        <w:t>python main.py --input &lt;catalog&gt; --output result.csv --benchmark</w:t>
      </w:r>
    </w:p>
    <w:p>
      <w:pPr>
        <w:spacing w:after="60" w:line="240" w:lineRule="auto"/>
        <w:ind w:firstLine="454"/>
        <w:jc w:val="both"/>
      </w:pPr>
      <w:r>
        <w:t>Контрольный запуск на локальном ПК участника 25.10.2026: обработано 3 изображения, получено 2 детекции, среднее время обработки составило 30,63 мс/изображение. Показатель ниже установленного в задании порога 100 мс/изображение, однако измерение выполнено не на референсном компьютере жюри и приводится только как локальный замер.</w:t>
      </w:r>
    </w:p>
    <w:p>
      <w:pPr>
        <w:spacing w:after="60" w:line="240" w:lineRule="auto"/>
        <w:ind w:firstLine="454"/>
        <w:jc w:val="both"/>
      </w:pPr>
      <w:r>
        <w:t>Для проверки сборки используются команды: python -m pytest -q; python dataset/validate_dataset.py --root dataset; python main.py --input test_images --output results/result.csv --benchmark. В текущей сборке модульные тесты проходят успешно: 2 passed.</w:t>
      </w:r>
    </w:p>
    <w:p>
      <w:pPr>
        <w:pStyle w:val="Heading1"/>
        <w:spacing w:before="160" w:after="80"/>
      </w:pPr>
      <w:r>
        <w:t>6. Ограничения и дальнейшее развитие</w:t>
      </w:r>
    </w:p>
    <w:p>
      <w:pPr>
        <w:spacing w:after="60" w:line="240" w:lineRule="auto"/>
        <w:ind w:firstLine="454"/>
        <w:jc w:val="both"/>
      </w:pPr>
      <w:r>
        <w:t>Основное ограничение текущей версии связано с доменным разрывом между синтетическими и реальными изображениями. Качество может снижаться на очень мелких знаках, при сильном загрязнении, бликах, ночной съёмке, выраженном motion blur и сложном фоне. Кроме того, рекомендуемые объёмы реальных данных type1a/type1b/other в текущий архив не включены в полном объёме. Проект содержит механизм легального сбора и фиксации источников/лицензий, однако перед финальной конкурсной отправкой желателен визуальный аудит собранных реальных данных.</w:t>
      </w:r>
    </w:p>
    <w:p>
      <w:pPr>
        <w:spacing w:after="60" w:line="240" w:lineRule="auto"/>
        <w:ind w:firstLine="454"/>
        <w:jc w:val="both"/>
      </w:pPr>
      <w:r>
        <w:t>Архитектура допускает расширение на другие формы, виды и страны: для этого необходимо добавить новые классы детектора/классификатора, допустимый алфавит и соответствующие правила постобработки. Общий интерфейс запуска и формат выходного CSV при этом могут быть сохранены.</w:t>
      </w:r>
    </w:p>
    <w:sectPr w:rsidR="00FC693F" w:rsidRPr="0006063C" w:rsidSect="00034616">
      <w:footerReference w:type="default" r:id="rId9"/>
      <w:pgSz w:w="12240" w:h="15840"/>
      <w:pgMar w:top="907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Пояснительная записка — полуфинал «Искусственный интеллект и анализ данных»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