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x0paaf693094" w:id="0"/>
      <w:bookmarkEnd w:id="0"/>
      <w:r w:rsidDel="00000000" w:rsidR="00000000" w:rsidRPr="00000000">
        <w:rPr>
          <w:rtl w:val="0"/>
        </w:rPr>
        <w:t xml:space="preserve">SvartúlfrVerse: Architettura e Analisi Strategica del Framework</w:t>
      </w:r>
    </w:p>
    <w:p w:rsidR="00000000" w:rsidDel="00000000" w:rsidP="00000000" w:rsidRDefault="00000000" w:rsidRPr="00000000" w14:paraId="00000002">
      <w:pPr>
        <w:pStyle w:val="Heading4"/>
        <w:rPr/>
      </w:pPr>
      <w:bookmarkStart w:colFirst="0" w:colLast="0" w:name="_9sxewhe6gsdp" w:id="1"/>
      <w:bookmarkEnd w:id="1"/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Lo SvartúlfrVerse è un framework di gioco di ruolo modulare progettato per garantire riusabilità, scalabilità e manutenibilità a lungo termine sulla piattaforma JanitorAI. La filosofia centrale del sistema si basa sul principio 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"Runtime First"</w:t>
      </w:r>
      <w:r w:rsidDel="00000000" w:rsidR="00000000" w:rsidRPr="00000000">
        <w:rPr>
          <w:rtl w:val="0"/>
        </w:rPr>
        <w:t xml:space="preserve"> , il quale stabilisce che il comportamento effettivo del runtime di JanitorAI è l'autorità suprema, superando qualsiasi documentazione teorica o diagramma architettonico.I pilastri fondamentali includono la 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Separazione delle Preoccupazioni</w:t>
      </w:r>
      <w:r w:rsidDel="00000000" w:rsidR="00000000" w:rsidRPr="00000000">
        <w:rPr>
          <w:rtl w:val="0"/>
        </w:rPr>
        <w:t xml:space="preserve">  (Knowledge vs Behavior), la 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Canonicalità del Personaggio</w:t>
      </w:r>
      <w:r w:rsidDel="00000000" w:rsidR="00000000" w:rsidRPr="00000000">
        <w:rPr>
          <w:rtl w:val="0"/>
        </w:rPr>
        <w:t xml:space="preserve">  (un'unica entità per più mondi) e una 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Gerarchia Mondiale</w:t>
      </w:r>
      <w:r w:rsidDel="00000000" w:rsidR="00000000" w:rsidRPr="00000000">
        <w:rPr>
          <w:rtl w:val="0"/>
        </w:rPr>
        <w:t xml:space="preserve">  basata su sovrapposizioni (Overlay). Nonostante la robustezza del design, recenti analisi delle cause scatenanti (Root Cause Reports) hanno identificato debiti tecnici critici relativi alla protezione dell'agenzia dell'utente (POV) e all'integrità del grafo delle relazioni familiari, che richiedono l'implementazione immediata di metadati espliciti e file di lorebook estesi.</w:t>
      </w:r>
    </w:p>
    <w:p w:rsidR="00000000" w:rsidDel="00000000" w:rsidP="00000000" w:rsidRDefault="00000000" w:rsidRPr="00000000" w14:paraId="00000004">
      <w:pPr>
        <w:pStyle w:val="Heading4"/>
        <w:rPr/>
      </w:pPr>
      <w:bookmarkStart w:colFirst="0" w:colLast="0" w:name="_vun9ke6re7a2" w:id="2"/>
      <w:bookmarkEnd w:id="2"/>
      <w:r w:rsidDel="00000000" w:rsidR="00000000" w:rsidRPr="00000000">
        <w:rPr>
          <w:rtl w:val="0"/>
        </w:rPr>
        <w:t xml:space="preserve">1. Architettura Semantica a Livelli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Il framework organizza i dati in quattro livelli semantici distinti, ciascuno con responsabilità univoche:| Livello | Prefisso | Funzione Principale | Contenuto || ------ | ------ | ------ | ------ ||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Engine</w:t>
      </w:r>
      <w:r w:rsidDel="00000000" w:rsidR="00000000" w:rsidRPr="00000000">
        <w:rPr>
          <w:rtl w:val="0"/>
        </w:rPr>
        <w:t xml:space="preserve"> | En_* | Logica di Runtime | Sistemi di comportamento, elaborazione degli stati, istruzioni imperative. ||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World</w:t>
      </w:r>
      <w:r w:rsidDel="00000000" w:rsidR="00000000" w:rsidRPr="00000000">
        <w:rPr>
          <w:rtl w:val="0"/>
        </w:rPr>
        <w:t xml:space="preserve"> | W_* | Conoscenza del Mondo | Geografia, istituzioni, cultura, tecnologia, sistemi magici. ||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Character</w:t>
      </w:r>
      <w:r w:rsidDel="00000000" w:rsidR="00000000" w:rsidRPr="00000000">
        <w:rPr>
          <w:rtl w:val="0"/>
        </w:rPr>
        <w:t xml:space="preserve"> | C_* | Identità del Personaggio | Aspetto, psicologia, storia, tendenze comportamentali. ||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Experience</w:t>
      </w:r>
      <w:r w:rsidDel="00000000" w:rsidR="00000000" w:rsidRPr="00000000">
        <w:rPr>
          <w:rtl w:val="0"/>
        </w:rPr>
        <w:t xml:space="preserve"> | Ex_* | Prodotto Distribuibile | Composizione di mondi e cast, scenario specifico, configurazione POV. |</w:t>
      </w:r>
    </w:p>
    <w:p w:rsidR="00000000" w:rsidDel="00000000" w:rsidP="00000000" w:rsidRDefault="00000000" w:rsidRPr="00000000" w14:paraId="00000006">
      <w:pPr>
        <w:pStyle w:val="Heading5"/>
        <w:rPr/>
      </w:pPr>
      <w:bookmarkStart w:colFirst="0" w:colLast="0" w:name="_wcr1bngop4c" w:id="3"/>
      <w:bookmarkEnd w:id="3"/>
      <w:r w:rsidDel="00000000" w:rsidR="00000000" w:rsidRPr="00000000">
        <w:rPr>
          <w:rtl w:val="0"/>
        </w:rPr>
        <w:t xml:space="preserve">Il Principio "Runtime First"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Nello SvartúlfrVerse, la realtà non si adatta mai all'architettura. Se le osservazioni durante le sessioni live contraddicono l'architettura: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 preserva l'osservazione.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 aggiorna l'architettura e gli ADR (Architecture Decision Records).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 aggiornano i workflow e si procede al re-test.</w:t>
      </w:r>
    </w:p>
    <w:p w:rsidR="00000000" w:rsidDel="00000000" w:rsidP="00000000" w:rsidRDefault="00000000" w:rsidRPr="00000000" w14:paraId="0000000B">
      <w:pPr>
        <w:pStyle w:val="Heading4"/>
        <w:rPr/>
      </w:pPr>
      <w:bookmarkStart w:colFirst="0" w:colLast="0" w:name="_n7y4ae9wr7p4" w:id="4"/>
      <w:bookmarkEnd w:id="4"/>
      <w:r w:rsidDel="00000000" w:rsidR="00000000" w:rsidRPr="00000000">
        <w:rPr>
          <w:rtl w:val="0"/>
        </w:rPr>
        <w:t xml:space="preserve">2. Separazione tra Conoscenza e Comportamento (ADR 001)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Per evitare il degrado dei prompt monolitici e le istruzioni contraddittorie, il framework separa nettamente ciò che un personaggio  </w:t>
      </w:r>
      <w:r w:rsidDel="00000000" w:rsidR="00000000" w:rsidRPr="00000000">
        <w:rPr>
          <w:i w:val="1"/>
          <w:iCs w:val="1"/>
          <w:rtl w:val="0"/>
        </w:rPr>
        <w:t xml:space="preserve">è</w:t>
      </w:r>
      <w:r w:rsidDel="00000000" w:rsidR="00000000" w:rsidRPr="00000000">
        <w:rPr>
          <w:rtl w:val="0"/>
        </w:rPr>
        <w:t xml:space="preserve">  da come l'IA deve  </w:t>
      </w:r>
      <w:r w:rsidDel="00000000" w:rsidR="00000000" w:rsidRPr="00000000">
        <w:rPr>
          <w:i w:val="1"/>
          <w:iCs w:val="1"/>
          <w:rtl w:val="0"/>
        </w:rPr>
        <w:t xml:space="preserve">agire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Knowledge Layer:</w:t>
      </w:r>
      <w:r w:rsidDel="00000000" w:rsidR="00000000" w:rsidRPr="00000000">
        <w:rPr>
          <w:rtl w:val="0"/>
        </w:rPr>
        <w:t xml:space="preserve">  Risponde a "Chi è questo personaggio?" e "Cosa è vero?". Include tratti psicologici e tendenze (es. stile di parola, meccanismi di coping), ma non istruzioni imperative.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Behavior Layer:</w:t>
      </w:r>
      <w:r w:rsidDel="00000000" w:rsidR="00000000" w:rsidRPr="00000000">
        <w:rPr>
          <w:rtl w:val="0"/>
        </w:rPr>
        <w:t xml:space="preserve">  Risponde a "Come deve comportarsi l'IA?". Contiene logica di runtime, transizioni di stato e reazioni agli scenari.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Regola di Contaminazione:</w:t>
      </w:r>
      <w:r w:rsidDel="00000000" w:rsidR="00000000" w:rsidRPr="00000000">
        <w:rPr>
          <w:rtl w:val="0"/>
        </w:rPr>
        <w:t xml:space="preserve">  Una tendenza diventa "contaminazione comportamentale" se contiene condizioni, trigger o azioni obbligatorie (istruzioni imperative).</w:t>
      </w:r>
    </w:p>
    <w:p w:rsidR="00000000" w:rsidDel="00000000" w:rsidP="00000000" w:rsidRDefault="00000000" w:rsidRPr="00000000" w14:paraId="0000000F">
      <w:pPr>
        <w:pStyle w:val="Heading4"/>
        <w:rPr/>
      </w:pPr>
      <w:bookmarkStart w:colFirst="0" w:colLast="0" w:name="_7szhuryskvyf" w:id="5"/>
      <w:bookmarkEnd w:id="5"/>
      <w:r w:rsidDel="00000000" w:rsidR="00000000" w:rsidRPr="00000000">
        <w:rPr>
          <w:rtl w:val="0"/>
        </w:rPr>
        <w:t xml:space="preserve">3. Tassonomia Mondiale e Composizione (ADR 005)</w:t>
      </w:r>
    </w:p>
    <w:p w:rsidR="00000000" w:rsidDel="00000000" w:rsidP="00000000" w:rsidRDefault="00000000" w:rsidRPr="00000000" w14:paraId="00000010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  <w:t xml:space="preserve">Il sistema utilizza una gerarchia di composizione per gestire la complessità dei generi e delle ambientazioni: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Genere → Mondo → Overlay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Mondo (World):</w:t>
      </w:r>
      <w:r w:rsidDel="00000000" w:rsidR="00000000" w:rsidRPr="00000000">
        <w:rPr>
          <w:rtl w:val="0"/>
        </w:rPr>
        <w:t xml:space="preserve">  Definisce le basi (es.  </w:t>
      </w:r>
      <w:r w:rsidDel="00000000" w:rsidR="00000000" w:rsidRPr="00000000">
        <w:rPr>
          <w:i w:val="1"/>
          <w:iCs w:val="1"/>
          <w:rtl w:val="0"/>
        </w:rPr>
        <w:t xml:space="preserve">Contemporary</w:t>
      </w:r>
      <w:r w:rsidDel="00000000" w:rsidR="00000000" w:rsidRPr="00000000">
        <w:rPr>
          <w:rtl w:val="0"/>
        </w:rPr>
        <w:t xml:space="preserve">  definisce Los Angeles e le strutture sociali moderne).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Overlay:</w:t>
      </w:r>
      <w:r w:rsidDel="00000000" w:rsidR="00000000" w:rsidRPr="00000000">
        <w:rPr>
          <w:rtl w:val="0"/>
        </w:rPr>
        <w:t xml:space="preserve">  Modifica un mondo esistente senza sostituirlo (es.  </w:t>
      </w:r>
      <w:r w:rsidDel="00000000" w:rsidR="00000000" w:rsidRPr="00000000">
        <w:rPr>
          <w:i w:val="1"/>
          <w:iCs w:val="1"/>
          <w:rtl w:val="0"/>
        </w:rPr>
        <w:t xml:space="preserve">Urban Fantasy</w:t>
      </w:r>
      <w:r w:rsidDel="00000000" w:rsidR="00000000" w:rsidRPr="00000000">
        <w:rPr>
          <w:rtl w:val="0"/>
        </w:rPr>
        <w:t xml:space="preserve">  eredita  </w:t>
      </w:r>
      <w:r w:rsidDel="00000000" w:rsidR="00000000" w:rsidRPr="00000000">
        <w:rPr>
          <w:i w:val="1"/>
          <w:iCs w:val="1"/>
          <w:rtl w:val="0"/>
        </w:rPr>
        <w:t xml:space="preserve">Contemporary</w:t>
      </w:r>
      <w:r w:rsidDel="00000000" w:rsidR="00000000" w:rsidRPr="00000000">
        <w:rPr>
          <w:rtl w:val="0"/>
        </w:rPr>
        <w:t xml:space="preserve">  e aggiunge elementi come i "demi-human" o le strutture dei branchi).</w:t>
      </w:r>
    </w:p>
    <w:p w:rsidR="00000000" w:rsidDel="00000000" w:rsidP="00000000" w:rsidRDefault="00000000" w:rsidRPr="00000000" w14:paraId="00000013">
      <w:pPr>
        <w:pStyle w:val="Heading4"/>
        <w:rPr/>
      </w:pPr>
      <w:bookmarkStart w:colFirst="0" w:colLast="0" w:name="_if66v0clrkwy" w:id="6"/>
      <w:bookmarkEnd w:id="6"/>
      <w:r w:rsidDel="00000000" w:rsidR="00000000" w:rsidRPr="00000000">
        <w:rPr>
          <w:rtl w:val="0"/>
        </w:rPr>
        <w:t xml:space="preserve">4. Gestione del Punto di Vista (POV) e User Agency</w:t>
      </w:r>
    </w:p>
    <w:p w:rsidR="00000000" w:rsidDel="00000000" w:rsidP="00000000" w:rsidRDefault="00000000" w:rsidRPr="00000000" w14:paraId="00000014">
      <w:pPr>
        <w:pStyle w:val="Heading5"/>
        <w:rPr/>
      </w:pPr>
      <w:bookmarkStart w:colFirst="0" w:colLast="0" w:name="_5agh0belv4zh" w:id="7"/>
      <w:bookmarkEnd w:id="7"/>
      <w:r w:rsidDel="00000000" w:rsidR="00000000" w:rsidRPr="00000000">
        <w:rPr>
          <w:rtl w:val="0"/>
        </w:rPr>
        <w:t xml:space="preserve">POV Slot e POV Override (ADR 004, 006)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L'utente occupa un 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POV Slot</w:t>
      </w:r>
      <w:r w:rsidDel="00000000" w:rsidR="00000000" w:rsidRPr="00000000">
        <w:rPr>
          <w:rtl w:val="0"/>
        </w:rPr>
        <w:t xml:space="preserve">  esterno al livello dei personaggi.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POV Override:</w:t>
      </w:r>
      <w:r w:rsidDel="00000000" w:rsidR="00000000" w:rsidRPr="00000000">
        <w:rPr>
          <w:rtl w:val="0"/>
        </w:rPr>
        <w:t xml:space="preserve">  Un'esperienza può assegnare un personaggio canonico (es. C_Alyssa) al POV Slot. In questo caso, il personaggio rimane canonico ma viene rimosso dal cast degli NPC attivi.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Avatar Templates:</w:t>
      </w:r>
      <w:r w:rsidDel="00000000" w:rsidR="00000000" w:rsidRPr="00000000">
        <w:rPr>
          <w:rtl w:val="0"/>
        </w:rPr>
        <w:t xml:space="preserve">  Sono opzionali e servono solo a definire l'utente; non sono considerati NPC o asset C_*.</w:t>
      </w:r>
    </w:p>
    <w:p w:rsidR="00000000" w:rsidDel="00000000" w:rsidP="00000000" w:rsidRDefault="00000000" w:rsidRPr="00000000" w14:paraId="00000018">
      <w:pPr>
        <w:pStyle w:val="Heading5"/>
        <w:rPr/>
      </w:pPr>
      <w:bookmarkStart w:colFirst="0" w:colLast="0" w:name="_3icehdvgmxt2" w:id="8"/>
      <w:bookmarkEnd w:id="8"/>
      <w:r w:rsidDel="00000000" w:rsidR="00000000" w:rsidRPr="00000000">
        <w:rPr>
          <w:rtl w:val="0"/>
        </w:rPr>
        <w:t xml:space="preserve">Analisi dei Fallimenti del POV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Un rapporto sulle cause scatenanti ha rilevato violazioni dell'agenzia dell'utente, dove il modello genera pensieri, emozioni o azioni per l'utente ({{user}}).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Causa Principale:</w:t>
      </w:r>
      <w:r w:rsidDel="00000000" w:rsidR="00000000" w:rsidRPr="00000000">
        <w:rPr>
          <w:rtl w:val="0"/>
        </w:rPr>
        <w:t xml:space="preserve">  Mancanza di un meccanismo di applicazione a runtime. Le istruzioni POV sono blocchi di testo non forzati dall'engine.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Soluzione Proposta (ADR 008):</w:t>
      </w:r>
      <w:r w:rsidDel="00000000" w:rsidR="00000000" w:rsidRPr="00000000">
        <w:rPr>
          <w:rtl w:val="0"/>
        </w:rPr>
        <w:t xml:space="preserve">  Sostituire il parsing delle stringhe con 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Tag di Identità POV</w:t>
      </w:r>
      <w:r w:rsidDel="00000000" w:rsidR="00000000" w:rsidRPr="00000000">
        <w:rPr>
          <w:rtl w:val="0"/>
        </w:rPr>
        <w:t xml:space="preserve">  basati su metadati espliciti per consentire un filtraggio robusto e l'enforcement dell'agenzia utente.</w:t>
      </w:r>
    </w:p>
    <w:p w:rsidR="00000000" w:rsidDel="00000000" w:rsidP="00000000" w:rsidRDefault="00000000" w:rsidRPr="00000000" w14:paraId="0000001C">
      <w:pPr>
        <w:pStyle w:val="Heading4"/>
        <w:rPr/>
      </w:pPr>
      <w:bookmarkStart w:colFirst="0" w:colLast="0" w:name="_5sefrhov2gxm" w:id="9"/>
      <w:bookmarkEnd w:id="9"/>
      <w:r w:rsidDel="00000000" w:rsidR="00000000" w:rsidRPr="00000000">
        <w:rPr>
          <w:rtl w:val="0"/>
        </w:rPr>
        <w:t xml:space="preserve">5. Integrità del Grafo delle Relazioni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Un'analisi critica ha identificato errori nel riconoscimento dei legami familiari (es. Valerius trattato come nipote invece che fratellastro).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Problema:</w:t>
      </w:r>
      <w:r w:rsidDel="00000000" w:rsidR="00000000" w:rsidRPr="00000000">
        <w:rPr>
          <w:rtl w:val="0"/>
        </w:rPr>
        <w:t xml:space="preserve">  Personaggi della famiglia estesa (Valerius, Hati, Sköll, Cassia) esistono nella lore del mondo ma non hanno file C_*.js espliciti. Questo costringe il runtime a inferenze inconsistenti.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Azione Correttiva:</w:t>
      </w:r>
      <w:r w:rsidDel="00000000" w:rsidR="00000000" w:rsidRPr="00000000">
        <w:rPr>
          <w:rtl w:val="0"/>
        </w:rPr>
        <w:t xml:space="preserve">  Creazione di lorebook specifici per la famiglia estesa con campi Connections_Family definiti.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Standardizzazione:</w:t>
      </w:r>
      <w:r w:rsidDel="00000000" w:rsidR="00000000" w:rsidRPr="00000000">
        <w:rPr>
          <w:rtl w:val="0"/>
        </w:rPr>
        <w:t xml:space="preserve">  Mappatura dei termini sociali in etichette di relazione biologica (es. "Core siblings" mappati come fratellastri con lo stesso padre).</w:t>
      </w:r>
    </w:p>
    <w:p w:rsidR="00000000" w:rsidDel="00000000" w:rsidP="00000000" w:rsidRDefault="00000000" w:rsidRPr="00000000" w14:paraId="00000021">
      <w:pPr>
        <w:pStyle w:val="Heading4"/>
        <w:rPr/>
      </w:pPr>
      <w:bookmarkStart w:colFirst="0" w:colLast="0" w:name="_iy0z0u39cry3" w:id="10"/>
      <w:bookmarkEnd w:id="10"/>
      <w:r w:rsidDel="00000000" w:rsidR="00000000" w:rsidRPr="00000000">
        <w:rPr>
          <w:rtl w:val="0"/>
        </w:rPr>
        <w:t xml:space="preserve">6. Coerenza Visiva (ADR 007)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L'identità visiva è mantenuta attraverso un sistema di eredità gerarchica del "DNA Visivo":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Global DNA:</w:t>
      </w:r>
      <w:r w:rsidDel="00000000" w:rsidR="00000000" w:rsidRPr="00000000">
        <w:rPr>
          <w:rtl w:val="0"/>
        </w:rPr>
        <w:t xml:space="preserve">  Lighting cinematografico caldo, ombre profonde, palette ambra/oro/ossidiana.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World DNA:</w:t>
      </w:r>
      <w:r w:rsidDel="00000000" w:rsidR="00000000" w:rsidRPr="00000000">
        <w:rPr>
          <w:rtl w:val="0"/>
        </w:rPr>
        <w:t xml:space="preserve">  Architettura e atmosfera ambientale.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Overlay DNA:</w:t>
      </w:r>
      <w:r w:rsidDel="00000000" w:rsidR="00000000" w:rsidRPr="00000000">
        <w:rPr>
          <w:rtl w:val="0"/>
        </w:rPr>
        <w:t xml:space="preserve">  Modificatori specifici (es. zanne, simbolismo lunare).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Character Identity Anchors:</w:t>
      </w:r>
      <w:r w:rsidDel="00000000" w:rsidR="00000000" w:rsidRPr="00000000">
        <w:rPr>
          <w:rtl w:val="0"/>
        </w:rPr>
        <w:t xml:space="preserve">  Tratti immutabili del personaggio (es. gli occhi color ambra di Erik). Gli "Anchor" dei personaggi hanno sempre la priorità massima.</w:t>
      </w:r>
    </w:p>
    <w:p w:rsidR="00000000" w:rsidDel="00000000" w:rsidP="00000000" w:rsidRDefault="00000000" w:rsidRPr="00000000" w14:paraId="00000027">
      <w:pPr>
        <w:pStyle w:val="Heading4"/>
        <w:rPr/>
      </w:pPr>
      <w:bookmarkStart w:colFirst="0" w:colLast="0" w:name="_zhwyp5r81j2b" w:id="11"/>
      <w:bookmarkEnd w:id="11"/>
      <w:r w:rsidDel="00000000" w:rsidR="00000000" w:rsidRPr="00000000">
        <w:rPr>
          <w:rtl w:val="0"/>
        </w:rPr>
        <w:t xml:space="preserve">7. Motori di Comportamento Dinamico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Il sistema utilizza script avanzati per iniettare contesto direttamente nella personalità del personaggio a runtime:</w:t>
      </w:r>
    </w:p>
    <w:p w:rsidR="00000000" w:rsidDel="00000000" w:rsidP="00000000" w:rsidRDefault="00000000" w:rsidRPr="00000000" w14:paraId="00000029">
      <w:pPr>
        <w:pStyle w:val="Heading5"/>
        <w:rPr/>
      </w:pPr>
      <w:bookmarkStart w:colFirst="0" w:colLast="0" w:name="_i7nllaycl0k8" w:id="12"/>
      <w:bookmarkEnd w:id="12"/>
      <w:r w:rsidDel="00000000" w:rsidR="00000000" w:rsidRPr="00000000">
        <w:rPr>
          <w:rtl w:val="0"/>
        </w:rPr>
        <w:t xml:space="preserve">Relationship Engine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Gestisce gli stati dinamici basati su variabili: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Trust (0-100):</w:t>
      </w:r>
      <w:r w:rsidDel="00000000" w:rsidR="00000000" w:rsidRPr="00000000">
        <w:rPr>
          <w:rtl w:val="0"/>
        </w:rPr>
        <w:t xml:space="preserve">  Da "Low Trust" (nessuna discussione su segreti/famiglia) a "Deep Trust" (sicurezza emotiva).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Stati di Relazione:</w:t>
      </w:r>
      <w:r w:rsidDel="00000000" w:rsidR="00000000" w:rsidRPr="00000000">
        <w:rPr>
          <w:rtl w:val="0"/>
        </w:rPr>
        <w:t xml:space="preserve">  Stranger, Acquaintance, Friend, Partner, Mate (legame d'anima), Enemy, Family.</w:t>
      </w:r>
    </w:p>
    <w:p w:rsidR="00000000" w:rsidDel="00000000" w:rsidP="00000000" w:rsidRDefault="00000000" w:rsidRPr="00000000" w14:paraId="0000002D">
      <w:pPr>
        <w:pStyle w:val="Heading5"/>
        <w:rPr/>
      </w:pPr>
      <w:bookmarkStart w:colFirst="0" w:colLast="0" w:name="_zdu70gikssmc" w:id="13"/>
      <w:bookmarkEnd w:id="13"/>
      <w:r w:rsidDel="00000000" w:rsidR="00000000" w:rsidRPr="00000000">
        <w:rPr>
          <w:rtl w:val="0"/>
        </w:rPr>
        <w:t xml:space="preserve">State Engine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Monitora le emozioni e gli scenari: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Emozioni:</w:t>
      </w:r>
      <w:r w:rsidDel="00000000" w:rsidR="00000000" w:rsidRPr="00000000">
        <w:rPr>
          <w:rtl w:val="0"/>
        </w:rPr>
        <w:t xml:space="preserve">  Fear, Anger, Protectiveness, Affection.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Scenari:</w:t>
      </w:r>
      <w:r w:rsidDel="00000000" w:rsidR="00000000" w:rsidRPr="00000000">
        <w:rPr>
          <w:rtl w:val="0"/>
        </w:rPr>
        <w:t xml:space="preserve">  School/Workplace (decoro pubblico), Home (guardia abbassata), Mission/Combat (sopravvivenza tattica).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Pack Status:</w:t>
      </w:r>
      <w:r w:rsidDel="00000000" w:rsidR="00000000" w:rsidRPr="00000000">
        <w:rPr>
          <w:rtl w:val="0"/>
        </w:rPr>
        <w:t xml:space="preserve">  Alpha (assertivo), Omega (sensibile), Outsider (diffidente).</w:t>
      </w:r>
    </w:p>
    <w:p w:rsidR="00000000" w:rsidDel="00000000" w:rsidP="00000000" w:rsidRDefault="00000000" w:rsidRPr="00000000" w14:paraId="00000032">
      <w:pPr>
        <w:pStyle w:val="Heading4"/>
        <w:rPr/>
      </w:pPr>
      <w:bookmarkStart w:colFirst="0" w:colLast="0" w:name="_g64tu2s401z0" w:id="14"/>
      <w:bookmarkEnd w:id="14"/>
      <w:r w:rsidDel="00000000" w:rsidR="00000000" w:rsidRPr="00000000">
        <w:rPr>
          <w:rtl w:val="0"/>
        </w:rPr>
        <w:t xml:space="preserve">8. Workflow Operativi (WF)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Il framework è governato da processi standardizzati per garantire la qualità: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WF_001 (Knowledge Audit):</w:t>
      </w:r>
      <w:r w:rsidDel="00000000" w:rsidR="00000000" w:rsidRPr="00000000">
        <w:rPr>
          <w:rtl w:val="0"/>
        </w:rPr>
        <w:t xml:space="preserve">  Rileva contaminazioni comportamentali o perdite di dati tra i mondi.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WF_007 (Validation Test):</w:t>
      </w:r>
      <w:r w:rsidDel="00000000" w:rsidR="00000000" w:rsidRPr="00000000">
        <w:rPr>
          <w:rtl w:val="0"/>
        </w:rPr>
        <w:t xml:space="preserve">  Sessioni di test live (target: 50 messaggi) per verificare la stabilità della lore e il comportamento del POV.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WF_008 (Component Refactor):</w:t>
      </w:r>
      <w:r w:rsidDel="00000000" w:rsidR="00000000" w:rsidRPr="00000000">
        <w:rPr>
          <w:rtl w:val="0"/>
        </w:rPr>
        <w:t xml:space="preserve">  Miglioramento incrementale dei componenti senza alterare il comportamento di runtime convalidato.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 Unicode MS"/>
  <w:font w:name="Architects Daughter">
    <w:embedRegular w:fontKey="{00000000-0000-0000-0000-000000000000}" r:id="rId1" w:subsetted="0"/>
  </w:font>
  <w:font w:name="Caveat">
    <w:embedRegular w:fontKey="{00000000-0000-0000-0000-000000000000}" r:id="rId2" w:subsetted="0"/>
    <w:embedBold w:fontKey="{00000000-0000-0000-0000-000000000000}" r:id="rId3" w:subsetted="0"/>
  </w:font>
  <w:font w:name="Helvetica Neue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  <w:font w:name="Helvetica Neue Light">
    <w:embedRegular w:fontKey="{00000000-0000-0000-0000-000000000000}" r:id="rId8" w:subsetted="0"/>
    <w:embedBold w:fontKey="{00000000-0000-0000-0000-000000000000}" r:id="rId9" w:subsetted="0"/>
    <w:embedItalic w:fontKey="{00000000-0000-0000-0000-000000000000}" r:id="rId10" w:subsetted="0"/>
    <w:embedBoldItalic w:fontKey="{00000000-0000-0000-0000-000000000000}" r:id="rId11" w:subsetted="0"/>
  </w:font>
  <w:font w:name="Kalam">
    <w:embedRegular w:fontKey="{00000000-0000-0000-0000-000000000000}" r:id="rId12" w:subsetted="0"/>
    <w:embedBold w:fontKey="{00000000-0000-0000-0000-000000000000}" r:id="rId1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elvetica Neue Light" w:cs="Helvetica Neue Light" w:eastAsia="Helvetica Neue Light" w:hAnsi="Helvetica Neue Light"/>
        <w:lang w:val="it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rFonts w:ascii="Kalam" w:cs="Kalam" w:eastAsia="Kalam" w:hAnsi="Kalam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400" w:lineRule="auto"/>
    </w:pPr>
    <w:rPr>
      <w:rFonts w:ascii="Kalam" w:cs="Kalam" w:eastAsia="Kalam" w:hAnsi="Kalam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Kalam" w:cs="Kalam" w:eastAsia="Kalam" w:hAnsi="Kalam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  <w:jc w:val="center"/>
    </w:pPr>
    <w:rPr>
      <w:rFonts w:ascii="Architects Daughter" w:cs="Architects Daughter" w:eastAsia="Architects Daughter" w:hAnsi="Architects Daughter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  <w:jc w:val="center"/>
    </w:pPr>
    <w:rPr>
      <w:rFonts w:ascii="Caveat" w:cs="Caveat" w:eastAsia="Caveat" w:hAnsi="Caveat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HelveticaNeueLight-boldItalic.ttf"/><Relationship Id="rId10" Type="http://schemas.openxmlformats.org/officeDocument/2006/relationships/font" Target="fonts/HelveticaNeueLight-italic.ttf"/><Relationship Id="rId13" Type="http://schemas.openxmlformats.org/officeDocument/2006/relationships/font" Target="fonts/Kalam-bold.ttf"/><Relationship Id="rId12" Type="http://schemas.openxmlformats.org/officeDocument/2006/relationships/font" Target="fonts/Kalam-regular.ttf"/><Relationship Id="rId1" Type="http://schemas.openxmlformats.org/officeDocument/2006/relationships/font" Target="fonts/ArchitectsDaughter-regular.ttf"/><Relationship Id="rId2" Type="http://schemas.openxmlformats.org/officeDocument/2006/relationships/font" Target="fonts/Caveat-regular.ttf"/><Relationship Id="rId3" Type="http://schemas.openxmlformats.org/officeDocument/2006/relationships/font" Target="fonts/Caveat-bold.ttf"/><Relationship Id="rId4" Type="http://schemas.openxmlformats.org/officeDocument/2006/relationships/font" Target="fonts/HelveticaNeue-regular.ttf"/><Relationship Id="rId9" Type="http://schemas.openxmlformats.org/officeDocument/2006/relationships/font" Target="fonts/HelveticaNeueLight-bold.ttf"/><Relationship Id="rId5" Type="http://schemas.openxmlformats.org/officeDocument/2006/relationships/font" Target="fonts/HelveticaNeue-bold.ttf"/><Relationship Id="rId6" Type="http://schemas.openxmlformats.org/officeDocument/2006/relationships/font" Target="fonts/HelveticaNeue-italic.ttf"/><Relationship Id="rId7" Type="http://schemas.openxmlformats.org/officeDocument/2006/relationships/font" Target="fonts/HelveticaNeue-boldItalic.ttf"/><Relationship Id="rId8" Type="http://schemas.openxmlformats.org/officeDocument/2006/relationships/font" Target="fonts/HelveticaNeueLight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