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</w:rPr>
        <w:t>The sequence of types is called the "signature" of the function.</w:t>
      </w:r>
    </w:p>
    <w:p>
      <w:pPr>
        <w:rPr>
          <w:rFonts w:hint="default" w:ascii="Times New Roman" w:hAnsi="Times New Roman" w:cs="Times New Roma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</w:rPr>
        <w:t>In a statically-typed language, if we wrote sum(1,1) it would know to call the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</w:rPr>
        <w:t>first version of sum (returning 2), and if we wrote sum('abc','xyz') the second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</w:rPr>
        <w:t>(returning 6). If we wrote sum(1,'xyz') it would also know that no signatures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</w:rPr>
        <w:t>for sum match. The process of determining which function to execute, based 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</w:rPr>
        <w:t>the function name and the types of its arguments, is called "dispatching".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AE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2022-02-22T23:52:01Z</dcterms:created>
  <dc:creator>Administrator</dc:creator>
  <cp:lastModifiedBy>Administrator</cp:lastModifiedBy>
  <dcterms:modified xsi:type="dcterms:W3CDTF">2022-02-23T02:49:10Z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