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700.7874015748032" w:right="1133.8582677165355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831591" cy="132873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591" cy="132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UNIVERSIDADE ESTADUAL DA PARAÍBA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CENTRO DE CIÊNCIAS E TECNOLOGIA - CCT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DEPARTAMENTO DE COMPUTAÇÃO - 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ALYSSANDRO DYOGO PEREIRA RAMOS</w:t>
      </w:r>
    </w:p>
    <w:p w:rsidR="00000000" w:rsidDel="00000000" w:rsidP="00000000" w:rsidRDefault="00000000" w:rsidRPr="00000000" w14:paraId="000000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ARTHUR MARTINS FREIRE</w:t>
      </w:r>
    </w:p>
    <w:p w:rsidR="00000000" w:rsidDel="00000000" w:rsidP="00000000" w:rsidRDefault="00000000" w:rsidRPr="00000000" w14:paraId="0000000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JOSÉ RAFAEL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LUIZ FILIPE DOS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RELATÓRIO DE RELEASE - 3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CAMPINA GRANDE - PB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Visão de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O ClassRoomPB é uma aplicação de gestão acadêmica usada via terminal, direcionada à administração de cursos, disciplinas, períodos letivos, turmas e usuários distintos (administrador, coordenador, professor e aluno). A release 3 objetivou entregar o fluxo e as regras de negócio relacionadas a notas e avaliação, histórico acadêmico e relatórios exportáveis em PDF, complementando o ciclo acadêmico iniciado nas releases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Descrição Arquitetural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ind w:firstLine="709"/>
        <w:jc w:val="both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sz w:val="24"/>
          <w:szCs w:val="24"/>
          <w:rtl w:val="0"/>
        </w:rPr>
        <w:t xml:space="preserve">A aplicação adota arquitetura em camadas baseada em MVC estendido com repositórios. A camada de apresentação (view) concentra a interface CLI; os controllers orquestram regras de negócio e controle de acesso por perfil; o model encapsula entidades e invariantes; os repositories persistem o estado em arquivo JSON local. Nesta release foram acrescentados NotaController, HistoricoAcademicoController, RelatorioController e PdfRelatorioWriter. O fluxo operacional permanece: carregar dados → processar em memória → persistir após cada transação.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Descrição visual da interação dos atores para com o sistema de acordo com suas capacidades, incluindo notas, histórico e relatórios da release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523361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3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Diagrama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Visão descritiva das classes componentes do domínio do sistema, orquestração, interface e armazenamento, com destaque às entidades e controllers de notas, histórico e relatórios.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1663866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63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Diagrama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 Diagramas de Sequência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RF31 — Lançar notas das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6061430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61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sequencia-rf31-1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7608191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608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sequencia-rf31-2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RF32 — Cálculo automático da média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4022584"/>
            <wp:effectExtent b="0" l="0" r="0" t="0"/>
            <wp:docPr id="2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22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sequencia-rf32-1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883978" cy="7714932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3978" cy="7714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sequencia-rf32-2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RF33 — Aluno consulta suas notas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3785472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85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sequencia-rf33-1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39043" cy="3190247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043" cy="3190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sequencia-rf33-2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RF34 — Situação acadêmica do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293208"/>
            <wp:effectExtent b="0" l="0" r="0" t="0"/>
            <wp:docPr id="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93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sequencia-rf34-1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600987" cy="7467917"/>
            <wp:effectExtent b="0" l="0" r="0" t="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987" cy="7467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sequencia-rf34-2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5193962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93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sequencia-rf34-3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RF35 — Alterar notas antes do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4576673"/>
            <wp:effectExtent b="0" l="0" r="0" t="0"/>
            <wp:docPr id="3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76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sequencia-rf35-1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3011572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sequencia-rf35-2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929015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sequencia-rf35-3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RF36 — Manter histórico das disciplinas cursadas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4288559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88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sequencia-rf36-1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434784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34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sequencia-rf36-2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RF37 — Campos do histórico acadêmico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692521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2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sequencia-rf37-1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97177" cy="7382192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7177" cy="738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sequencia-rf37-2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RF38 — Aluno consulta histórico acadêmico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3118731"/>
            <wp:effectExtent b="0" l="0" r="0" t="0"/>
            <wp:docPr id="4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8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sequencia-rf38-1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4768" cy="3681787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768" cy="3681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sequencia-rf38-2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RF39 — Coordenador consulta histórico do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3990953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90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sequencia-rf39-1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3808338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sequencia-rf39-2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302808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8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sequencia-rf39-3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RF40 — Relatório de alunos matriculados por turma (PDF)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3644169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44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sequencia-rf40-1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4706939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06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sequencia-rf40-2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RF41 — Relatório de ocupação de vagas (PDF)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4247816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47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sequencia-rf41-1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6232632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232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Sequencia-rf41-2</w:t>
      </w:r>
    </w:p>
    <w:p w:rsidR="00000000" w:rsidDel="00000000" w:rsidP="00000000" w:rsidRDefault="00000000" w:rsidRPr="00000000" w14:paraId="0000007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RF42 — Relatório de reprovação por disciplina (PDF)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4957046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57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sequencia-rf42-1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727414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74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sequencia-rf42-2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RF43 — Relatório geral de usuários cadastrados (PDF)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4247198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47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sequencia-rf43-1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877118" cy="3645354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118" cy="3645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sequencia-rf43-2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Funcionalidades Desenvolvidas na Release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Lançamento e alteração de notas: O professor lança notas das etapas 1 e 2, altera valores antes do fechamento da turma e o sistema calcula automaticamente a média final e a situação acadêmica (aprovado, em recuperação, reprovado por nota ou por falta).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</w:rPr>
        <w:drawing>
          <wp:inline distB="114300" distT="114300" distL="114300" distR="114300">
            <wp:extent cx="5792470" cy="2895600"/>
            <wp:effectExtent b="0" l="0" r="0" t="0"/>
            <wp:docPr id="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de notas pelo aluno: O aluno consulta suas notas por turma, visualizando etapa1, etapa2, média final, frequência e situação acadêmica.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</w:rPr>
        <w:drawing>
          <wp:inline distB="114300" distT="114300" distL="114300" distR="114300">
            <wp:extent cx="5792470" cy="2895600"/>
            <wp:effectExtent b="0" l="0" r="0" t="0"/>
            <wp:docPr id="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Fechamento de turma e histórico acadêmico: O coordenador fecha a turma, gerando o histórico com período, disciplina, professor, nota final, frequência e situação. Aluno e coordenador consultam o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</w:rPr>
        <w:drawing>
          <wp:inline distB="114300" distT="114300" distL="114300" distR="114300">
            <wp:extent cx="5792470" cy="28956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</w:rPr>
        <w:drawing>
          <wp:inline distB="114300" distT="114300" distL="114300" distR="114300">
            <wp:extent cx="5792470" cy="2895600"/>
            <wp:effectExtent b="0" l="0" r="0" t="0"/>
            <wp:docPr id="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</w:rPr>
        <w:drawing>
          <wp:inline distB="114300" distT="114300" distL="114300" distR="114300">
            <wp:extent cx="5792470" cy="4635500"/>
            <wp:effectExtent b="0" l="0" r="0" t="0"/>
            <wp:docPr id="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Relatórios acadêmicos e administrativos em PDF: O coordenador gera relatórios de alunos por turma, ocupação de vagas e reprovação por disciplina; o administrador gera o relatório geral de usuários. Todos podem ser baixados em arquivo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</w:rPr>
        <w:drawing>
          <wp:inline distB="114300" distT="114300" distL="114300" distR="114300">
            <wp:extent cx="5792470" cy="23622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</w:rPr>
        <w:drawing>
          <wp:inline distB="114300" distT="114300" distL="114300" distR="114300">
            <wp:extent cx="5792470" cy="15494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</w:rPr>
        <w:drawing>
          <wp:inline distB="114300" distT="114300" distL="114300" distR="114300">
            <wp:extent cx="5792470" cy="13208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</w:rPr>
        <w:drawing>
          <wp:inline distB="114300" distT="114300" distL="114300" distR="114300">
            <wp:extent cx="5792470" cy="10795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</w:rPr>
        <w:drawing>
          <wp:inline distB="114300" distT="114300" distL="114300" distR="114300">
            <wp:extent cx="5792470" cy="1447800"/>
            <wp:effectExtent b="0" l="0" r="0" t="0"/>
            <wp:docPr id="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Relatório de Testes e Cobertura de Código</w:t>
      </w:r>
      <w:r w:rsidDel="00000000" w:rsidR="00000000" w:rsidRPr="00000000">
        <w:rPr>
          <w:rtl w:val="0"/>
        </w:rPr>
      </w:r>
    </w:p>
    <w:tbl>
      <w:tblPr>
        <w:tblStyle w:val="Table1"/>
        <w:tblW w:w="91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1"/>
        <w:gridCol w:w="4561"/>
        <w:tblGridChange w:id="0">
          <w:tblGrid>
            <w:gridCol w:w="4561"/>
            <w:gridCol w:w="4561"/>
          </w:tblGrid>
        </w:tblGridChange>
      </w:tblGrid>
      <w:tr>
        <w:trPr>
          <w:cantSplit w:val="0"/>
          <w:tblHeader w:val="0"/>
        </w:trPr>
        <w:tc>
          <w:tcPr>
            <w:shd w:fill="9f0e99" w:val="clear"/>
          </w:tcPr>
          <w:p w:rsidR="00000000" w:rsidDel="00000000" w:rsidP="00000000" w:rsidRDefault="00000000" w:rsidRPr="00000000" w14:paraId="000000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0e99" w:val="clear"/>
          </w:tcPr>
          <w:p w:rsidR="00000000" w:rsidDel="00000000" w:rsidP="00000000" w:rsidRDefault="00000000" w:rsidRPr="00000000" w14:paraId="000000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Data/hora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20/07/2026 18:29:40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Total de testes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Falhas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Erros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Ignorados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Cobertura total (instruções)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85,0%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Cobertura de branches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66,0%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 Resultado por Suite</w:t>
      </w:r>
      <w:r w:rsidDel="00000000" w:rsidR="00000000" w:rsidRPr="00000000">
        <w:rPr>
          <w:rtl w:val="0"/>
        </w:rPr>
      </w:r>
    </w:p>
    <w:tbl>
      <w:tblPr>
        <w:tblStyle w:val="Table2"/>
        <w:tblW w:w="91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4"/>
        <w:gridCol w:w="1824"/>
        <w:gridCol w:w="1824"/>
        <w:gridCol w:w="1824"/>
        <w:gridCol w:w="1824"/>
        <w:tblGridChange w:id="0">
          <w:tblGrid>
            <w:gridCol w:w="1824"/>
            <w:gridCol w:w="1824"/>
            <w:gridCol w:w="1824"/>
            <w:gridCol w:w="1824"/>
            <w:gridCol w:w="182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</w:tcPr>
          <w:p w:rsidR="00000000" w:rsidDel="00000000" w:rsidP="00000000" w:rsidRDefault="00000000" w:rsidRPr="00000000" w14:paraId="000000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Suite de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</w:tcPr>
          <w:p w:rsidR="00000000" w:rsidDel="00000000" w:rsidP="00000000" w:rsidRDefault="00000000" w:rsidRPr="00000000" w14:paraId="000000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</w:tcPr>
          <w:p w:rsidR="00000000" w:rsidDel="00000000" w:rsidP="00000000" w:rsidRDefault="00000000" w:rsidRPr="00000000" w14:paraId="000000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Falhas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</w:tcPr>
          <w:p w:rsidR="00000000" w:rsidDel="00000000" w:rsidP="00000000" w:rsidRDefault="00000000" w:rsidRPr="00000000" w14:paraId="000000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</w:tcPr>
          <w:p w:rsidR="00000000" w:rsidDel="00000000" w:rsidP="00000000" w:rsidRDefault="00000000" w:rsidRPr="00000000" w14:paraId="000000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Ignorados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MainTest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controller.AutenticacaoControllerCadastroTest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controller.AutenticacaoControllerLoginTest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controller.ConfirmarMatriculaAutomaticaTest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controller.CursoControllerTest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controller.DisciplinaControllerTest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controller.HistoricoRf36Rf39Test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controller.ListaEsperaRf23Test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controller.ListaEsperaRf24Test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controller.ListaEsperaRf25Rf26Test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controller.MatriculaControllerTest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controller.MatriculaRequisitosRf16aRf22Test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controller.NotaRf31Rf35Test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controller.PeriodoLetivoControllerTest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controller.PresencaRf27Test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controller.PresencaRf28Test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controller.PresencaRf29Rf30Test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controller.RelatorioControllerTest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controller.TurmaControllerTest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model / repository / report / view (demais suites)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 Cobertura por camada (JaCoCo)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Os controllers, models e repositories concentram a maior parte dos testes de unidade. A cobertura média total da aplicação ficou acima de 80%, atendendo o requisito estabelecido.</w:t>
      </w:r>
      <w:r w:rsidDel="00000000" w:rsidR="00000000" w:rsidRPr="00000000">
        <w:rPr>
          <w:rtl w:val="0"/>
        </w:rPr>
      </w:r>
    </w:p>
    <w:tbl>
      <w:tblPr>
        <w:tblStyle w:val="Table3"/>
        <w:tblW w:w="91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80"/>
        <w:gridCol w:w="2280"/>
        <w:gridCol w:w="2280"/>
        <w:gridCol w:w="2280"/>
        <w:tblGridChange w:id="0">
          <w:tblGrid>
            <w:gridCol w:w="2280"/>
            <w:gridCol w:w="2280"/>
            <w:gridCol w:w="2280"/>
            <w:gridCol w:w="2280"/>
          </w:tblGrid>
        </w:tblGridChange>
      </w:tblGrid>
      <w:tr>
        <w:trPr>
          <w:cantSplit w:val="0"/>
          <w:tblHeader w:val="0"/>
        </w:trPr>
        <w:tc>
          <w:tcPr>
            <w:shd w:fill="10be8c" w:val="clear"/>
          </w:tcPr>
          <w:p w:rsidR="00000000" w:rsidDel="00000000" w:rsidP="00000000" w:rsidRDefault="00000000" w:rsidRPr="00000000" w14:paraId="000001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be8c" w:val="clear"/>
          </w:tcPr>
          <w:p w:rsidR="00000000" w:rsidDel="00000000" w:rsidP="00000000" w:rsidRDefault="00000000" w:rsidRPr="00000000" w14:paraId="000001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be8c" w:val="clear"/>
          </w:tcPr>
          <w:p w:rsidR="00000000" w:rsidDel="00000000" w:rsidP="00000000" w:rsidRDefault="00000000" w:rsidRPr="00000000" w14:paraId="000001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Instr. cobertas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be8c" w:val="clear"/>
          </w:tcPr>
          <w:p w:rsidR="00000000" w:rsidDel="00000000" w:rsidP="00000000" w:rsidRDefault="00000000" w:rsidRPr="00000000" w14:paraId="000001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Instr. não cobertas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Main (Classe primária)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Controllers (regras de negócio)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91,0%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4.225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Models (entidades)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88,0%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1.961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Repositories (persistência)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91,0%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3.460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Report (PDF)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91,0%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View (CLI)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73,0%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3.777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1.362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Total da 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85,0%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13.554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2.321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20" Type="http://schemas.openxmlformats.org/officeDocument/2006/relationships/image" Target="media/image25.png"/><Relationship Id="rId42" Type="http://schemas.openxmlformats.org/officeDocument/2006/relationships/image" Target="media/image41.png"/><Relationship Id="rId41" Type="http://schemas.openxmlformats.org/officeDocument/2006/relationships/image" Target="media/image33.png"/><Relationship Id="rId22" Type="http://schemas.openxmlformats.org/officeDocument/2006/relationships/image" Target="media/image29.png"/><Relationship Id="rId44" Type="http://schemas.openxmlformats.org/officeDocument/2006/relationships/image" Target="media/image16.png"/><Relationship Id="rId21" Type="http://schemas.openxmlformats.org/officeDocument/2006/relationships/image" Target="media/image28.png"/><Relationship Id="rId43" Type="http://schemas.openxmlformats.org/officeDocument/2006/relationships/image" Target="media/image17.png"/><Relationship Id="rId24" Type="http://schemas.openxmlformats.org/officeDocument/2006/relationships/image" Target="media/image40.png"/><Relationship Id="rId46" Type="http://schemas.openxmlformats.org/officeDocument/2006/relationships/image" Target="media/image24.png"/><Relationship Id="rId23" Type="http://schemas.openxmlformats.org/officeDocument/2006/relationships/image" Target="media/image37.png"/><Relationship Id="rId45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35.png"/><Relationship Id="rId25" Type="http://schemas.openxmlformats.org/officeDocument/2006/relationships/image" Target="media/image31.png"/><Relationship Id="rId47" Type="http://schemas.openxmlformats.org/officeDocument/2006/relationships/image" Target="media/image42.png"/><Relationship Id="rId28" Type="http://schemas.openxmlformats.org/officeDocument/2006/relationships/image" Target="media/image19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8.png"/><Relationship Id="rId7" Type="http://schemas.openxmlformats.org/officeDocument/2006/relationships/image" Target="media/image26.png"/><Relationship Id="rId8" Type="http://schemas.openxmlformats.org/officeDocument/2006/relationships/image" Target="media/image11.png"/><Relationship Id="rId31" Type="http://schemas.openxmlformats.org/officeDocument/2006/relationships/image" Target="media/image3.png"/><Relationship Id="rId30" Type="http://schemas.openxmlformats.org/officeDocument/2006/relationships/image" Target="media/image2.png"/><Relationship Id="rId11" Type="http://schemas.openxmlformats.org/officeDocument/2006/relationships/image" Target="media/image39.png"/><Relationship Id="rId33" Type="http://schemas.openxmlformats.org/officeDocument/2006/relationships/image" Target="media/image1.png"/><Relationship Id="rId10" Type="http://schemas.openxmlformats.org/officeDocument/2006/relationships/image" Target="media/image12.png"/><Relationship Id="rId32" Type="http://schemas.openxmlformats.org/officeDocument/2006/relationships/image" Target="media/image15.png"/><Relationship Id="rId13" Type="http://schemas.openxmlformats.org/officeDocument/2006/relationships/image" Target="media/image14.png"/><Relationship Id="rId35" Type="http://schemas.openxmlformats.org/officeDocument/2006/relationships/image" Target="media/image9.png"/><Relationship Id="rId12" Type="http://schemas.openxmlformats.org/officeDocument/2006/relationships/image" Target="media/image22.png"/><Relationship Id="rId34" Type="http://schemas.openxmlformats.org/officeDocument/2006/relationships/image" Target="media/image6.png"/><Relationship Id="rId15" Type="http://schemas.openxmlformats.org/officeDocument/2006/relationships/image" Target="media/image18.png"/><Relationship Id="rId37" Type="http://schemas.openxmlformats.org/officeDocument/2006/relationships/image" Target="media/image4.png"/><Relationship Id="rId14" Type="http://schemas.openxmlformats.org/officeDocument/2006/relationships/image" Target="media/image36.png"/><Relationship Id="rId36" Type="http://schemas.openxmlformats.org/officeDocument/2006/relationships/image" Target="media/image27.png"/><Relationship Id="rId17" Type="http://schemas.openxmlformats.org/officeDocument/2006/relationships/image" Target="media/image34.png"/><Relationship Id="rId39" Type="http://schemas.openxmlformats.org/officeDocument/2006/relationships/image" Target="media/image32.png"/><Relationship Id="rId16" Type="http://schemas.openxmlformats.org/officeDocument/2006/relationships/image" Target="media/image21.png"/><Relationship Id="rId38" Type="http://schemas.openxmlformats.org/officeDocument/2006/relationships/image" Target="media/image30.png"/><Relationship Id="rId19" Type="http://schemas.openxmlformats.org/officeDocument/2006/relationships/image" Target="media/image23.png"/><Relationship Id="rId18" Type="http://schemas.openxmlformats.org/officeDocument/2006/relationships/image" Target="media/image3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