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5A70BD" w14:textId="43DFCB28" w:rsidR="00FF1A8C" w:rsidRDefault="00FF1A8C" w:rsidP="00FF1A8C">
      <w:pPr>
        <w:pStyle w:val="Ttulo1"/>
      </w:pPr>
      <w:r>
        <w:t>Atividade EconÔmica no Brasil e Estados Selecionados</w:t>
      </w:r>
    </w:p>
    <w:p w14:paraId="7B81A2E8" w14:textId="492B8AD0" w:rsidR="00E7525D" w:rsidRDefault="00A2588D" w:rsidP="00E7525D">
      <w:pPr>
        <w:pStyle w:val="Ttulo2"/>
      </w:pPr>
      <w:r w:rsidRPr="00A2588D">
        <w:t>Índice de Atividade Econômica do Banco Central (IBC)</w:t>
      </w:r>
    </w:p>
    <w:p w14:paraId="26793138" w14:textId="60F0C4BC" w:rsidR="0071247E" w:rsidRDefault="0071247E" w:rsidP="0071247E">
      <w:pPr>
        <w:rPr>
          <w:lang w:eastAsia="ja-JP"/>
        </w:rPr>
      </w:pPr>
      <w:r>
        <w:rPr>
          <w:lang w:eastAsia="ja-JP"/>
        </w:rPr>
        <w:t>O Índice de Atividade Econômica do Banco Central (IBC</w:t>
      </w:r>
      <w:r w:rsidR="00A910EB">
        <w:rPr>
          <w:lang w:eastAsia="ja-JP"/>
        </w:rPr>
        <w:t>-Br</w:t>
      </w:r>
      <w:r>
        <w:rPr>
          <w:lang w:eastAsia="ja-JP"/>
        </w:rPr>
        <w:t xml:space="preserve">) encerrou </w:t>
      </w:r>
      <w:r w:rsidR="00BA0108">
        <w:rPr>
          <w:lang w:eastAsia="ja-JP"/>
        </w:rPr>
        <w:t xml:space="preserve">o ano de 2020 com declínio de </w:t>
      </w:r>
      <w:r w:rsidR="002D018B">
        <w:rPr>
          <w:lang w:eastAsia="ja-JP"/>
        </w:rPr>
        <w:t>4</w:t>
      </w:r>
      <w:r w:rsidR="00BA0108">
        <w:rPr>
          <w:lang w:eastAsia="ja-JP"/>
        </w:rPr>
        <w:t>,</w:t>
      </w:r>
      <w:r w:rsidR="002D018B">
        <w:rPr>
          <w:lang w:eastAsia="ja-JP"/>
        </w:rPr>
        <w:t>05</w:t>
      </w:r>
      <w:r w:rsidR="00BA0108">
        <w:rPr>
          <w:lang w:eastAsia="ja-JP"/>
        </w:rPr>
        <w:t>%</w:t>
      </w:r>
      <w:r w:rsidR="001A25B9">
        <w:rPr>
          <w:lang w:eastAsia="ja-JP"/>
        </w:rPr>
        <w:t xml:space="preserve">, muito embora tenha-se </w:t>
      </w:r>
      <w:r w:rsidR="00714441">
        <w:rPr>
          <w:lang w:eastAsia="ja-JP"/>
        </w:rPr>
        <w:t>espera</w:t>
      </w:r>
      <w:r w:rsidR="00964DD6">
        <w:rPr>
          <w:lang w:eastAsia="ja-JP"/>
        </w:rPr>
        <w:t>do</w:t>
      </w:r>
      <w:r w:rsidR="00714441">
        <w:rPr>
          <w:lang w:eastAsia="ja-JP"/>
        </w:rPr>
        <w:t xml:space="preserve"> uma retomada em V</w:t>
      </w:r>
      <w:r w:rsidR="00357AEB">
        <w:rPr>
          <w:lang w:eastAsia="ja-JP"/>
        </w:rPr>
        <w:t xml:space="preserve"> por conta </w:t>
      </w:r>
      <w:r w:rsidR="00B7573C">
        <w:rPr>
          <w:lang w:eastAsia="ja-JP"/>
        </w:rPr>
        <w:t xml:space="preserve">da </w:t>
      </w:r>
      <w:r w:rsidR="00CE26D5">
        <w:rPr>
          <w:lang w:eastAsia="ja-JP"/>
        </w:rPr>
        <w:t xml:space="preserve">reabertura da economia, </w:t>
      </w:r>
      <w:r w:rsidR="00BA1C32">
        <w:rPr>
          <w:lang w:eastAsia="ja-JP"/>
        </w:rPr>
        <w:t xml:space="preserve">a taxa apresentada </w:t>
      </w:r>
      <w:r w:rsidR="007C50C1">
        <w:rPr>
          <w:lang w:eastAsia="ja-JP"/>
        </w:rPr>
        <w:t>no mês de</w:t>
      </w:r>
      <w:r w:rsidR="00BA1C32">
        <w:rPr>
          <w:lang w:eastAsia="ja-JP"/>
        </w:rPr>
        <w:t xml:space="preserve"> dezembro </w:t>
      </w:r>
      <w:r w:rsidR="00E3387C">
        <w:rPr>
          <w:lang w:eastAsia="ja-JP"/>
        </w:rPr>
        <w:t xml:space="preserve">ficou abaixo da registrada </w:t>
      </w:r>
      <w:r w:rsidR="00470D21">
        <w:rPr>
          <w:lang w:eastAsia="ja-JP"/>
        </w:rPr>
        <w:t>em 2019 (</w:t>
      </w:r>
      <w:r w:rsidR="004C458F">
        <w:rPr>
          <w:lang w:eastAsia="ja-JP"/>
        </w:rPr>
        <w:t>+</w:t>
      </w:r>
      <w:r w:rsidR="00470D21">
        <w:rPr>
          <w:lang w:eastAsia="ja-JP"/>
        </w:rPr>
        <w:t>0,</w:t>
      </w:r>
      <w:r w:rsidR="00F70D59">
        <w:rPr>
          <w:lang w:eastAsia="ja-JP"/>
        </w:rPr>
        <w:t>93</w:t>
      </w:r>
      <w:r w:rsidR="00470D21">
        <w:rPr>
          <w:lang w:eastAsia="ja-JP"/>
        </w:rPr>
        <w:t>%)</w:t>
      </w:r>
      <w:r w:rsidR="009F1771">
        <w:rPr>
          <w:lang w:eastAsia="ja-JP"/>
        </w:rPr>
        <w:t>. N</w:t>
      </w:r>
      <w:r w:rsidR="00AC7F9B">
        <w:rPr>
          <w:lang w:eastAsia="ja-JP"/>
        </w:rPr>
        <w:t>a</w:t>
      </w:r>
      <w:r w:rsidR="006A297C">
        <w:rPr>
          <w:lang w:eastAsia="ja-JP"/>
        </w:rPr>
        <w:t xml:space="preserve"> </w:t>
      </w:r>
      <w:r w:rsidR="00DA6751">
        <w:rPr>
          <w:lang w:eastAsia="ja-JP"/>
        </w:rPr>
        <w:t>comparação</w:t>
      </w:r>
      <w:r w:rsidR="00AC7F9B">
        <w:rPr>
          <w:lang w:eastAsia="ja-JP"/>
        </w:rPr>
        <w:t xml:space="preserve"> </w:t>
      </w:r>
      <w:r w:rsidR="006A297C">
        <w:rPr>
          <w:lang w:eastAsia="ja-JP"/>
        </w:rPr>
        <w:t>d</w:t>
      </w:r>
      <w:r w:rsidR="00071E3E">
        <w:rPr>
          <w:lang w:eastAsia="ja-JP"/>
        </w:rPr>
        <w:t xml:space="preserve">o </w:t>
      </w:r>
      <w:r w:rsidR="00E76576">
        <w:rPr>
          <w:lang w:eastAsia="ja-JP"/>
        </w:rPr>
        <w:t>quarto</w:t>
      </w:r>
      <w:r w:rsidR="00071E3E">
        <w:rPr>
          <w:lang w:eastAsia="ja-JP"/>
        </w:rPr>
        <w:t xml:space="preserve"> trimestre </w:t>
      </w:r>
      <w:r w:rsidR="00064230">
        <w:rPr>
          <w:lang w:eastAsia="ja-JP"/>
        </w:rPr>
        <w:t>de</w:t>
      </w:r>
      <w:r w:rsidR="00071E3E">
        <w:rPr>
          <w:lang w:eastAsia="ja-JP"/>
        </w:rPr>
        <w:t xml:space="preserve"> </w:t>
      </w:r>
      <w:r w:rsidR="00064230">
        <w:rPr>
          <w:lang w:eastAsia="ja-JP"/>
        </w:rPr>
        <w:t>2020</w:t>
      </w:r>
      <w:r w:rsidR="00FD39F2">
        <w:rPr>
          <w:lang w:eastAsia="ja-JP"/>
        </w:rPr>
        <w:t xml:space="preserve"> frente ao</w:t>
      </w:r>
      <w:r w:rsidR="00B114F3">
        <w:rPr>
          <w:lang w:eastAsia="ja-JP"/>
        </w:rPr>
        <w:t xml:space="preserve"> mesmo trimestre do ano anterior</w:t>
      </w:r>
      <w:r w:rsidR="001742A5">
        <w:rPr>
          <w:lang w:eastAsia="ja-JP"/>
        </w:rPr>
        <w:t>,</w:t>
      </w:r>
      <w:r w:rsidR="00B375EE">
        <w:rPr>
          <w:lang w:eastAsia="ja-JP"/>
        </w:rPr>
        <w:t xml:space="preserve"> </w:t>
      </w:r>
      <w:r w:rsidR="00604703">
        <w:rPr>
          <w:lang w:eastAsia="ja-JP"/>
        </w:rPr>
        <w:t>observou-se um arrefecimento d</w:t>
      </w:r>
      <w:r w:rsidR="00B375EE">
        <w:rPr>
          <w:lang w:eastAsia="ja-JP"/>
        </w:rPr>
        <w:t xml:space="preserve">as atividades econômicas </w:t>
      </w:r>
      <w:r w:rsidR="00FD39F2">
        <w:rPr>
          <w:lang w:eastAsia="ja-JP"/>
        </w:rPr>
        <w:t>(-0,69%)</w:t>
      </w:r>
      <w:r w:rsidR="00BA0108">
        <w:rPr>
          <w:lang w:eastAsia="ja-JP"/>
        </w:rPr>
        <w:t xml:space="preserve">. </w:t>
      </w:r>
      <w:r w:rsidR="00047E4C">
        <w:rPr>
          <w:lang w:eastAsia="ja-JP"/>
        </w:rPr>
        <w:t xml:space="preserve">Por fim, </w:t>
      </w:r>
      <w:r w:rsidR="00813930">
        <w:rPr>
          <w:lang w:eastAsia="ja-JP"/>
        </w:rPr>
        <w:t>no mês</w:t>
      </w:r>
      <w:r w:rsidR="002D018B">
        <w:rPr>
          <w:lang w:eastAsia="ja-JP"/>
        </w:rPr>
        <w:t xml:space="preserve"> </w:t>
      </w:r>
      <w:r w:rsidR="00813930">
        <w:rPr>
          <w:lang w:eastAsia="ja-JP"/>
        </w:rPr>
        <w:t xml:space="preserve">de </w:t>
      </w:r>
      <w:r w:rsidR="002D018B">
        <w:rPr>
          <w:lang w:eastAsia="ja-JP"/>
        </w:rPr>
        <w:t>dezembro</w:t>
      </w:r>
      <w:r w:rsidR="00047E4C">
        <w:rPr>
          <w:lang w:eastAsia="ja-JP"/>
        </w:rPr>
        <w:t>, verificou-se desempenho positivo com crescimento de 1,34%</w:t>
      </w:r>
      <w:r w:rsidR="00885DED">
        <w:rPr>
          <w:lang w:eastAsia="ja-JP"/>
        </w:rPr>
        <w:t xml:space="preserve"> quando comparado com dezembro de 201</w:t>
      </w:r>
      <w:r w:rsidR="005348CA">
        <w:rPr>
          <w:lang w:eastAsia="ja-JP"/>
        </w:rPr>
        <w:t>9</w:t>
      </w:r>
      <w:r w:rsidR="002C0B56">
        <w:rPr>
          <w:lang w:eastAsia="ja-JP"/>
        </w:rPr>
        <w:t xml:space="preserve"> </w:t>
      </w:r>
      <w:r w:rsidR="00A30214">
        <w:rPr>
          <w:lang w:eastAsia="ja-JP"/>
        </w:rPr>
        <w:t>(</w:t>
      </w:r>
      <w:r w:rsidR="004C458F">
        <w:rPr>
          <w:lang w:eastAsia="ja-JP"/>
        </w:rPr>
        <w:t>+</w:t>
      </w:r>
      <w:r w:rsidR="00A30214">
        <w:rPr>
          <w:lang w:eastAsia="ja-JP"/>
        </w:rPr>
        <w:t>0,74%)</w:t>
      </w:r>
      <w:r w:rsidR="00D360E2">
        <w:rPr>
          <w:lang w:eastAsia="ja-JP"/>
        </w:rPr>
        <w:t xml:space="preserve">, </w:t>
      </w:r>
      <w:r w:rsidR="006430A7">
        <w:rPr>
          <w:lang w:eastAsia="ja-JP"/>
        </w:rPr>
        <w:t>de acordo com</w:t>
      </w:r>
      <w:r w:rsidR="00D360E2">
        <w:rPr>
          <w:lang w:eastAsia="ja-JP"/>
        </w:rPr>
        <w:t xml:space="preserve"> o Gráfico 1</w:t>
      </w:r>
      <w:r w:rsidR="00AA15B5">
        <w:rPr>
          <w:lang w:eastAsia="ja-JP"/>
        </w:rPr>
        <w:t>.</w:t>
      </w:r>
    </w:p>
    <w:p w14:paraId="061D45BA" w14:textId="1ED41433" w:rsidR="00A9355E" w:rsidRPr="0071247E" w:rsidRDefault="00A9355E" w:rsidP="00C32B01">
      <w:pPr>
        <w:rPr>
          <w:lang w:eastAsia="ja-JP"/>
        </w:rPr>
      </w:pPr>
      <w:r>
        <w:rPr>
          <w:lang w:eastAsia="ja-JP"/>
        </w:rPr>
        <w:t>A atividade</w:t>
      </w:r>
      <w:r w:rsidR="00757C2D">
        <w:rPr>
          <w:lang w:eastAsia="ja-JP"/>
        </w:rPr>
        <w:t xml:space="preserve"> </w:t>
      </w:r>
      <w:r w:rsidR="00B47599">
        <w:rPr>
          <w:lang w:eastAsia="ja-JP"/>
        </w:rPr>
        <w:t>econômica</w:t>
      </w:r>
      <w:r>
        <w:rPr>
          <w:lang w:eastAsia="ja-JP"/>
        </w:rPr>
        <w:t xml:space="preserve"> nordestina apresentou retração de </w:t>
      </w:r>
      <w:r w:rsidR="00757C2D">
        <w:rPr>
          <w:lang w:eastAsia="ja-JP"/>
        </w:rPr>
        <w:t xml:space="preserve">2,14% no acumulado do ano de 2020, </w:t>
      </w:r>
      <w:r w:rsidR="002E4AE9">
        <w:rPr>
          <w:lang w:eastAsia="ja-JP"/>
        </w:rPr>
        <w:t xml:space="preserve">variação abaixo da registrada em </w:t>
      </w:r>
      <w:r w:rsidR="006C55E1">
        <w:rPr>
          <w:lang w:eastAsia="ja-JP"/>
        </w:rPr>
        <w:t>2019 (</w:t>
      </w:r>
      <w:r w:rsidR="004C458F">
        <w:rPr>
          <w:lang w:eastAsia="ja-JP"/>
        </w:rPr>
        <w:t>+</w:t>
      </w:r>
      <w:r w:rsidR="006C55E1">
        <w:rPr>
          <w:lang w:eastAsia="ja-JP"/>
        </w:rPr>
        <w:t xml:space="preserve">0,72%). </w:t>
      </w:r>
      <w:r w:rsidR="00240485">
        <w:rPr>
          <w:lang w:eastAsia="ja-JP"/>
        </w:rPr>
        <w:t xml:space="preserve">Na comparação </w:t>
      </w:r>
      <w:r w:rsidR="00CB273B">
        <w:rPr>
          <w:lang w:eastAsia="ja-JP"/>
        </w:rPr>
        <w:t xml:space="preserve">de dezembro </w:t>
      </w:r>
      <w:r w:rsidR="00B100AC">
        <w:rPr>
          <w:lang w:eastAsia="ja-JP"/>
        </w:rPr>
        <w:t xml:space="preserve">contra o </w:t>
      </w:r>
      <w:r w:rsidR="006B4574">
        <w:rPr>
          <w:lang w:eastAsia="ja-JP"/>
        </w:rPr>
        <w:t xml:space="preserve">mesmo </w:t>
      </w:r>
      <w:r w:rsidR="00B100AC">
        <w:rPr>
          <w:lang w:eastAsia="ja-JP"/>
        </w:rPr>
        <w:t>mês do ano anterior</w:t>
      </w:r>
      <w:r w:rsidR="00240485">
        <w:rPr>
          <w:lang w:eastAsia="ja-JP"/>
        </w:rPr>
        <w:t>, o</w:t>
      </w:r>
      <w:r w:rsidR="001C4E2C">
        <w:rPr>
          <w:lang w:eastAsia="ja-JP"/>
        </w:rPr>
        <w:t xml:space="preserve">bservou-se </w:t>
      </w:r>
      <w:r w:rsidR="00B8700B">
        <w:rPr>
          <w:lang w:eastAsia="ja-JP"/>
        </w:rPr>
        <w:t>apreciação das atividades com taxa de crescimento de 1,05%</w:t>
      </w:r>
      <w:r w:rsidR="00ED1937">
        <w:rPr>
          <w:lang w:eastAsia="ja-JP"/>
        </w:rPr>
        <w:t xml:space="preserve">, ficando </w:t>
      </w:r>
      <w:r w:rsidR="00B703E5">
        <w:rPr>
          <w:lang w:eastAsia="ja-JP"/>
        </w:rPr>
        <w:t>abaixo d</w:t>
      </w:r>
      <w:r w:rsidR="004F2524">
        <w:rPr>
          <w:lang w:eastAsia="ja-JP"/>
        </w:rPr>
        <w:t>o</w:t>
      </w:r>
      <w:r w:rsidR="00B703E5">
        <w:rPr>
          <w:lang w:eastAsia="ja-JP"/>
        </w:rPr>
        <w:t xml:space="preserve"> </w:t>
      </w:r>
      <w:r w:rsidR="004F2524">
        <w:rPr>
          <w:lang w:eastAsia="ja-JP"/>
        </w:rPr>
        <w:t>percentual</w:t>
      </w:r>
      <w:r w:rsidR="00B703E5">
        <w:rPr>
          <w:lang w:eastAsia="ja-JP"/>
        </w:rPr>
        <w:t xml:space="preserve"> registrad</w:t>
      </w:r>
      <w:r w:rsidR="004F2524">
        <w:rPr>
          <w:lang w:eastAsia="ja-JP"/>
        </w:rPr>
        <w:t>o</w:t>
      </w:r>
      <w:r w:rsidR="00B703E5">
        <w:rPr>
          <w:lang w:eastAsia="ja-JP"/>
        </w:rPr>
        <w:t xml:space="preserve"> em dezembro</w:t>
      </w:r>
      <w:r w:rsidR="00ED1937">
        <w:rPr>
          <w:lang w:eastAsia="ja-JP"/>
        </w:rPr>
        <w:t xml:space="preserve"> </w:t>
      </w:r>
      <w:r w:rsidR="004F2524">
        <w:rPr>
          <w:lang w:eastAsia="ja-JP"/>
        </w:rPr>
        <w:t xml:space="preserve">do </w:t>
      </w:r>
      <w:r w:rsidR="00ED1937">
        <w:rPr>
          <w:lang w:eastAsia="ja-JP"/>
        </w:rPr>
        <w:t>mês anterior</w:t>
      </w:r>
      <w:r w:rsidR="00445DBB">
        <w:rPr>
          <w:lang w:eastAsia="ja-JP"/>
        </w:rPr>
        <w:t xml:space="preserve"> </w:t>
      </w:r>
      <w:r w:rsidR="00800142">
        <w:rPr>
          <w:lang w:eastAsia="ja-JP"/>
        </w:rPr>
        <w:t>(0,54%)</w:t>
      </w:r>
      <w:r w:rsidR="008C40E6">
        <w:rPr>
          <w:lang w:eastAsia="ja-JP"/>
        </w:rPr>
        <w:t xml:space="preserve">. </w:t>
      </w:r>
      <w:r w:rsidR="00FE0582">
        <w:rPr>
          <w:lang w:eastAsia="ja-JP"/>
        </w:rPr>
        <w:t>O estado do Ceará encerrou o ano de 2020 com decl</w:t>
      </w:r>
      <w:r w:rsidR="0007673E">
        <w:rPr>
          <w:lang w:eastAsia="ja-JP"/>
        </w:rPr>
        <w:t xml:space="preserve">ínio de 2,79%, </w:t>
      </w:r>
      <w:r w:rsidR="005D159F">
        <w:rPr>
          <w:lang w:eastAsia="ja-JP"/>
        </w:rPr>
        <w:t>percentual abaixo do registrado em 2019 (</w:t>
      </w:r>
      <w:r w:rsidR="004C458F">
        <w:rPr>
          <w:lang w:eastAsia="ja-JP"/>
        </w:rPr>
        <w:t>+2,44%)</w:t>
      </w:r>
      <w:r w:rsidR="00E8622C">
        <w:rPr>
          <w:lang w:eastAsia="ja-JP"/>
        </w:rPr>
        <w:t xml:space="preserve">. Na variação interanual, o estado </w:t>
      </w:r>
      <w:r w:rsidR="004921D5">
        <w:rPr>
          <w:lang w:eastAsia="ja-JP"/>
        </w:rPr>
        <w:t>apresentou crescimento de 1,26%</w:t>
      </w:r>
      <w:r w:rsidR="005F51C7">
        <w:rPr>
          <w:lang w:eastAsia="ja-JP"/>
        </w:rPr>
        <w:t xml:space="preserve"> (Gráfico 1)</w:t>
      </w:r>
      <w:r w:rsidR="001F08B2">
        <w:rPr>
          <w:lang w:eastAsia="ja-JP"/>
        </w:rPr>
        <w:t xml:space="preserve">, taxa </w:t>
      </w:r>
      <w:r w:rsidR="00C32B01">
        <w:rPr>
          <w:lang w:eastAsia="ja-JP"/>
        </w:rPr>
        <w:t xml:space="preserve">0,98 </w:t>
      </w:r>
      <w:proofErr w:type="spellStart"/>
      <w:r w:rsidR="00C32B01">
        <w:rPr>
          <w:lang w:eastAsia="ja-JP"/>
        </w:rPr>
        <w:t>p.p</w:t>
      </w:r>
      <w:proofErr w:type="spellEnd"/>
      <w:r w:rsidR="00C32B01">
        <w:rPr>
          <w:lang w:eastAsia="ja-JP"/>
        </w:rPr>
        <w:t xml:space="preserve">. maior que a registrada em novembro. </w:t>
      </w:r>
    </w:p>
    <w:p w14:paraId="2758AB03" w14:textId="1A0AA523" w:rsidR="00134336" w:rsidRDefault="00134336" w:rsidP="00134336">
      <w:pPr>
        <w:pStyle w:val="Legenda"/>
      </w:pPr>
      <w:r>
        <w:t xml:space="preserve">Gráfico </w:t>
      </w:r>
      <w:r w:rsidR="00DC6C77">
        <w:fldChar w:fldCharType="begin"/>
      </w:r>
      <w:r w:rsidR="00DC6C77">
        <w:instrText xml:space="preserve"> SEQ Gráfico \* ARABIC </w:instrText>
      </w:r>
      <w:r w:rsidR="00DC6C77">
        <w:fldChar w:fldCharType="separate"/>
      </w:r>
      <w:r>
        <w:rPr>
          <w:noProof/>
        </w:rPr>
        <w:t>1</w:t>
      </w:r>
      <w:r w:rsidR="00DC6C77">
        <w:rPr>
          <w:noProof/>
        </w:rPr>
        <w:fldChar w:fldCharType="end"/>
      </w:r>
      <w:r w:rsidRPr="00030BF8">
        <w:t xml:space="preserve"> – Crescimento mensal (%) do Índice de Atividade Econômica do Banco Central (IBC) – mês contra mesmo mês do ano anterior – Brasil, Nordeste e Ceará – dez/19 a dez/20.</w:t>
      </w:r>
    </w:p>
    <w:p w14:paraId="040452D7" w14:textId="47B6ACD8" w:rsidR="00A2588D" w:rsidRDefault="006A6B37" w:rsidP="00832E1B">
      <w:pPr>
        <w:spacing w:before="0" w:beforeAutospacing="0" w:after="0" w:afterAutospacing="0" w:line="240" w:lineRule="auto"/>
        <w:ind w:firstLine="0"/>
        <w:rPr>
          <w:lang w:eastAsia="ja-JP"/>
        </w:rPr>
      </w:pPr>
      <w:r>
        <w:rPr>
          <w:noProof/>
        </w:rPr>
        <w:drawing>
          <wp:inline distT="0" distB="0" distL="0" distR="0" wp14:anchorId="4611C6BD" wp14:editId="62AD3D5F">
            <wp:extent cx="5760085" cy="2707005"/>
            <wp:effectExtent l="0" t="0" r="12065" b="17145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236FA420-AF1A-4F30-8B41-611CECB7C2E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8868191" w14:textId="3785666B" w:rsidR="00832E1B" w:rsidRDefault="00832E1B" w:rsidP="00832E1B">
      <w:pPr>
        <w:pStyle w:val="captiontabela"/>
        <w:spacing w:after="40" w:afterAutospacing="0"/>
      </w:pPr>
      <w:r w:rsidRPr="00832E1B">
        <w:t>Fonte: Banco Central do Brasil (BCB). Elaboração: NUPE/UNIFOR.</w:t>
      </w:r>
    </w:p>
    <w:p w14:paraId="13B6F6EF" w14:textId="4F3C396A" w:rsidR="00CE3A42" w:rsidRDefault="00CE3A42" w:rsidP="00CE3A42">
      <w:pPr>
        <w:pStyle w:val="Ttulo2"/>
      </w:pPr>
      <w:r>
        <w:lastRenderedPageBreak/>
        <w:t>O Setor Agrícola</w:t>
      </w:r>
    </w:p>
    <w:p w14:paraId="547374CB" w14:textId="0F690B9B" w:rsidR="003D4A6F" w:rsidRPr="003D4A6F" w:rsidRDefault="003D4A6F" w:rsidP="003D4A6F">
      <w:pPr>
        <w:rPr>
          <w:lang w:eastAsia="ja-JP"/>
        </w:rPr>
      </w:pPr>
      <w:r w:rsidRPr="003D4A6F">
        <w:rPr>
          <w:lang w:eastAsia="ja-JP"/>
        </w:rPr>
        <w:t>De acordo com as estimativas do Conab</w:t>
      </w:r>
      <w:r w:rsidR="001D1963">
        <w:rPr>
          <w:lang w:eastAsia="ja-JP"/>
        </w:rPr>
        <w:t>,</w:t>
      </w:r>
      <w:r w:rsidRPr="003D4A6F">
        <w:rPr>
          <w:lang w:eastAsia="ja-JP"/>
        </w:rPr>
        <w:t xml:space="preserve"> em </w:t>
      </w:r>
      <w:r>
        <w:rPr>
          <w:lang w:eastAsia="ja-JP"/>
        </w:rPr>
        <w:t>dezembro</w:t>
      </w:r>
      <w:r w:rsidRPr="003D4A6F">
        <w:rPr>
          <w:lang w:eastAsia="ja-JP"/>
        </w:rPr>
        <w:t xml:space="preserve"> de 2020, a produtividade nacional apresentou crescimento </w:t>
      </w:r>
      <w:r w:rsidR="003303EA">
        <w:rPr>
          <w:lang w:eastAsia="ja-JP"/>
        </w:rPr>
        <w:t>de 1</w:t>
      </w:r>
      <w:r w:rsidRPr="003D4A6F">
        <w:rPr>
          <w:lang w:eastAsia="ja-JP"/>
        </w:rPr>
        <w:t>,</w:t>
      </w:r>
      <w:r w:rsidR="003303EA">
        <w:rPr>
          <w:lang w:eastAsia="ja-JP"/>
        </w:rPr>
        <w:t>7</w:t>
      </w:r>
      <w:r w:rsidRPr="003D4A6F">
        <w:rPr>
          <w:lang w:eastAsia="ja-JP"/>
        </w:rPr>
        <w:t>%, favorecendo para que a produção total das culturas de soja, milho, arroz, feijão e algodão seja em torno de 268,</w:t>
      </w:r>
      <w:r w:rsidR="006565F1">
        <w:rPr>
          <w:lang w:eastAsia="ja-JP"/>
        </w:rPr>
        <w:t>3</w:t>
      </w:r>
      <w:r w:rsidRPr="003D4A6F">
        <w:rPr>
          <w:lang w:eastAsia="ja-JP"/>
        </w:rPr>
        <w:t xml:space="preserve"> milhões de toneladas na safra 2020/2021, representando elevação de</w:t>
      </w:r>
      <w:r w:rsidR="00396EA3">
        <w:rPr>
          <w:lang w:eastAsia="ja-JP"/>
        </w:rPr>
        <w:t xml:space="preserve"> </w:t>
      </w:r>
      <w:r w:rsidR="005E0974">
        <w:rPr>
          <w:lang w:eastAsia="ja-JP"/>
        </w:rPr>
        <w:t>4</w:t>
      </w:r>
      <w:r w:rsidR="00396EA3">
        <w:rPr>
          <w:lang w:eastAsia="ja-JP"/>
        </w:rPr>
        <w:t>,</w:t>
      </w:r>
      <w:r w:rsidR="005E0974">
        <w:rPr>
          <w:lang w:eastAsia="ja-JP"/>
        </w:rPr>
        <w:t>4</w:t>
      </w:r>
      <w:r w:rsidRPr="003D4A6F">
        <w:rPr>
          <w:lang w:eastAsia="ja-JP"/>
        </w:rPr>
        <w:t xml:space="preserve">% quando comparada com a safra de 2019/2020 (Tabela 1). Já nos dados da área produtiva, o Brasil apresentou elevação de </w:t>
      </w:r>
      <w:r w:rsidR="005E0974">
        <w:rPr>
          <w:lang w:eastAsia="ja-JP"/>
        </w:rPr>
        <w:t>2</w:t>
      </w:r>
      <w:r w:rsidRPr="003D4A6F">
        <w:rPr>
          <w:lang w:eastAsia="ja-JP"/>
        </w:rPr>
        <w:t>,</w:t>
      </w:r>
      <w:r w:rsidR="005E0974">
        <w:rPr>
          <w:lang w:eastAsia="ja-JP"/>
        </w:rPr>
        <w:t>7</w:t>
      </w:r>
      <w:r w:rsidRPr="003D4A6F">
        <w:rPr>
          <w:lang w:eastAsia="ja-JP"/>
        </w:rPr>
        <w:t>% na comparação entre as estimativas da safra 20/21 frente a safra de 19/20. Para a região nordeste é estimada uma produção de 22,</w:t>
      </w:r>
      <w:r w:rsidR="00043E8F">
        <w:rPr>
          <w:lang w:eastAsia="ja-JP"/>
        </w:rPr>
        <w:t>1</w:t>
      </w:r>
      <w:r w:rsidRPr="003D4A6F">
        <w:rPr>
          <w:lang w:eastAsia="ja-JP"/>
        </w:rPr>
        <w:t xml:space="preserve"> milhões de toneladas para a safra 20/21, representando uma retração de -</w:t>
      </w:r>
      <w:r w:rsidR="00043E8F">
        <w:rPr>
          <w:lang w:eastAsia="ja-JP"/>
        </w:rPr>
        <w:t>3</w:t>
      </w:r>
      <w:r w:rsidRPr="003D4A6F">
        <w:rPr>
          <w:lang w:eastAsia="ja-JP"/>
        </w:rPr>
        <w:t>,</w:t>
      </w:r>
      <w:r w:rsidR="00043E8F">
        <w:rPr>
          <w:lang w:eastAsia="ja-JP"/>
        </w:rPr>
        <w:t>9</w:t>
      </w:r>
      <w:r w:rsidRPr="003D4A6F">
        <w:rPr>
          <w:lang w:eastAsia="ja-JP"/>
        </w:rPr>
        <w:t xml:space="preserve"> na comparação com a safra de 19/20. A produtividade na região tem queda nas estimativas de -</w:t>
      </w:r>
      <w:r w:rsidR="00043E8F">
        <w:rPr>
          <w:lang w:eastAsia="ja-JP"/>
        </w:rPr>
        <w:t>6</w:t>
      </w:r>
      <w:r w:rsidRPr="003D4A6F">
        <w:rPr>
          <w:lang w:eastAsia="ja-JP"/>
        </w:rPr>
        <w:t>,</w:t>
      </w:r>
      <w:r w:rsidR="00043E8F">
        <w:rPr>
          <w:lang w:eastAsia="ja-JP"/>
        </w:rPr>
        <w:t>2</w:t>
      </w:r>
      <w:r w:rsidRPr="003D4A6F">
        <w:rPr>
          <w:lang w:eastAsia="ja-JP"/>
        </w:rPr>
        <w:t>%. Contudo, a variação na área produtiva foi positiva (</w:t>
      </w:r>
      <w:r w:rsidR="00043E8F">
        <w:rPr>
          <w:lang w:eastAsia="ja-JP"/>
        </w:rPr>
        <w:t>2</w:t>
      </w:r>
      <w:r w:rsidRPr="003D4A6F">
        <w:rPr>
          <w:lang w:eastAsia="ja-JP"/>
        </w:rPr>
        <w:t>,</w:t>
      </w:r>
      <w:r w:rsidR="00043E8F">
        <w:rPr>
          <w:lang w:eastAsia="ja-JP"/>
        </w:rPr>
        <w:t>5</w:t>
      </w:r>
      <w:r w:rsidRPr="003D4A6F">
        <w:rPr>
          <w:lang w:eastAsia="ja-JP"/>
        </w:rPr>
        <w:t>%). A estimativa da produção total do Ceará é de 57</w:t>
      </w:r>
      <w:r w:rsidR="00BA5F4F">
        <w:rPr>
          <w:lang w:eastAsia="ja-JP"/>
        </w:rPr>
        <w:t>2</w:t>
      </w:r>
      <w:r w:rsidRPr="003D4A6F">
        <w:rPr>
          <w:lang w:eastAsia="ja-JP"/>
        </w:rPr>
        <w:t>,</w:t>
      </w:r>
      <w:r w:rsidR="00BA5F4F">
        <w:rPr>
          <w:lang w:eastAsia="ja-JP"/>
        </w:rPr>
        <w:t>2</w:t>
      </w:r>
      <w:r w:rsidRPr="003D4A6F">
        <w:rPr>
          <w:lang w:eastAsia="ja-JP"/>
        </w:rPr>
        <w:t xml:space="preserve"> mil toneladas para a safra de 20/21, queda de -28</w:t>
      </w:r>
      <w:r w:rsidR="00BA5F4F">
        <w:rPr>
          <w:lang w:eastAsia="ja-JP"/>
        </w:rPr>
        <w:t>,4</w:t>
      </w:r>
      <w:r w:rsidRPr="003D4A6F">
        <w:rPr>
          <w:lang w:eastAsia="ja-JP"/>
        </w:rPr>
        <w:t>% na comparação com a safra de 19/20. A produtividade (-2</w:t>
      </w:r>
      <w:r w:rsidR="00BA5F4F">
        <w:rPr>
          <w:lang w:eastAsia="ja-JP"/>
        </w:rPr>
        <w:t>9,6</w:t>
      </w:r>
      <w:r w:rsidRPr="003D4A6F">
        <w:rPr>
          <w:lang w:eastAsia="ja-JP"/>
        </w:rPr>
        <w:t>%) e a área produtiva (</w:t>
      </w:r>
      <w:r w:rsidR="00BA5F4F">
        <w:rPr>
          <w:lang w:eastAsia="ja-JP"/>
        </w:rPr>
        <w:t>1</w:t>
      </w:r>
      <w:r w:rsidRPr="003D4A6F">
        <w:rPr>
          <w:lang w:eastAsia="ja-JP"/>
        </w:rPr>
        <w:t>,</w:t>
      </w:r>
      <w:r w:rsidR="00BA5F4F">
        <w:rPr>
          <w:lang w:eastAsia="ja-JP"/>
        </w:rPr>
        <w:t>7</w:t>
      </w:r>
      <w:r w:rsidRPr="003D4A6F">
        <w:rPr>
          <w:lang w:eastAsia="ja-JP"/>
        </w:rPr>
        <w:t>%) ficaram abaixo tanto da média nacional, quanto da região nordestina.</w:t>
      </w:r>
    </w:p>
    <w:p w14:paraId="5006D3A0" w14:textId="17E78AE8" w:rsidR="00DB3207" w:rsidRDefault="00DB3207" w:rsidP="00DB3207">
      <w:pPr>
        <w:pStyle w:val="Legenda"/>
      </w:pPr>
      <w:r>
        <w:t xml:space="preserve">Tabela </w:t>
      </w:r>
      <w:r w:rsidR="00DC6C77">
        <w:fldChar w:fldCharType="begin"/>
      </w:r>
      <w:r w:rsidR="00DC6C77">
        <w:instrText xml:space="preserve"> SEQ Tabela \* A</w:instrText>
      </w:r>
      <w:r w:rsidR="00DC6C77">
        <w:instrText xml:space="preserve">RABIC </w:instrText>
      </w:r>
      <w:r w:rsidR="00DC6C77">
        <w:fldChar w:fldCharType="separate"/>
      </w:r>
      <w:r>
        <w:rPr>
          <w:noProof/>
        </w:rPr>
        <w:t>1</w:t>
      </w:r>
      <w:r w:rsidR="00DC6C77">
        <w:rPr>
          <w:noProof/>
        </w:rPr>
        <w:fldChar w:fldCharType="end"/>
      </w:r>
      <w:r>
        <w:t xml:space="preserve"> - </w:t>
      </w:r>
      <w:r w:rsidRPr="006D02F3">
        <w:t>Comparativo de área, produtividade e produção de grãos – produtos selecionados (*) – safras 2019/20 e 2020/21 (**) – Brasil, Nordeste e Ceará.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98"/>
        <w:gridCol w:w="840"/>
        <w:gridCol w:w="840"/>
        <w:gridCol w:w="624"/>
        <w:gridCol w:w="1085"/>
        <w:gridCol w:w="1020"/>
        <w:gridCol w:w="760"/>
        <w:gridCol w:w="940"/>
        <w:gridCol w:w="940"/>
        <w:gridCol w:w="624"/>
      </w:tblGrid>
      <w:tr w:rsidR="00CE3A42" w:rsidRPr="00CE3A42" w14:paraId="69289E91" w14:textId="77777777" w:rsidTr="00DB3207">
        <w:trPr>
          <w:trHeight w:val="300"/>
        </w:trPr>
        <w:tc>
          <w:tcPr>
            <w:tcW w:w="771" w:type="pct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075DA9" w14:textId="77777777" w:rsidR="00CE3A42" w:rsidRPr="00CE3A42" w:rsidRDefault="00CE3A42" w:rsidP="00CE3A42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CE3A42"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  <w:t>REGIÃO/UF</w:t>
            </w:r>
          </w:p>
        </w:tc>
        <w:tc>
          <w:tcPr>
            <w:tcW w:w="1270" w:type="pct"/>
            <w:gridSpan w:val="3"/>
            <w:tcBorders>
              <w:top w:val="single" w:sz="8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A0E5E6" w14:textId="77777777" w:rsidR="00CE3A42" w:rsidRPr="00CE3A42" w:rsidRDefault="00CE3A42" w:rsidP="00CE3A42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CE3A42"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  <w:t>ÁREA (Em mil ha)</w:t>
            </w:r>
          </w:p>
        </w:tc>
        <w:tc>
          <w:tcPr>
            <w:tcW w:w="1579" w:type="pct"/>
            <w:gridSpan w:val="3"/>
            <w:tcBorders>
              <w:top w:val="single" w:sz="8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A089AA" w14:textId="77777777" w:rsidR="00CE3A42" w:rsidRPr="00CE3A42" w:rsidRDefault="00CE3A42" w:rsidP="00CE3A42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CE3A42"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  <w:t>PRODUTIVIDADE (Em kg/ha)</w:t>
            </w:r>
          </w:p>
        </w:tc>
        <w:tc>
          <w:tcPr>
            <w:tcW w:w="1380" w:type="pct"/>
            <w:gridSpan w:val="3"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BCE01D2" w14:textId="77777777" w:rsidR="00CE3A42" w:rsidRPr="00CE3A42" w:rsidRDefault="00CE3A42" w:rsidP="00CE3A42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CE3A42"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  <w:t>PRODUÇÃO (Em mil t)</w:t>
            </w:r>
          </w:p>
        </w:tc>
      </w:tr>
      <w:tr w:rsidR="00CE3A42" w:rsidRPr="00CE3A42" w14:paraId="1DF9F48D" w14:textId="77777777" w:rsidTr="00DB3207">
        <w:trPr>
          <w:trHeight w:val="709"/>
        </w:trPr>
        <w:tc>
          <w:tcPr>
            <w:tcW w:w="771" w:type="pct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5658133D" w14:textId="77777777" w:rsidR="00CE3A42" w:rsidRPr="00CE3A42" w:rsidRDefault="00CE3A42" w:rsidP="00CE3A42">
            <w:pPr>
              <w:spacing w:before="0" w:beforeAutospacing="0" w:after="0" w:afterAutospacing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463" w:type="pct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E700F3" w14:textId="77777777" w:rsidR="00CE3A42" w:rsidRPr="00CE3A42" w:rsidRDefault="00CE3A42" w:rsidP="00CE3A42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CE3A42"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  <w:t>Safra 19/20</w:t>
            </w:r>
          </w:p>
        </w:tc>
        <w:tc>
          <w:tcPr>
            <w:tcW w:w="463" w:type="pct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1C326F" w14:textId="77777777" w:rsidR="00CE3A42" w:rsidRPr="00CE3A42" w:rsidRDefault="00CE3A42" w:rsidP="00CE3A42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CE3A42"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  <w:t>Safra 20/21</w:t>
            </w:r>
          </w:p>
        </w:tc>
        <w:tc>
          <w:tcPr>
            <w:tcW w:w="344" w:type="pct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C7A318" w14:textId="77777777" w:rsidR="00CE3A42" w:rsidRPr="00CE3A42" w:rsidRDefault="00CE3A42" w:rsidP="00CE3A42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CE3A42"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  <w:t>VAR. %</w:t>
            </w:r>
          </w:p>
        </w:tc>
        <w:tc>
          <w:tcPr>
            <w:tcW w:w="598" w:type="pct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C8903C" w14:textId="77777777" w:rsidR="00CE3A42" w:rsidRPr="00CE3A42" w:rsidRDefault="00CE3A42" w:rsidP="00CE3A42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CE3A42"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  <w:t>Safra 19/20</w:t>
            </w:r>
          </w:p>
        </w:tc>
        <w:tc>
          <w:tcPr>
            <w:tcW w:w="562" w:type="pct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521056" w14:textId="77777777" w:rsidR="00CE3A42" w:rsidRPr="00CE3A42" w:rsidRDefault="00CE3A42" w:rsidP="00CE3A42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CE3A42"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  <w:t>Safra 20/21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49721D" w14:textId="77777777" w:rsidR="00CE3A42" w:rsidRPr="00CE3A42" w:rsidRDefault="00CE3A42" w:rsidP="00CE3A42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CE3A42"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  <w:t>VAR. %</w:t>
            </w:r>
          </w:p>
        </w:tc>
        <w:tc>
          <w:tcPr>
            <w:tcW w:w="518" w:type="pct"/>
            <w:tcBorders>
              <w:top w:val="single" w:sz="4" w:space="0" w:color="000000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DAB75DA" w14:textId="77777777" w:rsidR="00CE3A42" w:rsidRPr="00CE3A42" w:rsidRDefault="00CE3A42" w:rsidP="00CE3A42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CE3A42"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  <w:t>Safra 19/20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5070B" w14:textId="77777777" w:rsidR="00CE3A42" w:rsidRPr="00CE3A42" w:rsidRDefault="00CE3A42" w:rsidP="00CE3A42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CE3A42"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  <w:t>Safra 20/21</w:t>
            </w:r>
          </w:p>
        </w:tc>
        <w:tc>
          <w:tcPr>
            <w:tcW w:w="344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87C273D" w14:textId="77777777" w:rsidR="00CE3A42" w:rsidRPr="00CE3A42" w:rsidRDefault="00CE3A42" w:rsidP="00CE3A42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CE3A42"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  <w:t>VAR. %</w:t>
            </w:r>
          </w:p>
        </w:tc>
      </w:tr>
      <w:tr w:rsidR="00DB3207" w:rsidRPr="00CE3A42" w14:paraId="574A2601" w14:textId="77777777" w:rsidTr="00DB3207">
        <w:trPr>
          <w:trHeight w:val="300"/>
        </w:trPr>
        <w:tc>
          <w:tcPr>
            <w:tcW w:w="7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79134" w14:textId="77777777" w:rsidR="00CE3A42" w:rsidRPr="00CE3A42" w:rsidRDefault="00CE3A42" w:rsidP="00CE3A42">
            <w:pPr>
              <w:spacing w:before="0" w:beforeAutospacing="0" w:after="0" w:afterAutospacing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CE3A42"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  <w:t>Ceará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A3269" w14:textId="77777777" w:rsidR="00CE3A42" w:rsidRPr="00CE3A42" w:rsidRDefault="00CE3A42" w:rsidP="00CE3A42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CE3A42">
              <w:rPr>
                <w:rFonts w:eastAsia="Times New Roman" w:cs="Times New Roman"/>
                <w:sz w:val="20"/>
                <w:szCs w:val="20"/>
                <w:lang w:eastAsia="pt-BR"/>
              </w:rPr>
              <w:t>913,1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CBAAA" w14:textId="77777777" w:rsidR="00CE3A42" w:rsidRPr="00CE3A42" w:rsidRDefault="00CE3A42" w:rsidP="00CE3A42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CE3A42">
              <w:rPr>
                <w:rFonts w:eastAsia="Times New Roman" w:cs="Times New Roman"/>
                <w:sz w:val="20"/>
                <w:szCs w:val="20"/>
                <w:lang w:eastAsia="pt-BR"/>
              </w:rPr>
              <w:t>928,7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1E167" w14:textId="77777777" w:rsidR="00CE3A42" w:rsidRPr="00CE3A42" w:rsidRDefault="00CE3A42" w:rsidP="00CE3A42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CE3A42">
              <w:rPr>
                <w:rFonts w:eastAsia="Times New Roman" w:cs="Times New Roman"/>
                <w:sz w:val="20"/>
                <w:szCs w:val="20"/>
                <w:lang w:eastAsia="pt-BR"/>
              </w:rPr>
              <w:t>1,7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0F77F" w14:textId="77777777" w:rsidR="00CE3A42" w:rsidRPr="00CE3A42" w:rsidRDefault="00CE3A42" w:rsidP="00CE3A42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CE3A42">
              <w:rPr>
                <w:rFonts w:eastAsia="Times New Roman" w:cs="Times New Roman"/>
                <w:sz w:val="20"/>
                <w:szCs w:val="20"/>
                <w:lang w:eastAsia="pt-BR"/>
              </w:rPr>
              <w:t>874,7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39D21" w14:textId="77777777" w:rsidR="00CE3A42" w:rsidRPr="00CE3A42" w:rsidRDefault="00CE3A42" w:rsidP="00CE3A42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CE3A42">
              <w:rPr>
                <w:rFonts w:eastAsia="Times New Roman" w:cs="Times New Roman"/>
                <w:sz w:val="20"/>
                <w:szCs w:val="20"/>
                <w:lang w:eastAsia="pt-BR"/>
              </w:rPr>
              <w:t>616,1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FB43C" w14:textId="77777777" w:rsidR="00CE3A42" w:rsidRPr="00CE3A42" w:rsidRDefault="00CE3A42" w:rsidP="00CE3A42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  <w:r w:rsidRPr="00CE3A42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-29,6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232F1" w14:textId="77777777" w:rsidR="00CE3A42" w:rsidRPr="00CE3A42" w:rsidRDefault="00CE3A42" w:rsidP="00CE3A42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CE3A42">
              <w:rPr>
                <w:rFonts w:eastAsia="Times New Roman" w:cs="Times New Roman"/>
                <w:sz w:val="20"/>
                <w:szCs w:val="20"/>
                <w:lang w:eastAsia="pt-BR"/>
              </w:rPr>
              <w:t>798,7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93CE3" w14:textId="77777777" w:rsidR="00CE3A42" w:rsidRPr="00CE3A42" w:rsidRDefault="00CE3A42" w:rsidP="00CE3A42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CE3A42">
              <w:rPr>
                <w:rFonts w:eastAsia="Times New Roman" w:cs="Times New Roman"/>
                <w:sz w:val="20"/>
                <w:szCs w:val="20"/>
                <w:lang w:eastAsia="pt-BR"/>
              </w:rPr>
              <w:t>572,2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1BBB0" w14:textId="77777777" w:rsidR="00CE3A42" w:rsidRPr="00CE3A42" w:rsidRDefault="00CE3A42" w:rsidP="00CE3A42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  <w:r w:rsidRPr="00CE3A42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-28,4</w:t>
            </w:r>
          </w:p>
        </w:tc>
      </w:tr>
      <w:tr w:rsidR="00DB3207" w:rsidRPr="00CE3A42" w14:paraId="7A297973" w14:textId="77777777" w:rsidTr="00DB3207">
        <w:trPr>
          <w:trHeight w:val="300"/>
        </w:trPr>
        <w:tc>
          <w:tcPr>
            <w:tcW w:w="7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0C0" w14:textId="77777777" w:rsidR="00CE3A42" w:rsidRPr="00CE3A42" w:rsidRDefault="00CE3A42" w:rsidP="00CE3A42">
            <w:pPr>
              <w:spacing w:before="0" w:beforeAutospacing="0" w:after="0" w:afterAutospacing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CE3A42"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52E29" w14:textId="77777777" w:rsidR="00CE3A42" w:rsidRPr="00CE3A42" w:rsidRDefault="00CE3A42" w:rsidP="00CE3A42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CE3A42">
              <w:rPr>
                <w:rFonts w:eastAsia="Times New Roman" w:cs="Times New Roman"/>
                <w:sz w:val="20"/>
                <w:szCs w:val="20"/>
                <w:lang w:eastAsia="pt-BR"/>
              </w:rPr>
              <w:t>8.187,7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8E7FB" w14:textId="77777777" w:rsidR="00CE3A42" w:rsidRPr="00CE3A42" w:rsidRDefault="00CE3A42" w:rsidP="00CE3A42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CE3A42">
              <w:rPr>
                <w:rFonts w:eastAsia="Times New Roman" w:cs="Times New Roman"/>
                <w:sz w:val="20"/>
                <w:szCs w:val="20"/>
                <w:lang w:eastAsia="pt-BR"/>
              </w:rPr>
              <w:t>8.390,1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88995" w14:textId="77777777" w:rsidR="00CE3A42" w:rsidRPr="00CE3A42" w:rsidRDefault="00CE3A42" w:rsidP="00CE3A42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CE3A42">
              <w:rPr>
                <w:rFonts w:eastAsia="Times New Roman" w:cs="Times New Roman"/>
                <w:sz w:val="20"/>
                <w:szCs w:val="20"/>
                <w:lang w:eastAsia="pt-BR"/>
              </w:rPr>
              <w:t>2,5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30DA4" w14:textId="77777777" w:rsidR="00CE3A42" w:rsidRPr="00CE3A42" w:rsidRDefault="00CE3A42" w:rsidP="00CE3A42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CE3A42">
              <w:rPr>
                <w:rFonts w:eastAsia="Times New Roman" w:cs="Times New Roman"/>
                <w:sz w:val="20"/>
                <w:szCs w:val="20"/>
                <w:lang w:eastAsia="pt-BR"/>
              </w:rPr>
              <w:t>2.813,8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F37B9" w14:textId="77777777" w:rsidR="00CE3A42" w:rsidRPr="00CE3A42" w:rsidRDefault="00CE3A42" w:rsidP="00CE3A42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CE3A42">
              <w:rPr>
                <w:rFonts w:eastAsia="Times New Roman" w:cs="Times New Roman"/>
                <w:sz w:val="20"/>
                <w:szCs w:val="20"/>
                <w:lang w:eastAsia="pt-BR"/>
              </w:rPr>
              <w:t>2.638,9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9AAAB" w14:textId="77777777" w:rsidR="00CE3A42" w:rsidRPr="00CE3A42" w:rsidRDefault="00CE3A42" w:rsidP="00CE3A42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  <w:r w:rsidRPr="00CE3A42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-6,2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542A1" w14:textId="77777777" w:rsidR="00CE3A42" w:rsidRPr="00CE3A42" w:rsidRDefault="00CE3A42" w:rsidP="00CE3A42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CE3A42">
              <w:rPr>
                <w:rFonts w:eastAsia="Times New Roman" w:cs="Times New Roman"/>
                <w:sz w:val="20"/>
                <w:szCs w:val="20"/>
                <w:lang w:eastAsia="pt-BR"/>
              </w:rPr>
              <w:t>23.041,9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9F288" w14:textId="77777777" w:rsidR="00CE3A42" w:rsidRPr="00CE3A42" w:rsidRDefault="00CE3A42" w:rsidP="00CE3A42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CE3A42">
              <w:rPr>
                <w:rFonts w:eastAsia="Times New Roman" w:cs="Times New Roman"/>
                <w:sz w:val="20"/>
                <w:szCs w:val="20"/>
                <w:lang w:eastAsia="pt-BR"/>
              </w:rPr>
              <w:t>22.140,7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A0F4B" w14:textId="77777777" w:rsidR="00CE3A42" w:rsidRPr="00CE3A42" w:rsidRDefault="00CE3A42" w:rsidP="00CE3A42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  <w:r w:rsidRPr="00CE3A42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-3,9</w:t>
            </w:r>
          </w:p>
        </w:tc>
      </w:tr>
      <w:tr w:rsidR="00DB3207" w:rsidRPr="00CE3A42" w14:paraId="63420618" w14:textId="77777777" w:rsidTr="00DB3207">
        <w:trPr>
          <w:trHeight w:val="315"/>
        </w:trPr>
        <w:tc>
          <w:tcPr>
            <w:tcW w:w="77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251C60" w14:textId="77777777" w:rsidR="00CE3A42" w:rsidRPr="00CE3A42" w:rsidRDefault="00CE3A42" w:rsidP="00CE3A42">
            <w:pPr>
              <w:spacing w:before="0" w:beforeAutospacing="0" w:after="0" w:afterAutospacing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CE3A42"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  <w:t>Brasil</w:t>
            </w:r>
          </w:p>
        </w:tc>
        <w:tc>
          <w:tcPr>
            <w:tcW w:w="46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BE626C" w14:textId="77777777" w:rsidR="00CE3A42" w:rsidRPr="00CE3A42" w:rsidRDefault="00CE3A42" w:rsidP="00CE3A42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CE3A42">
              <w:rPr>
                <w:rFonts w:eastAsia="Times New Roman" w:cs="Times New Roman"/>
                <w:sz w:val="20"/>
                <w:szCs w:val="20"/>
                <w:lang w:eastAsia="pt-BR"/>
              </w:rPr>
              <w:t>65.924,6</w:t>
            </w:r>
          </w:p>
        </w:tc>
        <w:tc>
          <w:tcPr>
            <w:tcW w:w="46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D29104" w14:textId="77777777" w:rsidR="00CE3A42" w:rsidRPr="00CE3A42" w:rsidRDefault="00CE3A42" w:rsidP="00CE3A42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CE3A42">
              <w:rPr>
                <w:rFonts w:eastAsia="Times New Roman" w:cs="Times New Roman"/>
                <w:sz w:val="20"/>
                <w:szCs w:val="20"/>
                <w:lang w:eastAsia="pt-BR"/>
              </w:rPr>
              <w:t>67.680,9</w:t>
            </w:r>
          </w:p>
        </w:tc>
        <w:tc>
          <w:tcPr>
            <w:tcW w:w="34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1220BE" w14:textId="77777777" w:rsidR="00CE3A42" w:rsidRPr="00CE3A42" w:rsidRDefault="00CE3A42" w:rsidP="00CE3A42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CE3A42">
              <w:rPr>
                <w:rFonts w:eastAsia="Times New Roman" w:cs="Times New Roman"/>
                <w:sz w:val="20"/>
                <w:szCs w:val="20"/>
                <w:lang w:eastAsia="pt-BR"/>
              </w:rPr>
              <w:t>2,7</w:t>
            </w:r>
          </w:p>
        </w:tc>
        <w:tc>
          <w:tcPr>
            <w:tcW w:w="59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7EEE25" w14:textId="77777777" w:rsidR="00CE3A42" w:rsidRPr="00CE3A42" w:rsidRDefault="00CE3A42" w:rsidP="00CE3A42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CE3A42">
              <w:rPr>
                <w:rFonts w:eastAsia="Times New Roman" w:cs="Times New Roman"/>
                <w:sz w:val="20"/>
                <w:szCs w:val="20"/>
                <w:lang w:eastAsia="pt-BR"/>
              </w:rPr>
              <w:t>3.897,6</w:t>
            </w:r>
          </w:p>
        </w:tc>
        <w:tc>
          <w:tcPr>
            <w:tcW w:w="56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82C21A" w14:textId="77777777" w:rsidR="00CE3A42" w:rsidRPr="00CE3A42" w:rsidRDefault="00CE3A42" w:rsidP="00CE3A42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CE3A42">
              <w:rPr>
                <w:rFonts w:eastAsia="Times New Roman" w:cs="Times New Roman"/>
                <w:sz w:val="20"/>
                <w:szCs w:val="20"/>
                <w:lang w:eastAsia="pt-BR"/>
              </w:rPr>
              <w:t>3.964,8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5D5649" w14:textId="77777777" w:rsidR="00CE3A42" w:rsidRPr="00CE3A42" w:rsidRDefault="00CE3A42" w:rsidP="00CE3A42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CE3A42">
              <w:rPr>
                <w:rFonts w:eastAsia="Times New Roman" w:cs="Times New Roman"/>
                <w:sz w:val="20"/>
                <w:szCs w:val="20"/>
                <w:lang w:eastAsia="pt-BR"/>
              </w:rPr>
              <w:t>1,7</w:t>
            </w:r>
          </w:p>
        </w:tc>
        <w:tc>
          <w:tcPr>
            <w:tcW w:w="51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C3E524" w14:textId="77777777" w:rsidR="00CE3A42" w:rsidRPr="00CE3A42" w:rsidRDefault="00CE3A42" w:rsidP="00CE3A42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CE3A42">
              <w:rPr>
                <w:rFonts w:eastAsia="Times New Roman" w:cs="Times New Roman"/>
                <w:sz w:val="20"/>
                <w:szCs w:val="20"/>
                <w:lang w:eastAsia="pt-BR"/>
              </w:rPr>
              <w:t>256.948,2</w:t>
            </w:r>
          </w:p>
        </w:tc>
        <w:tc>
          <w:tcPr>
            <w:tcW w:w="51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3A7FE0" w14:textId="77777777" w:rsidR="00CE3A42" w:rsidRPr="00CE3A42" w:rsidRDefault="00CE3A42" w:rsidP="00CE3A42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CE3A42">
              <w:rPr>
                <w:rFonts w:eastAsia="Times New Roman" w:cs="Times New Roman"/>
                <w:sz w:val="20"/>
                <w:szCs w:val="20"/>
                <w:lang w:eastAsia="pt-BR"/>
              </w:rPr>
              <w:t>268.343,3</w:t>
            </w:r>
          </w:p>
        </w:tc>
        <w:tc>
          <w:tcPr>
            <w:tcW w:w="34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48A080" w14:textId="77777777" w:rsidR="00CE3A42" w:rsidRPr="00CE3A42" w:rsidRDefault="00CE3A42" w:rsidP="00CE3A42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CE3A42">
              <w:rPr>
                <w:rFonts w:eastAsia="Times New Roman" w:cs="Times New Roman"/>
                <w:sz w:val="20"/>
                <w:szCs w:val="20"/>
                <w:lang w:eastAsia="pt-BR"/>
              </w:rPr>
              <w:t>4,4</w:t>
            </w:r>
          </w:p>
        </w:tc>
      </w:tr>
    </w:tbl>
    <w:p w14:paraId="3BD4B4E3" w14:textId="0D3CD793" w:rsidR="00DB3207" w:rsidRDefault="00DB3207" w:rsidP="00DB3207">
      <w:pPr>
        <w:pStyle w:val="captiontabela"/>
        <w:spacing w:after="40" w:afterAutospacing="0"/>
      </w:pPr>
      <w:r w:rsidRPr="00DB3207">
        <w:t>Fonte: Conab. Elaboração: NUPE/UNIFOR.</w:t>
      </w:r>
    </w:p>
    <w:p w14:paraId="7226D760" w14:textId="7D2C2496" w:rsidR="00DB3207" w:rsidRDefault="006407E4" w:rsidP="006407E4">
      <w:pPr>
        <w:pStyle w:val="captiontabela"/>
        <w:spacing w:after="40" w:afterAutospacing="0"/>
      </w:pPr>
      <w:r w:rsidRPr="006407E4">
        <w:t>Nota: (*) Produtos selecionados: Caroço de algodão, amendoim (1ª e 2ª safras), arroz, aveia, canola, centeio, cevada, feijão (1ª, 2ª e 3ª safras), gergelim, girassol, mamona, milho (1ª, 2ª e 3ª safras), soja, sorgo, trigo e triticale;</w:t>
      </w:r>
    </w:p>
    <w:p w14:paraId="16842223" w14:textId="68BF2441" w:rsidR="00CE3A42" w:rsidRPr="00CE3A42" w:rsidRDefault="006407E4" w:rsidP="0093356A">
      <w:pPr>
        <w:pStyle w:val="captiontabela"/>
        <w:rPr>
          <w:lang w:eastAsia="ja-JP"/>
        </w:rPr>
      </w:pPr>
      <w:r w:rsidRPr="006407E4">
        <w:rPr>
          <w:lang w:eastAsia="pt-BR"/>
        </w:rPr>
        <w:t>(**) São estimativas geradas pelo Conab em fevereiro de 2021.</w:t>
      </w:r>
    </w:p>
    <w:p w14:paraId="1045D8F2" w14:textId="4983E5A7" w:rsidR="00DB0788" w:rsidRDefault="008B45BA" w:rsidP="008B45BA">
      <w:pPr>
        <w:pStyle w:val="Ttulo2"/>
      </w:pPr>
      <w:r>
        <w:t>O Setor da Indústria</w:t>
      </w:r>
    </w:p>
    <w:p w14:paraId="356EA055" w14:textId="251C9742" w:rsidR="002E1599" w:rsidRDefault="002E1599" w:rsidP="002E1599">
      <w:pPr>
        <w:rPr>
          <w:lang w:eastAsia="ja-JP"/>
        </w:rPr>
      </w:pPr>
      <w:r>
        <w:rPr>
          <w:lang w:eastAsia="ja-JP"/>
        </w:rPr>
        <w:t xml:space="preserve">É possível observar, por meio dos resultados divulgados pelo Instituto Brasileiro de Geografia e Estatística (IBGE) que o setor da indústria vem sofrendo resultados consideráveis devido a pandemia da COVID-19. Vale salientar que os resultados divulgados representam a realidade da esfera nacional, regional e local. </w:t>
      </w:r>
      <w:r w:rsidR="00103E23">
        <w:rPr>
          <w:lang w:eastAsia="ja-JP"/>
        </w:rPr>
        <w:t>A taxa</w:t>
      </w:r>
      <w:r>
        <w:rPr>
          <w:lang w:eastAsia="ja-JP"/>
        </w:rPr>
        <w:t xml:space="preserve"> acumulad</w:t>
      </w:r>
      <w:r w:rsidR="00103E23">
        <w:rPr>
          <w:lang w:eastAsia="ja-JP"/>
        </w:rPr>
        <w:t>a</w:t>
      </w:r>
      <w:r>
        <w:rPr>
          <w:lang w:eastAsia="ja-JP"/>
        </w:rPr>
        <w:t xml:space="preserve"> no ano de 2020 para indústria apresentou uma queda de 4,5% no âmbito nacional, -3,0% no âmbito regional e -6,1% no âmbito local. Apesar da flexibilidade das regras do isolamento social imposto pela covid-19, isso não se mostrou suficiente para que a indústria brasileira apresentasse resultados positivos. Outro setor que se mostrou negativo foi o setor de produtos têxteis. No Brasil o resultado foi </w:t>
      </w:r>
      <w:r>
        <w:rPr>
          <w:lang w:eastAsia="ja-JP"/>
        </w:rPr>
        <w:lastRenderedPageBreak/>
        <w:t>de -6,6%, enquanto no Nordeste e no Ceará os resultados</w:t>
      </w:r>
      <w:r w:rsidR="00980B3B">
        <w:rPr>
          <w:lang w:eastAsia="ja-JP"/>
        </w:rPr>
        <w:t>,</w:t>
      </w:r>
      <w:r>
        <w:rPr>
          <w:lang w:eastAsia="ja-JP"/>
        </w:rPr>
        <w:t xml:space="preserve"> respectivamente</w:t>
      </w:r>
      <w:r w:rsidR="00980B3B">
        <w:rPr>
          <w:lang w:eastAsia="ja-JP"/>
        </w:rPr>
        <w:t>,</w:t>
      </w:r>
      <w:r>
        <w:rPr>
          <w:lang w:eastAsia="ja-JP"/>
        </w:rPr>
        <w:t xml:space="preserve"> foram </w:t>
      </w:r>
      <w:r w:rsidR="00980B3B">
        <w:rPr>
          <w:lang w:eastAsia="ja-JP"/>
        </w:rPr>
        <w:t xml:space="preserve">de </w:t>
      </w:r>
      <w:r>
        <w:rPr>
          <w:lang w:eastAsia="ja-JP"/>
        </w:rPr>
        <w:t>-5,6% e -14,8%. Dados que preocupam a vida do empresário.</w:t>
      </w:r>
    </w:p>
    <w:p w14:paraId="7009BC1C" w14:textId="77777777" w:rsidR="002E1599" w:rsidRDefault="002E1599" w:rsidP="002E1599">
      <w:pPr>
        <w:rPr>
          <w:lang w:eastAsia="ja-JP"/>
        </w:rPr>
      </w:pPr>
      <w:r>
        <w:rPr>
          <w:lang w:eastAsia="ja-JP"/>
        </w:rPr>
        <w:t>Contudo, um ramo da indústria que chama atenção é o setor alimentício. Este setor no Brasil teve um acumulado positivo de 4,2% no cenário nacional, no Nordeste o acumulado foi de 4,4% e resultado mais notório foi no Ceará, onde este setor apresentou 9,5%. Pode-se afirmar que o auxílio-emergencial distribuído pelo Governo Federal aumentou a oferta monetária nas camadas mais vulneráveis da população, tendo como resultado, um aumento no consumo de alimentos. Com a flexibilidade das medidas de isolamento social, outra atividade que apresentou resultados positivos foi o de petróleo e biocombustíveis. No cenário nacional o aumento foi de 4,4%, na região Nordeste o acumulado foi de 15,8% e no Ceará o resultado foi bem expressivo, 29,5%.</w:t>
      </w:r>
    </w:p>
    <w:p w14:paraId="640E12EE" w14:textId="40827934" w:rsidR="002E1599" w:rsidRPr="002E1599" w:rsidRDefault="002E1599" w:rsidP="002E1599">
      <w:pPr>
        <w:rPr>
          <w:lang w:eastAsia="ja-JP"/>
        </w:rPr>
      </w:pPr>
      <w:r>
        <w:rPr>
          <w:lang w:eastAsia="ja-JP"/>
        </w:rPr>
        <w:t>É notório que vários setores da indústria sofreram e ainda sofrem com efeitos da pandemia causada pela covid-19, todavia, fatores como taxa Selic, inflação e câmbio tendem a movimentar este mercado nos próximos meses.</w:t>
      </w:r>
    </w:p>
    <w:p w14:paraId="5A80469C" w14:textId="64058F07" w:rsidR="004766AA" w:rsidRDefault="004766AA" w:rsidP="00675AA6">
      <w:pPr>
        <w:pStyle w:val="Legenda"/>
        <w:rPr>
          <w:noProof/>
        </w:rPr>
      </w:pPr>
      <w:r>
        <w:t xml:space="preserve">Tabela </w:t>
      </w:r>
      <w:r w:rsidR="00FA6BF7">
        <w:t>2</w:t>
      </w:r>
      <w:r>
        <w:rPr>
          <w:noProof/>
        </w:rPr>
        <w:t xml:space="preserve"> - </w:t>
      </w:r>
      <w:r w:rsidR="00F92C2D" w:rsidRPr="00F92C2D">
        <w:rPr>
          <w:noProof/>
        </w:rPr>
        <w:t>Variação percentual acumulada no ano (Base: igual período do ano anterior)</w:t>
      </w:r>
      <w:r w:rsidR="00F92C2D">
        <w:rPr>
          <w:noProof/>
        </w:rPr>
        <w:t xml:space="preserve"> –</w:t>
      </w:r>
      <w:r>
        <w:rPr>
          <w:noProof/>
        </w:rPr>
        <w:t xml:space="preserve"> Brasil, Nordeste e Ceará </w:t>
      </w:r>
      <w:r w:rsidR="00F92C2D">
        <w:rPr>
          <w:noProof/>
        </w:rPr>
        <w:t>–</w:t>
      </w:r>
      <w:r w:rsidR="00675AA6">
        <w:rPr>
          <w:noProof/>
        </w:rPr>
        <w:t xml:space="preserve"> Acumulado em 2020</w:t>
      </w:r>
      <w:r w:rsidR="00675AA6" w:rsidRPr="00675AA6">
        <w:rPr>
          <w:noProof/>
          <w:vertAlign w:val="superscript"/>
        </w:rPr>
        <w:t>(1)</w:t>
      </w:r>
      <w:r>
        <w:rPr>
          <w:noProof/>
        </w:rPr>
        <w:t>.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50"/>
        <w:gridCol w:w="652"/>
        <w:gridCol w:w="907"/>
        <w:gridCol w:w="662"/>
      </w:tblGrid>
      <w:tr w:rsidR="00FC22CC" w:rsidRPr="00FC22CC" w14:paraId="03B49FE4" w14:textId="77777777" w:rsidTr="00B308F0">
        <w:trPr>
          <w:trHeight w:val="585"/>
        </w:trPr>
        <w:tc>
          <w:tcPr>
            <w:tcW w:w="377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741BB430" w14:textId="77777777" w:rsidR="00FC22CC" w:rsidRPr="00FC22CC" w:rsidRDefault="00FC22CC" w:rsidP="00FC22CC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FC22CC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Atividades de Indústria</w:t>
            </w:r>
          </w:p>
        </w:tc>
        <w:tc>
          <w:tcPr>
            <w:tcW w:w="3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65DC9AE2" w14:textId="77777777" w:rsidR="00FC22CC" w:rsidRPr="00FC22CC" w:rsidRDefault="00FC22CC" w:rsidP="00FC22CC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FC22CC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Brasil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5B2EBD45" w14:textId="77777777" w:rsidR="00FC22CC" w:rsidRPr="00FC22CC" w:rsidRDefault="00FC22CC" w:rsidP="00FC22CC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FC22CC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2B1FF2DC" w14:textId="77777777" w:rsidR="00FC22CC" w:rsidRPr="00FC22CC" w:rsidRDefault="00FC22CC" w:rsidP="00FC22CC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FC22CC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Ceará</w:t>
            </w:r>
          </w:p>
        </w:tc>
      </w:tr>
      <w:tr w:rsidR="00943381" w:rsidRPr="00FC22CC" w14:paraId="4BBEAA7F" w14:textId="77777777" w:rsidTr="00B308F0">
        <w:trPr>
          <w:trHeight w:val="300"/>
        </w:trPr>
        <w:tc>
          <w:tcPr>
            <w:tcW w:w="377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2F94D4" w14:textId="740CC59D" w:rsidR="00943381" w:rsidRPr="00986811" w:rsidRDefault="00943381" w:rsidP="00943381">
            <w:pPr>
              <w:spacing w:before="0" w:beforeAutospacing="0" w:after="0" w:afterAutospacing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Indústrias de transformação</w:t>
            </w:r>
          </w:p>
        </w:tc>
        <w:tc>
          <w:tcPr>
            <w:tcW w:w="3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6D7A14" w14:textId="4C798485" w:rsidR="00943381" w:rsidRPr="00986811" w:rsidRDefault="00943381" w:rsidP="00943381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>-4,6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F15537" w14:textId="6CDDC884" w:rsidR="00943381" w:rsidRPr="00986811" w:rsidRDefault="00943381" w:rsidP="00943381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>-2,3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5EF3DF" w14:textId="136266DE" w:rsidR="00943381" w:rsidRPr="00986811" w:rsidRDefault="00943381" w:rsidP="00943381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>-6,1</w:t>
            </w:r>
          </w:p>
        </w:tc>
      </w:tr>
      <w:tr w:rsidR="00943381" w:rsidRPr="00FC22CC" w14:paraId="5B913E7D" w14:textId="77777777" w:rsidTr="00B308F0">
        <w:trPr>
          <w:trHeight w:val="300"/>
        </w:trPr>
        <w:tc>
          <w:tcPr>
            <w:tcW w:w="377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9FA6F8" w14:textId="35B92207" w:rsidR="00943381" w:rsidRPr="00986811" w:rsidRDefault="00943381" w:rsidP="00943381">
            <w:pPr>
              <w:spacing w:before="0" w:beforeAutospacing="0" w:after="0" w:afterAutospacing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color w:val="000000"/>
                <w:sz w:val="20"/>
                <w:szCs w:val="20"/>
              </w:rPr>
              <w:t xml:space="preserve">   Produtos alimentícios</w:t>
            </w:r>
          </w:p>
        </w:tc>
        <w:tc>
          <w:tcPr>
            <w:tcW w:w="35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57A52" w14:textId="41111051" w:rsidR="00943381" w:rsidRPr="00986811" w:rsidRDefault="00943381" w:rsidP="00943381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color w:val="000000"/>
                <w:sz w:val="20"/>
                <w:szCs w:val="20"/>
              </w:rPr>
              <w:t>4,2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269F0" w14:textId="46ABB9B5" w:rsidR="00943381" w:rsidRPr="00986811" w:rsidRDefault="00943381" w:rsidP="00943381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color w:val="000000"/>
                <w:sz w:val="20"/>
                <w:szCs w:val="20"/>
              </w:rPr>
              <w:t>4,4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70757" w14:textId="45003D21" w:rsidR="00943381" w:rsidRPr="00986811" w:rsidRDefault="00943381" w:rsidP="00943381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color w:val="000000"/>
                <w:sz w:val="20"/>
                <w:szCs w:val="20"/>
              </w:rPr>
              <w:t>9,5</w:t>
            </w:r>
          </w:p>
        </w:tc>
      </w:tr>
      <w:tr w:rsidR="00943381" w:rsidRPr="00FC22CC" w14:paraId="6236124F" w14:textId="77777777" w:rsidTr="00B308F0">
        <w:trPr>
          <w:trHeight w:val="300"/>
        </w:trPr>
        <w:tc>
          <w:tcPr>
            <w:tcW w:w="3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172FDA" w14:textId="559E52ED" w:rsidR="00943381" w:rsidRPr="00986811" w:rsidRDefault="00943381" w:rsidP="00943381">
            <w:pPr>
              <w:spacing w:before="0" w:beforeAutospacing="0" w:after="0" w:afterAutospacing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color w:val="000000"/>
                <w:sz w:val="20"/>
                <w:szCs w:val="20"/>
              </w:rPr>
              <w:t xml:space="preserve">   Bebidas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3B45C" w14:textId="3535F5CD" w:rsidR="00943381" w:rsidRPr="00986811" w:rsidRDefault="00943381" w:rsidP="00943381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color w:val="FF0000"/>
                <w:sz w:val="20"/>
                <w:szCs w:val="20"/>
              </w:rPr>
              <w:t>-0,2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AF221" w14:textId="72239901" w:rsidR="00943381" w:rsidRPr="00986811" w:rsidRDefault="00943381" w:rsidP="00943381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color w:val="000000"/>
                <w:sz w:val="20"/>
                <w:szCs w:val="20"/>
              </w:rPr>
              <w:t>8,2</w:t>
            </w:r>
          </w:p>
        </w:tc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7CB7C" w14:textId="5AB1ABE7" w:rsidR="00943381" w:rsidRPr="00986811" w:rsidRDefault="00943381" w:rsidP="00943381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color w:val="000000"/>
                <w:sz w:val="20"/>
                <w:szCs w:val="20"/>
              </w:rPr>
              <w:t>2,7</w:t>
            </w:r>
          </w:p>
        </w:tc>
      </w:tr>
      <w:tr w:rsidR="00943381" w:rsidRPr="00FC22CC" w14:paraId="5380F696" w14:textId="77777777" w:rsidTr="00B308F0">
        <w:trPr>
          <w:trHeight w:val="300"/>
        </w:trPr>
        <w:tc>
          <w:tcPr>
            <w:tcW w:w="3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695EBA" w14:textId="72050FCA" w:rsidR="00943381" w:rsidRPr="00986811" w:rsidRDefault="00943381" w:rsidP="00943381">
            <w:pPr>
              <w:spacing w:before="0" w:beforeAutospacing="0" w:after="0" w:afterAutospacing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color w:val="000000"/>
                <w:sz w:val="20"/>
                <w:szCs w:val="20"/>
              </w:rPr>
              <w:t xml:space="preserve">   Produtos do fumo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3F358" w14:textId="6D1CB686" w:rsidR="00943381" w:rsidRPr="00986811" w:rsidRDefault="00943381" w:rsidP="00943381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color w:val="000000"/>
                <w:sz w:val="20"/>
                <w:szCs w:val="20"/>
              </w:rPr>
              <w:t>10,1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B2E6A" w14:textId="05F186FD" w:rsidR="00943381" w:rsidRPr="00986811" w:rsidRDefault="00943381" w:rsidP="00943381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0823C" w14:textId="758504CF" w:rsidR="00943381" w:rsidRPr="00986811" w:rsidRDefault="00943381" w:rsidP="00943381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</w:tr>
      <w:tr w:rsidR="00943381" w:rsidRPr="00FC22CC" w14:paraId="3C62A3AF" w14:textId="77777777" w:rsidTr="00B308F0">
        <w:trPr>
          <w:trHeight w:val="300"/>
        </w:trPr>
        <w:tc>
          <w:tcPr>
            <w:tcW w:w="3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80BA94" w14:textId="25909A73" w:rsidR="00943381" w:rsidRPr="00986811" w:rsidRDefault="00943381" w:rsidP="00943381">
            <w:pPr>
              <w:spacing w:before="0" w:beforeAutospacing="0" w:after="0" w:afterAutospacing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color w:val="000000"/>
                <w:sz w:val="20"/>
                <w:szCs w:val="20"/>
              </w:rPr>
              <w:t xml:space="preserve">   Produtos têxteis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26A54" w14:textId="0B167D7D" w:rsidR="00943381" w:rsidRPr="00986811" w:rsidRDefault="00943381" w:rsidP="00943381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color w:val="FF0000"/>
                <w:sz w:val="20"/>
                <w:szCs w:val="20"/>
              </w:rPr>
              <w:t>-6,6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5D296" w14:textId="78D8DF13" w:rsidR="00943381" w:rsidRPr="00986811" w:rsidRDefault="00943381" w:rsidP="00943381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color w:val="FF0000"/>
                <w:sz w:val="20"/>
                <w:szCs w:val="20"/>
              </w:rPr>
              <w:t>-5,6</w:t>
            </w:r>
          </w:p>
        </w:tc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C9591" w14:textId="32F2E4B9" w:rsidR="00943381" w:rsidRPr="00986811" w:rsidRDefault="00943381" w:rsidP="00943381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color w:val="FF0000"/>
                <w:sz w:val="20"/>
                <w:szCs w:val="20"/>
              </w:rPr>
              <w:t>-14,8</w:t>
            </w:r>
          </w:p>
        </w:tc>
      </w:tr>
      <w:tr w:rsidR="00943381" w:rsidRPr="00FC22CC" w14:paraId="56B0BC79" w14:textId="77777777" w:rsidTr="00B308F0">
        <w:trPr>
          <w:trHeight w:val="300"/>
        </w:trPr>
        <w:tc>
          <w:tcPr>
            <w:tcW w:w="3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2E3968" w14:textId="3CD2712C" w:rsidR="00943381" w:rsidRPr="00986811" w:rsidRDefault="00943381" w:rsidP="00943381">
            <w:pPr>
              <w:spacing w:before="0" w:beforeAutospacing="0" w:after="0" w:afterAutospacing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color w:val="000000"/>
                <w:sz w:val="20"/>
                <w:szCs w:val="20"/>
              </w:rPr>
              <w:t xml:space="preserve">   Confecção de artigos do vestuário e acessórios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D138A" w14:textId="2B3D5AC2" w:rsidR="00943381" w:rsidRPr="00986811" w:rsidRDefault="00943381" w:rsidP="00943381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color w:val="FF0000"/>
                <w:sz w:val="20"/>
                <w:szCs w:val="20"/>
              </w:rPr>
              <w:t>-23,7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356EB" w14:textId="6BCF9E3D" w:rsidR="00943381" w:rsidRPr="00986811" w:rsidRDefault="00943381" w:rsidP="00943381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color w:val="FF0000"/>
                <w:sz w:val="20"/>
                <w:szCs w:val="20"/>
              </w:rPr>
              <w:t>-20,4</w:t>
            </w:r>
          </w:p>
        </w:tc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A61A4" w14:textId="16F67B3B" w:rsidR="00943381" w:rsidRPr="00986811" w:rsidRDefault="00943381" w:rsidP="00943381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color w:val="FF0000"/>
                <w:sz w:val="20"/>
                <w:szCs w:val="20"/>
              </w:rPr>
              <w:t>-30,4</w:t>
            </w:r>
          </w:p>
        </w:tc>
      </w:tr>
      <w:tr w:rsidR="00943381" w:rsidRPr="00FC22CC" w14:paraId="040F4A85" w14:textId="77777777" w:rsidTr="00B308F0">
        <w:trPr>
          <w:trHeight w:val="300"/>
        </w:trPr>
        <w:tc>
          <w:tcPr>
            <w:tcW w:w="3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3B5D60" w14:textId="1C030918" w:rsidR="00943381" w:rsidRPr="00986811" w:rsidRDefault="00943381" w:rsidP="00943381">
            <w:pPr>
              <w:spacing w:before="0" w:beforeAutospacing="0" w:after="0" w:afterAutospacing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color w:val="000000"/>
                <w:sz w:val="20"/>
                <w:szCs w:val="20"/>
              </w:rPr>
              <w:t xml:space="preserve">   Preparação de couros e fabricação de artefatos de couro, artigos para viagem e calçados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A0989" w14:textId="08E23DA9" w:rsidR="00943381" w:rsidRPr="00986811" w:rsidRDefault="00943381" w:rsidP="00943381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color w:val="FF0000"/>
                <w:sz w:val="20"/>
                <w:szCs w:val="20"/>
              </w:rPr>
              <w:t>-18,8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CA88F" w14:textId="6A642AD9" w:rsidR="00943381" w:rsidRPr="00986811" w:rsidRDefault="00943381" w:rsidP="00943381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color w:val="FF0000"/>
                <w:sz w:val="20"/>
                <w:szCs w:val="20"/>
              </w:rPr>
              <w:t>-15,0</w:t>
            </w:r>
          </w:p>
        </w:tc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3CFB" w14:textId="1FCCB85A" w:rsidR="00943381" w:rsidRPr="00986811" w:rsidRDefault="00943381" w:rsidP="00943381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color w:val="FF0000"/>
                <w:sz w:val="20"/>
                <w:szCs w:val="20"/>
              </w:rPr>
              <w:t>-12,4</w:t>
            </w:r>
          </w:p>
        </w:tc>
      </w:tr>
      <w:tr w:rsidR="00943381" w:rsidRPr="00FC22CC" w14:paraId="30BB8C34" w14:textId="77777777" w:rsidTr="00B308F0">
        <w:trPr>
          <w:trHeight w:val="300"/>
        </w:trPr>
        <w:tc>
          <w:tcPr>
            <w:tcW w:w="3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AA81EB" w14:textId="3F21920F" w:rsidR="00943381" w:rsidRPr="00986811" w:rsidRDefault="00943381" w:rsidP="00943381">
            <w:pPr>
              <w:spacing w:before="0" w:beforeAutospacing="0" w:after="0" w:afterAutospacing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color w:val="000000"/>
                <w:sz w:val="20"/>
                <w:szCs w:val="20"/>
              </w:rPr>
              <w:t xml:space="preserve">   Produtos de madeira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6F7A6" w14:textId="0BC90F4B" w:rsidR="00943381" w:rsidRPr="00986811" w:rsidRDefault="00943381" w:rsidP="00943381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color w:val="FF0000"/>
                <w:sz w:val="20"/>
                <w:szCs w:val="20"/>
              </w:rPr>
              <w:t>-0,5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78EFF" w14:textId="62A9BF08" w:rsidR="00943381" w:rsidRPr="00986811" w:rsidRDefault="00943381" w:rsidP="00943381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59180" w14:textId="52ED9AAC" w:rsidR="00943381" w:rsidRPr="00986811" w:rsidRDefault="00943381" w:rsidP="00943381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</w:tr>
      <w:tr w:rsidR="00943381" w:rsidRPr="00FC22CC" w14:paraId="69233EE9" w14:textId="77777777" w:rsidTr="00B308F0">
        <w:trPr>
          <w:trHeight w:val="300"/>
        </w:trPr>
        <w:tc>
          <w:tcPr>
            <w:tcW w:w="3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E8347" w14:textId="770FC5DC" w:rsidR="00943381" w:rsidRPr="00986811" w:rsidRDefault="00943381" w:rsidP="00943381">
            <w:pPr>
              <w:spacing w:before="0" w:beforeAutospacing="0" w:after="0" w:afterAutospacing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color w:val="000000"/>
                <w:sz w:val="20"/>
                <w:szCs w:val="20"/>
              </w:rPr>
              <w:t xml:space="preserve">   Celulose, papel e produtos de papel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F1336" w14:textId="0053A9DB" w:rsidR="00943381" w:rsidRPr="00986811" w:rsidRDefault="00943381" w:rsidP="00943381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color w:val="000000"/>
                <w:sz w:val="20"/>
                <w:szCs w:val="20"/>
              </w:rPr>
              <w:t>1,3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0BEFA" w14:textId="24A7E338" w:rsidR="00943381" w:rsidRPr="00986811" w:rsidRDefault="00943381" w:rsidP="00943381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color w:val="000000"/>
                <w:sz w:val="20"/>
                <w:szCs w:val="20"/>
              </w:rPr>
              <w:t>10,1</w:t>
            </w:r>
          </w:p>
        </w:tc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B7E26" w14:textId="57C498B6" w:rsidR="00943381" w:rsidRPr="00986811" w:rsidRDefault="00943381" w:rsidP="00943381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color w:val="000000"/>
                <w:sz w:val="20"/>
                <w:szCs w:val="20"/>
              </w:rPr>
              <w:t>0,0</w:t>
            </w:r>
          </w:p>
        </w:tc>
      </w:tr>
      <w:tr w:rsidR="00943381" w:rsidRPr="00FC22CC" w14:paraId="524C6026" w14:textId="77777777" w:rsidTr="00B308F0">
        <w:trPr>
          <w:trHeight w:val="300"/>
        </w:trPr>
        <w:tc>
          <w:tcPr>
            <w:tcW w:w="3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158F3" w14:textId="461C00E1" w:rsidR="00943381" w:rsidRPr="00986811" w:rsidRDefault="00943381" w:rsidP="00943381">
            <w:pPr>
              <w:spacing w:before="0" w:beforeAutospacing="0" w:after="0" w:afterAutospacing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color w:val="000000"/>
                <w:sz w:val="20"/>
                <w:szCs w:val="20"/>
              </w:rPr>
              <w:t xml:space="preserve">   Impressão e reprodução de gravações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E0FC2" w14:textId="2C235D47" w:rsidR="00943381" w:rsidRPr="00986811" w:rsidRDefault="00943381" w:rsidP="00943381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color w:val="FF0000"/>
                <w:sz w:val="20"/>
                <w:szCs w:val="20"/>
              </w:rPr>
              <w:t>-38,0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F6922" w14:textId="13D6DB7A" w:rsidR="00943381" w:rsidRPr="00986811" w:rsidRDefault="00943381" w:rsidP="00943381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10728" w14:textId="294E6BEB" w:rsidR="00943381" w:rsidRPr="00986811" w:rsidRDefault="00943381" w:rsidP="00943381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</w:tr>
      <w:tr w:rsidR="00943381" w:rsidRPr="00FC22CC" w14:paraId="27727AFB" w14:textId="77777777" w:rsidTr="00B308F0">
        <w:trPr>
          <w:trHeight w:val="300"/>
        </w:trPr>
        <w:tc>
          <w:tcPr>
            <w:tcW w:w="3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116ABE" w14:textId="63A93D16" w:rsidR="00943381" w:rsidRPr="00986811" w:rsidRDefault="00943381" w:rsidP="00943381">
            <w:pPr>
              <w:spacing w:before="0" w:beforeAutospacing="0" w:after="0" w:afterAutospacing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color w:val="000000"/>
                <w:sz w:val="20"/>
                <w:szCs w:val="20"/>
              </w:rPr>
              <w:t xml:space="preserve">   Coque, de produtos derivados do petróleo e de biocombustíveis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8EC2A" w14:textId="408EDD2E" w:rsidR="00943381" w:rsidRPr="00986811" w:rsidRDefault="00943381" w:rsidP="00943381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color w:val="000000"/>
                <w:sz w:val="20"/>
                <w:szCs w:val="20"/>
              </w:rPr>
              <w:t>4,4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8EBBC" w14:textId="43C7FA23" w:rsidR="00943381" w:rsidRPr="00986811" w:rsidRDefault="00943381" w:rsidP="00943381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color w:val="000000"/>
                <w:sz w:val="20"/>
                <w:szCs w:val="20"/>
              </w:rPr>
              <w:t>15,8</w:t>
            </w:r>
          </w:p>
        </w:tc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87B63" w14:textId="69D3F50B" w:rsidR="00943381" w:rsidRPr="00986811" w:rsidRDefault="00943381" w:rsidP="00943381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color w:val="000000"/>
                <w:sz w:val="20"/>
                <w:szCs w:val="20"/>
              </w:rPr>
              <w:t>29,5</w:t>
            </w:r>
          </w:p>
        </w:tc>
      </w:tr>
      <w:tr w:rsidR="00943381" w:rsidRPr="00FC22CC" w14:paraId="5743D18F" w14:textId="77777777" w:rsidTr="00B308F0">
        <w:trPr>
          <w:trHeight w:val="510"/>
        </w:trPr>
        <w:tc>
          <w:tcPr>
            <w:tcW w:w="3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E4A5F4" w14:textId="634B4E7C" w:rsidR="00943381" w:rsidRPr="00986811" w:rsidRDefault="00943381" w:rsidP="00943381">
            <w:pPr>
              <w:spacing w:before="0" w:beforeAutospacing="0" w:after="0" w:afterAutospacing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color w:val="000000"/>
                <w:sz w:val="20"/>
                <w:szCs w:val="20"/>
              </w:rPr>
              <w:t xml:space="preserve">      Sabões, detergentes, produtos de limpeza, cosméticos, produtos de perfumaria e de higiene pessoal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F795F" w14:textId="036C8928" w:rsidR="00943381" w:rsidRPr="00986811" w:rsidRDefault="00943381" w:rsidP="00943381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color w:val="000000"/>
                <w:sz w:val="20"/>
                <w:szCs w:val="20"/>
              </w:rPr>
              <w:t>2,7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3BE8" w14:textId="3F559CC3" w:rsidR="00943381" w:rsidRPr="00986811" w:rsidRDefault="00943381" w:rsidP="00943381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6F9A4" w14:textId="093CF95F" w:rsidR="00943381" w:rsidRPr="00986811" w:rsidRDefault="00943381" w:rsidP="00943381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</w:tr>
      <w:tr w:rsidR="00943381" w:rsidRPr="00FC22CC" w14:paraId="6F54581D" w14:textId="77777777" w:rsidTr="00B308F0">
        <w:trPr>
          <w:trHeight w:val="300"/>
        </w:trPr>
        <w:tc>
          <w:tcPr>
            <w:tcW w:w="3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CB31A4" w14:textId="0444086B" w:rsidR="00943381" w:rsidRPr="00986811" w:rsidRDefault="00943381" w:rsidP="00943381">
            <w:pPr>
              <w:spacing w:before="0" w:beforeAutospacing="0" w:after="0" w:afterAutospacing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color w:val="000000"/>
                <w:sz w:val="20"/>
                <w:szCs w:val="20"/>
              </w:rPr>
              <w:t xml:space="preserve">      Outros produtos químicos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C407D" w14:textId="033765BE" w:rsidR="00943381" w:rsidRPr="00986811" w:rsidRDefault="00943381" w:rsidP="00943381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color w:val="FF0000"/>
                <w:sz w:val="20"/>
                <w:szCs w:val="20"/>
              </w:rPr>
              <w:t>-0,5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C211" w14:textId="7F46CE49" w:rsidR="00943381" w:rsidRPr="00986811" w:rsidRDefault="00943381" w:rsidP="00943381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color w:val="000000"/>
                <w:sz w:val="20"/>
                <w:szCs w:val="20"/>
              </w:rPr>
              <w:t>0,8</w:t>
            </w:r>
          </w:p>
        </w:tc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EB07" w14:textId="5A64C36D" w:rsidR="00943381" w:rsidRPr="00986811" w:rsidRDefault="00943381" w:rsidP="00943381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color w:val="FF0000"/>
                <w:sz w:val="20"/>
                <w:szCs w:val="20"/>
              </w:rPr>
              <w:t>-11,8</w:t>
            </w:r>
          </w:p>
        </w:tc>
      </w:tr>
      <w:tr w:rsidR="00943381" w:rsidRPr="00FC22CC" w14:paraId="0FCD7F58" w14:textId="77777777" w:rsidTr="00B308F0">
        <w:trPr>
          <w:trHeight w:val="300"/>
        </w:trPr>
        <w:tc>
          <w:tcPr>
            <w:tcW w:w="3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C531F2" w14:textId="27E1F367" w:rsidR="00943381" w:rsidRPr="00986811" w:rsidRDefault="00943381" w:rsidP="00943381">
            <w:pPr>
              <w:spacing w:before="0" w:beforeAutospacing="0" w:after="0" w:afterAutospacing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color w:val="000000"/>
                <w:sz w:val="20"/>
                <w:szCs w:val="20"/>
              </w:rPr>
              <w:t xml:space="preserve">   Produtos </w:t>
            </w:r>
            <w:proofErr w:type="spellStart"/>
            <w:r>
              <w:rPr>
                <w:color w:val="000000"/>
                <w:sz w:val="20"/>
                <w:szCs w:val="20"/>
              </w:rPr>
              <w:t>farmoquímicos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e farmacêuticos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C97C" w14:textId="66AA1592" w:rsidR="00943381" w:rsidRPr="00986811" w:rsidRDefault="00943381" w:rsidP="00943381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color w:val="000000"/>
                <w:sz w:val="20"/>
                <w:szCs w:val="20"/>
              </w:rPr>
              <w:t>2,0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37934" w14:textId="7933D8B9" w:rsidR="00943381" w:rsidRPr="00986811" w:rsidRDefault="00943381" w:rsidP="00943381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DB3F4" w14:textId="1AA490D3" w:rsidR="00943381" w:rsidRPr="00986811" w:rsidRDefault="00943381" w:rsidP="00943381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</w:tr>
      <w:tr w:rsidR="00943381" w:rsidRPr="00FC22CC" w14:paraId="0C64B192" w14:textId="77777777" w:rsidTr="00B308F0">
        <w:trPr>
          <w:trHeight w:val="300"/>
        </w:trPr>
        <w:tc>
          <w:tcPr>
            <w:tcW w:w="3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9B156E" w14:textId="1498E9E7" w:rsidR="00943381" w:rsidRPr="00986811" w:rsidRDefault="00943381" w:rsidP="00943381">
            <w:pPr>
              <w:spacing w:before="0" w:beforeAutospacing="0" w:after="0" w:afterAutospacing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color w:val="000000"/>
                <w:sz w:val="20"/>
                <w:szCs w:val="20"/>
              </w:rPr>
              <w:t xml:space="preserve">   Produtos de borracha e de material plástico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1FB39" w14:textId="3654B589" w:rsidR="00943381" w:rsidRPr="00986811" w:rsidRDefault="00943381" w:rsidP="00943381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color w:val="FF0000"/>
                <w:sz w:val="20"/>
                <w:szCs w:val="20"/>
              </w:rPr>
              <w:t>-2,5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F8083" w14:textId="6AC51C2A" w:rsidR="00943381" w:rsidRPr="00986811" w:rsidRDefault="00943381" w:rsidP="00943381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color w:val="FF0000"/>
                <w:sz w:val="20"/>
                <w:szCs w:val="20"/>
              </w:rPr>
              <w:t>-2,0</w:t>
            </w:r>
          </w:p>
        </w:tc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1461" w14:textId="07E652C4" w:rsidR="00943381" w:rsidRPr="00986811" w:rsidRDefault="00943381" w:rsidP="00943381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</w:tr>
      <w:tr w:rsidR="00943381" w:rsidRPr="00FC22CC" w14:paraId="0362C0CC" w14:textId="77777777" w:rsidTr="00B308F0">
        <w:trPr>
          <w:trHeight w:val="300"/>
        </w:trPr>
        <w:tc>
          <w:tcPr>
            <w:tcW w:w="3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E9E9" w14:textId="7C669439" w:rsidR="00943381" w:rsidRPr="00986811" w:rsidRDefault="00943381" w:rsidP="00943381">
            <w:pPr>
              <w:spacing w:before="0" w:beforeAutospacing="0" w:after="0" w:afterAutospacing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color w:val="000000"/>
                <w:sz w:val="20"/>
                <w:szCs w:val="20"/>
              </w:rPr>
              <w:t xml:space="preserve">   Produtos de minerais não-metálicos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64824" w14:textId="2A01D736" w:rsidR="00943381" w:rsidRPr="00986811" w:rsidRDefault="00943381" w:rsidP="00943381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color w:val="FF0000"/>
                <w:sz w:val="20"/>
                <w:szCs w:val="20"/>
              </w:rPr>
              <w:t>-2,3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A6545" w14:textId="23A9FA53" w:rsidR="00943381" w:rsidRPr="00986811" w:rsidRDefault="00943381" w:rsidP="00943381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color w:val="000000"/>
                <w:sz w:val="20"/>
                <w:szCs w:val="20"/>
              </w:rPr>
              <w:t>0,7</w:t>
            </w:r>
          </w:p>
        </w:tc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BD9E4" w14:textId="4AF51579" w:rsidR="00943381" w:rsidRPr="00986811" w:rsidRDefault="00943381" w:rsidP="00943381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color w:val="000000"/>
                <w:sz w:val="20"/>
                <w:szCs w:val="20"/>
              </w:rPr>
              <w:t>1,9</w:t>
            </w:r>
          </w:p>
        </w:tc>
      </w:tr>
      <w:tr w:rsidR="00943381" w:rsidRPr="00FC22CC" w14:paraId="7E9AB143" w14:textId="77777777" w:rsidTr="00B308F0">
        <w:trPr>
          <w:trHeight w:val="300"/>
        </w:trPr>
        <w:tc>
          <w:tcPr>
            <w:tcW w:w="3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8AF1BA" w14:textId="3B4C61AB" w:rsidR="00943381" w:rsidRPr="00986811" w:rsidRDefault="00943381" w:rsidP="00943381">
            <w:pPr>
              <w:spacing w:before="0" w:beforeAutospacing="0" w:after="0" w:afterAutospacing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color w:val="000000"/>
                <w:sz w:val="20"/>
                <w:szCs w:val="20"/>
              </w:rPr>
              <w:t xml:space="preserve">   Metalurgia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85F70" w14:textId="37459C33" w:rsidR="00943381" w:rsidRPr="00986811" w:rsidRDefault="00943381" w:rsidP="00943381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color w:val="FF0000"/>
                <w:sz w:val="20"/>
                <w:szCs w:val="20"/>
              </w:rPr>
              <w:t>-7,2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210B2" w14:textId="048610D2" w:rsidR="00943381" w:rsidRPr="00986811" w:rsidRDefault="00943381" w:rsidP="00943381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color w:val="FF0000"/>
                <w:sz w:val="20"/>
                <w:szCs w:val="20"/>
              </w:rPr>
              <w:t>-17,7</w:t>
            </w:r>
          </w:p>
        </w:tc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761AB" w14:textId="263FF5EC" w:rsidR="00943381" w:rsidRPr="00986811" w:rsidRDefault="00943381" w:rsidP="00943381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color w:val="FF0000"/>
                <w:sz w:val="20"/>
                <w:szCs w:val="20"/>
              </w:rPr>
              <w:t>-7,6</w:t>
            </w:r>
          </w:p>
        </w:tc>
      </w:tr>
      <w:tr w:rsidR="00943381" w:rsidRPr="00FC22CC" w14:paraId="0A64C244" w14:textId="77777777" w:rsidTr="00B308F0">
        <w:trPr>
          <w:trHeight w:val="300"/>
        </w:trPr>
        <w:tc>
          <w:tcPr>
            <w:tcW w:w="3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8F56DF" w14:textId="00C32552" w:rsidR="00943381" w:rsidRPr="00986811" w:rsidRDefault="00943381" w:rsidP="00943381">
            <w:pPr>
              <w:spacing w:before="0" w:beforeAutospacing="0" w:after="0" w:afterAutospacing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color w:val="000000"/>
                <w:sz w:val="20"/>
                <w:szCs w:val="20"/>
              </w:rPr>
              <w:t xml:space="preserve">   Produtos de metal, exceto máquinas e equipamentos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4627C" w14:textId="7ECA29F5" w:rsidR="00943381" w:rsidRPr="00986811" w:rsidRDefault="00943381" w:rsidP="00943381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color w:val="FF0000"/>
                <w:sz w:val="20"/>
                <w:szCs w:val="20"/>
              </w:rPr>
              <w:t>-0,2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2EEBD" w14:textId="2CB8AA4B" w:rsidR="00943381" w:rsidRPr="00986811" w:rsidRDefault="00943381" w:rsidP="00943381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color w:val="FF0000"/>
                <w:sz w:val="20"/>
                <w:szCs w:val="20"/>
              </w:rPr>
              <w:t>-11,2</w:t>
            </w:r>
          </w:p>
        </w:tc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D8B46" w14:textId="4369D6B0" w:rsidR="00943381" w:rsidRPr="00986811" w:rsidRDefault="00943381" w:rsidP="00943381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color w:val="FF0000"/>
                <w:sz w:val="20"/>
                <w:szCs w:val="20"/>
              </w:rPr>
              <w:t>-12,8</w:t>
            </w:r>
          </w:p>
        </w:tc>
      </w:tr>
      <w:tr w:rsidR="00943381" w:rsidRPr="00FC22CC" w14:paraId="2F4F36DD" w14:textId="77777777" w:rsidTr="00B308F0">
        <w:trPr>
          <w:trHeight w:val="300"/>
        </w:trPr>
        <w:tc>
          <w:tcPr>
            <w:tcW w:w="3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7D6944" w14:textId="25CB286B" w:rsidR="00943381" w:rsidRPr="00986811" w:rsidRDefault="00943381" w:rsidP="00943381">
            <w:pPr>
              <w:spacing w:before="0" w:beforeAutospacing="0" w:after="0" w:afterAutospacing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color w:val="000000"/>
                <w:sz w:val="20"/>
                <w:szCs w:val="20"/>
              </w:rPr>
              <w:t xml:space="preserve">   Equipamentos de informática, produtos eletrônicos e ópticos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C493F" w14:textId="4E5DF6CD" w:rsidR="00943381" w:rsidRPr="00986811" w:rsidRDefault="00943381" w:rsidP="00943381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color w:val="FF0000"/>
                <w:sz w:val="20"/>
                <w:szCs w:val="20"/>
              </w:rPr>
              <w:t>-1,6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2ACCF" w14:textId="646FA28A" w:rsidR="00943381" w:rsidRPr="00986811" w:rsidRDefault="00943381" w:rsidP="00943381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C6083" w14:textId="17F1B95E" w:rsidR="00943381" w:rsidRPr="00986811" w:rsidRDefault="00943381" w:rsidP="00943381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</w:tr>
      <w:tr w:rsidR="00943381" w:rsidRPr="00FC22CC" w14:paraId="00CCD794" w14:textId="77777777" w:rsidTr="00B308F0">
        <w:trPr>
          <w:trHeight w:val="300"/>
        </w:trPr>
        <w:tc>
          <w:tcPr>
            <w:tcW w:w="3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F89BBF" w14:textId="3358FE51" w:rsidR="00943381" w:rsidRPr="00986811" w:rsidRDefault="00943381" w:rsidP="00943381">
            <w:pPr>
              <w:spacing w:before="0" w:beforeAutospacing="0" w:after="0" w:afterAutospacing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 xml:space="preserve">   Máquinas, aparelhos e materiais elétricos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BB199" w14:textId="2F611674" w:rsidR="00943381" w:rsidRPr="00986811" w:rsidRDefault="00943381" w:rsidP="00943381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color w:val="FF0000"/>
                <w:sz w:val="20"/>
                <w:szCs w:val="20"/>
              </w:rPr>
              <w:t>-2,6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911CC" w14:textId="3AA728AC" w:rsidR="00943381" w:rsidRPr="00986811" w:rsidRDefault="00943381" w:rsidP="00943381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color w:val="FF0000"/>
                <w:sz w:val="20"/>
                <w:szCs w:val="20"/>
              </w:rPr>
              <w:t>-11,2</w:t>
            </w:r>
          </w:p>
        </w:tc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CA970" w14:textId="39D021BB" w:rsidR="00943381" w:rsidRPr="00986811" w:rsidRDefault="00943381" w:rsidP="00943381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color w:val="FF0000"/>
                <w:sz w:val="20"/>
                <w:szCs w:val="20"/>
              </w:rPr>
              <w:t>-17,9</w:t>
            </w:r>
          </w:p>
        </w:tc>
      </w:tr>
      <w:tr w:rsidR="00943381" w:rsidRPr="00FC22CC" w14:paraId="3268DBA8" w14:textId="77777777" w:rsidTr="00B308F0">
        <w:trPr>
          <w:trHeight w:val="300"/>
        </w:trPr>
        <w:tc>
          <w:tcPr>
            <w:tcW w:w="3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76EA7C" w14:textId="3CAEBDB0" w:rsidR="00943381" w:rsidRPr="00986811" w:rsidRDefault="00943381" w:rsidP="00943381">
            <w:pPr>
              <w:spacing w:before="0" w:beforeAutospacing="0" w:after="0" w:afterAutospacing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color w:val="000000"/>
                <w:sz w:val="20"/>
                <w:szCs w:val="20"/>
              </w:rPr>
              <w:t xml:space="preserve">   Máquinas e equipamentos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E7480" w14:textId="00AAD536" w:rsidR="00943381" w:rsidRPr="00986811" w:rsidRDefault="00943381" w:rsidP="00943381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color w:val="FF0000"/>
                <w:sz w:val="20"/>
                <w:szCs w:val="20"/>
              </w:rPr>
              <w:t>-4,2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8322F" w14:textId="14EC4B62" w:rsidR="00943381" w:rsidRPr="00986811" w:rsidRDefault="00943381" w:rsidP="00943381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A0D31" w14:textId="5AAA7A3A" w:rsidR="00943381" w:rsidRPr="00986811" w:rsidRDefault="00943381" w:rsidP="00943381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</w:tr>
      <w:tr w:rsidR="00943381" w:rsidRPr="00FC22CC" w14:paraId="12AAA34F" w14:textId="77777777" w:rsidTr="00B308F0">
        <w:trPr>
          <w:trHeight w:val="300"/>
        </w:trPr>
        <w:tc>
          <w:tcPr>
            <w:tcW w:w="3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BF811D" w14:textId="3BD1F9D6" w:rsidR="00943381" w:rsidRPr="00986811" w:rsidRDefault="00943381" w:rsidP="00943381">
            <w:pPr>
              <w:spacing w:before="0" w:beforeAutospacing="0" w:after="0" w:afterAutospacing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color w:val="000000"/>
                <w:sz w:val="20"/>
                <w:szCs w:val="20"/>
              </w:rPr>
              <w:t xml:space="preserve">   Veículos automotores, reboques e carrocerias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92181" w14:textId="591FD8F0" w:rsidR="00943381" w:rsidRPr="00986811" w:rsidRDefault="00943381" w:rsidP="00943381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color w:val="FF0000"/>
                <w:sz w:val="20"/>
                <w:szCs w:val="20"/>
              </w:rPr>
              <w:t>-28,1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74853" w14:textId="35D24F2C" w:rsidR="00943381" w:rsidRPr="00986811" w:rsidRDefault="00943381" w:rsidP="00943381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color w:val="FF0000"/>
                <w:sz w:val="20"/>
                <w:szCs w:val="20"/>
              </w:rPr>
              <w:t>-35,2</w:t>
            </w:r>
          </w:p>
        </w:tc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E78BC" w14:textId="49A0F967" w:rsidR="00943381" w:rsidRPr="00986811" w:rsidRDefault="00943381" w:rsidP="00943381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</w:tr>
      <w:tr w:rsidR="00943381" w:rsidRPr="00FC22CC" w14:paraId="53CC17F3" w14:textId="77777777" w:rsidTr="00B308F0">
        <w:trPr>
          <w:trHeight w:val="300"/>
        </w:trPr>
        <w:tc>
          <w:tcPr>
            <w:tcW w:w="3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7CD77" w14:textId="7A996D84" w:rsidR="00943381" w:rsidRPr="00986811" w:rsidRDefault="00943381" w:rsidP="00943381">
            <w:pPr>
              <w:spacing w:before="0" w:beforeAutospacing="0" w:after="0" w:afterAutospacing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color w:val="000000"/>
                <w:sz w:val="20"/>
                <w:szCs w:val="20"/>
              </w:rPr>
              <w:t xml:space="preserve">   Outros equipamentos de transporte, exceto veículos automotores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217CF" w14:textId="3F8CD15D" w:rsidR="00943381" w:rsidRPr="00986811" w:rsidRDefault="00943381" w:rsidP="00943381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color w:val="FF0000"/>
                <w:sz w:val="20"/>
                <w:szCs w:val="20"/>
              </w:rPr>
              <w:t>-29,1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84846" w14:textId="387F6DAC" w:rsidR="00943381" w:rsidRPr="00986811" w:rsidRDefault="00943381" w:rsidP="00943381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98ABB" w14:textId="392E22D0" w:rsidR="00943381" w:rsidRPr="00986811" w:rsidRDefault="00943381" w:rsidP="00943381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</w:tr>
      <w:tr w:rsidR="00943381" w:rsidRPr="00FC22CC" w14:paraId="73585D9D" w14:textId="77777777" w:rsidTr="00B308F0">
        <w:trPr>
          <w:trHeight w:val="300"/>
        </w:trPr>
        <w:tc>
          <w:tcPr>
            <w:tcW w:w="3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BFB452" w14:textId="187F3D0F" w:rsidR="00943381" w:rsidRPr="00986811" w:rsidRDefault="00943381" w:rsidP="00943381">
            <w:pPr>
              <w:spacing w:before="0" w:beforeAutospacing="0" w:after="0" w:afterAutospacing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color w:val="000000"/>
                <w:sz w:val="20"/>
                <w:szCs w:val="20"/>
              </w:rPr>
              <w:t xml:space="preserve">   Móveis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58EF8" w14:textId="39FA6698" w:rsidR="00943381" w:rsidRPr="00986811" w:rsidRDefault="00943381" w:rsidP="00943381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color w:val="FF0000"/>
                <w:sz w:val="20"/>
                <w:szCs w:val="20"/>
              </w:rPr>
              <w:t>-3,8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07C" w14:textId="77C2C72C" w:rsidR="00943381" w:rsidRPr="00986811" w:rsidRDefault="00943381" w:rsidP="00943381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17091" w14:textId="3F193540" w:rsidR="00943381" w:rsidRPr="00986811" w:rsidRDefault="00943381" w:rsidP="00943381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</w:tr>
      <w:tr w:rsidR="00943381" w:rsidRPr="00FC22CC" w14:paraId="5C7BDFCE" w14:textId="77777777" w:rsidTr="00B308F0">
        <w:trPr>
          <w:trHeight w:val="300"/>
        </w:trPr>
        <w:tc>
          <w:tcPr>
            <w:tcW w:w="3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0C4274" w14:textId="1E517D2A" w:rsidR="00943381" w:rsidRPr="00986811" w:rsidRDefault="00943381" w:rsidP="00943381">
            <w:pPr>
              <w:spacing w:before="0" w:beforeAutospacing="0" w:after="0" w:afterAutospacing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color w:val="000000"/>
                <w:sz w:val="20"/>
                <w:szCs w:val="20"/>
              </w:rPr>
              <w:t xml:space="preserve">   Produtos diversos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E1DB5" w14:textId="451CA414" w:rsidR="00943381" w:rsidRPr="00986811" w:rsidRDefault="00943381" w:rsidP="00943381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color w:val="FF0000"/>
                <w:sz w:val="20"/>
                <w:szCs w:val="20"/>
              </w:rPr>
              <w:t>-16,7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659C1" w14:textId="278D1AE8" w:rsidR="00943381" w:rsidRPr="00986811" w:rsidRDefault="00943381" w:rsidP="00943381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E3960" w14:textId="0D910262" w:rsidR="00943381" w:rsidRPr="00986811" w:rsidRDefault="00943381" w:rsidP="00943381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</w:tr>
      <w:tr w:rsidR="00943381" w:rsidRPr="00FC22CC" w14:paraId="2B8988A8" w14:textId="77777777" w:rsidTr="00B308F0">
        <w:trPr>
          <w:trHeight w:val="300"/>
        </w:trPr>
        <w:tc>
          <w:tcPr>
            <w:tcW w:w="377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745CA10" w14:textId="23825C09" w:rsidR="00943381" w:rsidRPr="00986811" w:rsidRDefault="00943381" w:rsidP="00943381">
            <w:pPr>
              <w:spacing w:before="0" w:beforeAutospacing="0" w:after="0" w:afterAutospacing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color w:val="000000"/>
                <w:sz w:val="20"/>
                <w:szCs w:val="20"/>
              </w:rPr>
              <w:t xml:space="preserve">   Manutenção, reparação e instalação de máquinas e equipamentos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6594B0" w14:textId="0F151849" w:rsidR="00943381" w:rsidRPr="00986811" w:rsidRDefault="00943381" w:rsidP="00943381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color w:val="FF0000"/>
                <w:sz w:val="20"/>
                <w:szCs w:val="20"/>
              </w:rPr>
              <w:t>-16,0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060BB7" w14:textId="2C296E4F" w:rsidR="00943381" w:rsidRPr="00986811" w:rsidRDefault="00943381" w:rsidP="00943381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FC34FD" w14:textId="4831AC93" w:rsidR="00943381" w:rsidRPr="00986811" w:rsidRDefault="00943381" w:rsidP="00943381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</w:tr>
      <w:tr w:rsidR="00943381" w:rsidRPr="00FC22CC" w14:paraId="5F55CADD" w14:textId="77777777" w:rsidTr="00B308F0">
        <w:trPr>
          <w:trHeight w:val="300"/>
        </w:trPr>
        <w:tc>
          <w:tcPr>
            <w:tcW w:w="377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2B7F1FA" w14:textId="0F17A39E" w:rsidR="00943381" w:rsidRPr="00986811" w:rsidRDefault="00943381" w:rsidP="00943381">
            <w:pPr>
              <w:spacing w:before="0" w:beforeAutospacing="0" w:after="0" w:afterAutospacing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Indústrias extrativas</w:t>
            </w:r>
          </w:p>
        </w:tc>
        <w:tc>
          <w:tcPr>
            <w:tcW w:w="3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5CACDB4" w14:textId="34B66004" w:rsidR="00943381" w:rsidRPr="00986811" w:rsidRDefault="00943381" w:rsidP="00943381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eastAsia="pt-BR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>-3,4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042351D" w14:textId="538E4069" w:rsidR="00943381" w:rsidRPr="00986811" w:rsidRDefault="00943381" w:rsidP="00943381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>-12,2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6FC7D0A" w14:textId="12B71551" w:rsidR="00943381" w:rsidRPr="00986811" w:rsidRDefault="00943381" w:rsidP="00943381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-</w:t>
            </w:r>
          </w:p>
        </w:tc>
      </w:tr>
      <w:tr w:rsidR="00943381" w:rsidRPr="00FC22CC" w14:paraId="29B6CB95" w14:textId="77777777" w:rsidTr="00B308F0">
        <w:trPr>
          <w:trHeight w:val="480"/>
        </w:trPr>
        <w:tc>
          <w:tcPr>
            <w:tcW w:w="377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564C5817" w14:textId="2EC44C5F" w:rsidR="00943381" w:rsidRPr="00986811" w:rsidRDefault="00943381" w:rsidP="00943381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Indústria geral</w:t>
            </w:r>
          </w:p>
        </w:tc>
        <w:tc>
          <w:tcPr>
            <w:tcW w:w="3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49DC5A00" w14:textId="14B980F9" w:rsidR="00943381" w:rsidRPr="00986811" w:rsidRDefault="00943381" w:rsidP="00943381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>-4,5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25757E34" w14:textId="2B957AF1" w:rsidR="00943381" w:rsidRPr="00986811" w:rsidRDefault="00943381" w:rsidP="00943381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>-3,0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27776051" w14:textId="209A4904" w:rsidR="00943381" w:rsidRPr="00986811" w:rsidRDefault="00943381" w:rsidP="00943381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>-6,1</w:t>
            </w:r>
          </w:p>
        </w:tc>
      </w:tr>
    </w:tbl>
    <w:p w14:paraId="15D1EA09" w14:textId="2618C24D" w:rsidR="004766AA" w:rsidRDefault="00154C93" w:rsidP="00675AA6">
      <w:pPr>
        <w:pStyle w:val="captiontabela"/>
        <w:spacing w:after="40" w:afterAutospacing="0"/>
      </w:pPr>
      <w:r w:rsidRPr="00154C93">
        <w:t>Fonte: IBGE, Diretoria de Pesquisas, Coordenação de Indústria</w:t>
      </w:r>
      <w:r>
        <w:t>.</w:t>
      </w:r>
      <w:r w:rsidR="00537B70">
        <w:t xml:space="preserve"> Elaboração</w:t>
      </w:r>
      <w:r w:rsidR="009231AE">
        <w:t>: NUPE/UNIFOR</w:t>
      </w:r>
    </w:p>
    <w:p w14:paraId="029B738D" w14:textId="1D73B27C" w:rsidR="00766CA9" w:rsidRPr="00766CA9" w:rsidRDefault="00675AA6" w:rsidP="00766CA9">
      <w:pPr>
        <w:pStyle w:val="captiontabela"/>
      </w:pPr>
      <w:r>
        <w:t xml:space="preserve">Nota (1): </w:t>
      </w:r>
      <w:r w:rsidRPr="00675AA6">
        <w:t xml:space="preserve">Variação acumulada de janeiro/2020 a </w:t>
      </w:r>
      <w:r w:rsidR="00B363D7">
        <w:t>dezembro</w:t>
      </w:r>
      <w:r w:rsidRPr="00675AA6">
        <w:t>/2020.</w:t>
      </w:r>
    </w:p>
    <w:p w14:paraId="55AD00A3" w14:textId="49F97E4C" w:rsidR="003304A6" w:rsidRDefault="00196511" w:rsidP="007142CE">
      <w:pPr>
        <w:pStyle w:val="Ttulo2"/>
      </w:pPr>
      <w:r>
        <w:t>O setor de serviços</w:t>
      </w:r>
    </w:p>
    <w:p w14:paraId="3E84EF39" w14:textId="38A77A6C" w:rsidR="00EC46DF" w:rsidRDefault="00EC46DF" w:rsidP="00EC46DF">
      <w:pPr>
        <w:rPr>
          <w:lang w:eastAsia="ja-JP"/>
        </w:rPr>
      </w:pPr>
      <w:r>
        <w:rPr>
          <w:lang w:eastAsia="ja-JP"/>
        </w:rPr>
        <w:t xml:space="preserve">Segundo a Pesquisa Mensal dos Serviços do IBGE, em relação a variação acumulada de janeiro de 2020 a dezembro de 2020, para o Brasil observa-se que o setor de serviços apresentou um declínio de 7,8%. No tocante às atividades que compõem o setor, apenas Outros serviços (+6,7%) registrou crescimento, tendo as demais atividades registrando uma queda, evidenciando os Serviços prestados às famílias (-35,7%), no qual apresentou maior impacto. Elucidando estes declínios, </w:t>
      </w:r>
      <w:r w:rsidR="005805D8">
        <w:rPr>
          <w:lang w:eastAsia="ja-JP"/>
        </w:rPr>
        <w:t>eles</w:t>
      </w:r>
      <w:r>
        <w:rPr>
          <w:lang w:eastAsia="ja-JP"/>
        </w:rPr>
        <w:t xml:space="preserve"> são decorrentes aos impactos da atual pandemia de Coronavírus, no qual medidas adotadas para minimizar o vírus, apresentavam restrições de funcionamento dos serviços e isolamento social, consequentemente influenciando nos hábitos de consumo. </w:t>
      </w:r>
    </w:p>
    <w:p w14:paraId="0CDA27F7" w14:textId="125E13C6" w:rsidR="00EC46DF" w:rsidRDefault="00EC46DF" w:rsidP="00EC46DF">
      <w:pPr>
        <w:rPr>
          <w:lang w:eastAsia="ja-JP"/>
        </w:rPr>
      </w:pPr>
      <w:r>
        <w:rPr>
          <w:lang w:eastAsia="ja-JP"/>
        </w:rPr>
        <w:t xml:space="preserve">Ademais, as subatividades que evidenciaram variação positiva foram aquelas ligadas ao setor de tecnologia e transportes, com destaque para o Transporte aquaviário (+10,4%) associado principalmente ao Comércio exterior correlacionado a alta do </w:t>
      </w:r>
      <w:r w:rsidR="00B8339C">
        <w:rPr>
          <w:lang w:eastAsia="ja-JP"/>
        </w:rPr>
        <w:t>dólar</w:t>
      </w:r>
      <w:r>
        <w:rPr>
          <w:lang w:eastAsia="ja-JP"/>
        </w:rPr>
        <w:t xml:space="preserve"> e Serviços de Tecnologia da Informação (8,3%) que envolve eletrônica e computação.</w:t>
      </w:r>
    </w:p>
    <w:p w14:paraId="036F1057" w14:textId="283BE26F" w:rsidR="00EC46DF" w:rsidRPr="00EC46DF" w:rsidRDefault="00EC46DF" w:rsidP="00EC46DF">
      <w:pPr>
        <w:rPr>
          <w:lang w:eastAsia="ja-JP"/>
        </w:rPr>
      </w:pPr>
      <w:r>
        <w:rPr>
          <w:lang w:eastAsia="ja-JP"/>
        </w:rPr>
        <w:t xml:space="preserve"> Contrastando os estados nordestinos, o Ceará apresentou declínio de 13,6% no acumulado do ano de 2020, em relação ao que concerne a Pernambuco e Bahia apresentaram declínios de 12,4% e 14,8%, respectivamente. Dentre as atividades das unidades federativas, seguindo a tendência nacional, os Serviços prestados às famílias foram os mais impactados, com Pernambuco (-48,9%) apresentando o maior declínio, Ceará e Bahia vindo logo em seguida com retração de 41,9% e 45,7%, nesta ordem. Apenas a categoria de Outros serviços (+0,5%) cearenses contabilizou desempenho positivo no decorrer do ano.</w:t>
      </w:r>
    </w:p>
    <w:p w14:paraId="4C381F19" w14:textId="72C9C82B" w:rsidR="001C4487" w:rsidRDefault="001C4487" w:rsidP="001C4487">
      <w:pPr>
        <w:pStyle w:val="Legenda"/>
      </w:pPr>
      <w:r>
        <w:lastRenderedPageBreak/>
        <w:t xml:space="preserve">Tabela </w:t>
      </w:r>
      <w:r w:rsidR="00FA6BF7">
        <w:t>3</w:t>
      </w:r>
      <w:r>
        <w:t xml:space="preserve"> - </w:t>
      </w:r>
      <w:r w:rsidRPr="008F67EE">
        <w:t xml:space="preserve">Variação (%) do volume de serviços, atividades e subatividades – Brasil e Estados </w:t>
      </w:r>
      <w:r w:rsidR="009F15F8" w:rsidRPr="008F67EE">
        <w:t>selecionados</w:t>
      </w:r>
      <w:r w:rsidR="009F15F8" w:rsidRPr="007404D6">
        <w:rPr>
          <w:vertAlign w:val="superscript"/>
        </w:rPr>
        <w:t xml:space="preserve"> (</w:t>
      </w:r>
      <w:r w:rsidR="007404D6" w:rsidRPr="007404D6">
        <w:rPr>
          <w:vertAlign w:val="superscript"/>
        </w:rPr>
        <w:t>1)</w:t>
      </w:r>
      <w:r>
        <w:t>.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23"/>
        <w:gridCol w:w="760"/>
        <w:gridCol w:w="773"/>
        <w:gridCol w:w="1466"/>
        <w:gridCol w:w="749"/>
      </w:tblGrid>
      <w:tr w:rsidR="00766CA9" w:rsidRPr="00766CA9" w14:paraId="6B3A9611" w14:textId="77777777" w:rsidTr="00980844">
        <w:trPr>
          <w:trHeight w:val="572"/>
        </w:trPr>
        <w:tc>
          <w:tcPr>
            <w:tcW w:w="293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6A6A6" w:themeFill="background1" w:themeFillShade="A6"/>
            <w:vAlign w:val="center"/>
            <w:hideMark/>
          </w:tcPr>
          <w:p w14:paraId="6F0ABFCF" w14:textId="2374F86A" w:rsidR="00766CA9" w:rsidRPr="00766CA9" w:rsidRDefault="00766CA9" w:rsidP="00B053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766CA9"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  <w:t>Atividades e Subatividades</w:t>
            </w:r>
            <w:r w:rsidR="00CC2284"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  <w:t xml:space="preserve"> </w:t>
            </w:r>
            <w:r w:rsidRPr="00766CA9">
              <w:rPr>
                <w:rFonts w:eastAsia="Times New Roman" w:cs="Times New Roman"/>
                <w:b/>
                <w:bCs/>
                <w:sz w:val="20"/>
                <w:szCs w:val="20"/>
                <w:vertAlign w:val="superscript"/>
                <w:lang w:eastAsia="pt-BR"/>
              </w:rPr>
              <w:t>(2)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6A6A6" w:themeFill="background1" w:themeFillShade="A6"/>
            <w:vAlign w:val="center"/>
            <w:hideMark/>
          </w:tcPr>
          <w:p w14:paraId="0A6D5E97" w14:textId="2707E322" w:rsidR="00766CA9" w:rsidRPr="00766CA9" w:rsidRDefault="00766CA9" w:rsidP="001015C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766CA9">
              <w:rPr>
                <w:rFonts w:cs="Times New Roman"/>
                <w:b/>
                <w:bCs/>
                <w:sz w:val="20"/>
                <w:szCs w:val="20"/>
              </w:rPr>
              <w:t>Brasil</w:t>
            </w:r>
          </w:p>
        </w:tc>
        <w:tc>
          <w:tcPr>
            <w:tcW w:w="42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6A6A6" w:themeFill="background1" w:themeFillShade="A6"/>
            <w:vAlign w:val="center"/>
            <w:hideMark/>
          </w:tcPr>
          <w:p w14:paraId="20D27A09" w14:textId="6C00347E" w:rsidR="00766CA9" w:rsidRPr="00766CA9" w:rsidRDefault="00766CA9" w:rsidP="001015C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766CA9">
              <w:rPr>
                <w:rFonts w:cs="Times New Roman"/>
                <w:b/>
                <w:bCs/>
                <w:sz w:val="20"/>
                <w:szCs w:val="20"/>
              </w:rPr>
              <w:t>Ceará</w:t>
            </w:r>
          </w:p>
        </w:tc>
        <w:tc>
          <w:tcPr>
            <w:tcW w:w="80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6A6A6" w:themeFill="background1" w:themeFillShade="A6"/>
            <w:vAlign w:val="center"/>
            <w:hideMark/>
          </w:tcPr>
          <w:p w14:paraId="45A06111" w14:textId="6D417604" w:rsidR="00766CA9" w:rsidRPr="00766CA9" w:rsidRDefault="00766CA9" w:rsidP="001015C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766CA9">
              <w:rPr>
                <w:rFonts w:cs="Times New Roman"/>
                <w:b/>
                <w:bCs/>
                <w:sz w:val="20"/>
                <w:szCs w:val="20"/>
              </w:rPr>
              <w:t>Pernambuco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6A6A6" w:themeFill="background1" w:themeFillShade="A6"/>
            <w:vAlign w:val="center"/>
            <w:hideMark/>
          </w:tcPr>
          <w:p w14:paraId="34B8B30D" w14:textId="192DE6EB" w:rsidR="00766CA9" w:rsidRPr="00766CA9" w:rsidRDefault="00766CA9" w:rsidP="001015C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766CA9">
              <w:rPr>
                <w:rFonts w:cs="Times New Roman"/>
                <w:b/>
                <w:bCs/>
                <w:sz w:val="20"/>
                <w:szCs w:val="20"/>
              </w:rPr>
              <w:t>Bahia</w:t>
            </w:r>
          </w:p>
        </w:tc>
      </w:tr>
      <w:tr w:rsidR="00B363D7" w:rsidRPr="00766CA9" w14:paraId="704DFF1C" w14:textId="77777777" w:rsidTr="00B363D7">
        <w:trPr>
          <w:trHeight w:val="330"/>
        </w:trPr>
        <w:tc>
          <w:tcPr>
            <w:tcW w:w="293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9C0A14" w14:textId="4ED39A62" w:rsidR="00B363D7" w:rsidRPr="00980844" w:rsidRDefault="00B363D7" w:rsidP="00B363D7">
            <w:pPr>
              <w:pStyle w:val="LinhasTabela"/>
              <w:rPr>
                <w:rFonts w:ascii="Times New Roman" w:hAnsi="Times New Roman" w:cs="Times New Roman"/>
                <w:sz w:val="20"/>
                <w:szCs w:val="20"/>
              </w:rPr>
            </w:pPr>
            <w:r w:rsidRPr="00980844">
              <w:rPr>
                <w:rFonts w:ascii="Times New Roman" w:hAnsi="Times New Roman" w:cs="Times New Roman"/>
                <w:sz w:val="20"/>
                <w:szCs w:val="20"/>
              </w:rPr>
              <w:t>Serviços prestados às famílias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3B7D81" w14:textId="42D12F78" w:rsidR="00B363D7" w:rsidRPr="00B70AC4" w:rsidRDefault="00B363D7" w:rsidP="00B363D7">
            <w:pPr>
              <w:pStyle w:val="CorpoTabela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>-35,6</w:t>
            </w:r>
          </w:p>
        </w:tc>
        <w:tc>
          <w:tcPr>
            <w:tcW w:w="42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4A8857" w14:textId="7FE85B9B" w:rsidR="00B363D7" w:rsidRPr="00B70AC4" w:rsidRDefault="00B363D7" w:rsidP="00B363D7">
            <w:pPr>
              <w:pStyle w:val="CorpoTabela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>-41,9</w:t>
            </w:r>
          </w:p>
        </w:tc>
        <w:tc>
          <w:tcPr>
            <w:tcW w:w="80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5D6094" w14:textId="339B4E53" w:rsidR="00B363D7" w:rsidRPr="00B70AC4" w:rsidRDefault="00B363D7" w:rsidP="00B363D7">
            <w:pPr>
              <w:pStyle w:val="CorpoTabela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>-48,9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4EC1B0" w14:textId="107A2A95" w:rsidR="00B363D7" w:rsidRPr="00B70AC4" w:rsidRDefault="00B363D7" w:rsidP="00B363D7">
            <w:pPr>
              <w:pStyle w:val="CorpoTabela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>-45,7</w:t>
            </w:r>
          </w:p>
        </w:tc>
      </w:tr>
      <w:tr w:rsidR="00B363D7" w:rsidRPr="00766CA9" w14:paraId="1FC2BEDC" w14:textId="77777777" w:rsidTr="00B363D7">
        <w:trPr>
          <w:trHeight w:val="330"/>
        </w:trPr>
        <w:tc>
          <w:tcPr>
            <w:tcW w:w="293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0C3B0" w14:textId="1F05524C" w:rsidR="00B363D7" w:rsidRPr="00980844" w:rsidRDefault="00B363D7" w:rsidP="00B363D7">
            <w:pPr>
              <w:pStyle w:val="LinhasTabela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980844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     Serviços de alojamento e alimentação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03424" w14:textId="2241A08F" w:rsidR="00B363D7" w:rsidRPr="00B70AC4" w:rsidRDefault="00B363D7" w:rsidP="00B363D7">
            <w:pPr>
              <w:pStyle w:val="CorpoTabela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-36,8</w:t>
            </w:r>
          </w:p>
        </w:tc>
        <w:tc>
          <w:tcPr>
            <w:tcW w:w="42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D36FF" w14:textId="420C8D61" w:rsidR="00B363D7" w:rsidRPr="00B70AC4" w:rsidRDefault="00B363D7" w:rsidP="00B363D7">
            <w:pPr>
              <w:pStyle w:val="CorpoTabela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80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3C076" w14:textId="57831E9E" w:rsidR="00B363D7" w:rsidRPr="00B70AC4" w:rsidRDefault="00B363D7" w:rsidP="00B363D7">
            <w:pPr>
              <w:pStyle w:val="CorpoTabela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B30F5" w14:textId="4AB6B53A" w:rsidR="00B363D7" w:rsidRPr="00B70AC4" w:rsidRDefault="00B363D7" w:rsidP="00B363D7">
            <w:pPr>
              <w:pStyle w:val="CorpoTabela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</w:tr>
      <w:tr w:rsidR="00B363D7" w:rsidRPr="00766CA9" w14:paraId="5DE056B7" w14:textId="77777777" w:rsidTr="00B363D7">
        <w:trPr>
          <w:trHeight w:val="330"/>
        </w:trPr>
        <w:tc>
          <w:tcPr>
            <w:tcW w:w="29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0CD80" w14:textId="5EBD076B" w:rsidR="00B363D7" w:rsidRPr="00980844" w:rsidRDefault="00B363D7" w:rsidP="00B363D7">
            <w:pPr>
              <w:pStyle w:val="LinhasTabela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980844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     Outros serviços prestados às famílias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78573B" w14:textId="3AF60DF1" w:rsidR="00B363D7" w:rsidRPr="00B70AC4" w:rsidRDefault="00B363D7" w:rsidP="00B363D7">
            <w:pPr>
              <w:pStyle w:val="CorpoTabela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-29,0</w:t>
            </w:r>
          </w:p>
        </w:tc>
        <w:tc>
          <w:tcPr>
            <w:tcW w:w="4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740F6" w14:textId="6339A1F3" w:rsidR="00B363D7" w:rsidRPr="00B70AC4" w:rsidRDefault="00B363D7" w:rsidP="00B363D7">
            <w:pPr>
              <w:pStyle w:val="CorpoTabela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8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3DEA0" w14:textId="6410B52F" w:rsidR="00B363D7" w:rsidRPr="00B70AC4" w:rsidRDefault="00B363D7" w:rsidP="00B363D7">
            <w:pPr>
              <w:pStyle w:val="CorpoTabela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0A859" w14:textId="57E10997" w:rsidR="00B363D7" w:rsidRPr="00B70AC4" w:rsidRDefault="00B363D7" w:rsidP="00B363D7">
            <w:pPr>
              <w:pStyle w:val="CorpoTabela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</w:tr>
      <w:tr w:rsidR="00B363D7" w:rsidRPr="00766CA9" w14:paraId="5A918489" w14:textId="77777777" w:rsidTr="00B363D7">
        <w:trPr>
          <w:trHeight w:val="330"/>
        </w:trPr>
        <w:tc>
          <w:tcPr>
            <w:tcW w:w="293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BA42B" w14:textId="21C05DE3" w:rsidR="00B363D7" w:rsidRPr="00980844" w:rsidRDefault="00B363D7" w:rsidP="00B363D7">
            <w:pPr>
              <w:pStyle w:val="LinhasTabela"/>
              <w:rPr>
                <w:rFonts w:ascii="Times New Roman" w:hAnsi="Times New Roman" w:cs="Times New Roman"/>
                <w:sz w:val="20"/>
                <w:szCs w:val="20"/>
              </w:rPr>
            </w:pPr>
            <w:r w:rsidRPr="00980844">
              <w:rPr>
                <w:rFonts w:ascii="Times New Roman" w:hAnsi="Times New Roman" w:cs="Times New Roman"/>
                <w:sz w:val="20"/>
                <w:szCs w:val="20"/>
              </w:rPr>
              <w:t>Serviços de informação e comunicação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5B87F" w14:textId="18FCB8FD" w:rsidR="00B363D7" w:rsidRPr="00B70AC4" w:rsidRDefault="00B363D7" w:rsidP="00B363D7">
            <w:pPr>
              <w:pStyle w:val="CorpoTabela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>-1,6</w:t>
            </w:r>
          </w:p>
        </w:tc>
        <w:tc>
          <w:tcPr>
            <w:tcW w:w="42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3C6CB" w14:textId="7CCE8914" w:rsidR="00B363D7" w:rsidRPr="00B70AC4" w:rsidRDefault="00B363D7" w:rsidP="00B363D7">
            <w:pPr>
              <w:pStyle w:val="CorpoTabela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>-0,9</w:t>
            </w:r>
          </w:p>
        </w:tc>
        <w:tc>
          <w:tcPr>
            <w:tcW w:w="80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1E75" w14:textId="7ECF5015" w:rsidR="00B363D7" w:rsidRPr="00B70AC4" w:rsidRDefault="00B363D7" w:rsidP="00B363D7">
            <w:pPr>
              <w:pStyle w:val="CorpoTabela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>-3,6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337A3" w14:textId="210284B9" w:rsidR="00B363D7" w:rsidRPr="00B70AC4" w:rsidRDefault="00B363D7" w:rsidP="00B363D7">
            <w:pPr>
              <w:pStyle w:val="CorpoTabela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>-8,8</w:t>
            </w:r>
          </w:p>
        </w:tc>
      </w:tr>
      <w:tr w:rsidR="00B363D7" w:rsidRPr="00766CA9" w14:paraId="11804E94" w14:textId="77777777" w:rsidTr="00B363D7">
        <w:trPr>
          <w:trHeight w:val="330"/>
        </w:trPr>
        <w:tc>
          <w:tcPr>
            <w:tcW w:w="29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65982" w14:textId="41B8B5B5" w:rsidR="00B363D7" w:rsidRPr="00980844" w:rsidRDefault="00B363D7" w:rsidP="00B363D7">
            <w:pPr>
              <w:pStyle w:val="LinhasTabela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980844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     Serviços de Tecnologia de Informação e Comunicação (TIC)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8C9E" w14:textId="3BECE401" w:rsidR="00B363D7" w:rsidRPr="00B70AC4" w:rsidRDefault="00B363D7" w:rsidP="00B363D7">
            <w:pPr>
              <w:pStyle w:val="CorpoTabela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0,7</w:t>
            </w:r>
          </w:p>
        </w:tc>
        <w:tc>
          <w:tcPr>
            <w:tcW w:w="4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372AC" w14:textId="69FE221D" w:rsidR="00B363D7" w:rsidRPr="00B70AC4" w:rsidRDefault="00B363D7" w:rsidP="00B363D7">
            <w:pPr>
              <w:pStyle w:val="CorpoTabela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8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31244" w14:textId="35013E2F" w:rsidR="00B363D7" w:rsidRPr="00B70AC4" w:rsidRDefault="00B363D7" w:rsidP="00B363D7">
            <w:pPr>
              <w:pStyle w:val="CorpoTabela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0961E" w14:textId="2E7A7645" w:rsidR="00B363D7" w:rsidRPr="00B70AC4" w:rsidRDefault="00B363D7" w:rsidP="00B363D7">
            <w:pPr>
              <w:pStyle w:val="CorpoTabela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</w:tr>
      <w:tr w:rsidR="00B363D7" w:rsidRPr="00766CA9" w14:paraId="7278DE33" w14:textId="77777777" w:rsidTr="00B363D7">
        <w:trPr>
          <w:trHeight w:val="330"/>
        </w:trPr>
        <w:tc>
          <w:tcPr>
            <w:tcW w:w="29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32BEE" w14:textId="242A103E" w:rsidR="00B363D7" w:rsidRPr="00980844" w:rsidRDefault="00B363D7" w:rsidP="00B363D7">
            <w:pPr>
              <w:pStyle w:val="LinhasTabela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980844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     Telecomunicações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90AB9" w14:textId="52B08698" w:rsidR="00B363D7" w:rsidRPr="00B70AC4" w:rsidRDefault="00B363D7" w:rsidP="00B363D7">
            <w:pPr>
              <w:pStyle w:val="CorpoTabela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-3,5</w:t>
            </w:r>
          </w:p>
        </w:tc>
        <w:tc>
          <w:tcPr>
            <w:tcW w:w="4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D3D10" w14:textId="7B1A3C5C" w:rsidR="00B363D7" w:rsidRPr="00B70AC4" w:rsidRDefault="00B363D7" w:rsidP="00B363D7">
            <w:pPr>
              <w:pStyle w:val="CorpoTabela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8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C8832" w14:textId="34FA4B23" w:rsidR="00B363D7" w:rsidRPr="00B70AC4" w:rsidRDefault="00B363D7" w:rsidP="00B363D7">
            <w:pPr>
              <w:pStyle w:val="CorpoTabela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1C9E4" w14:textId="732C422A" w:rsidR="00B363D7" w:rsidRPr="00B70AC4" w:rsidRDefault="00B363D7" w:rsidP="00B363D7">
            <w:pPr>
              <w:pStyle w:val="CorpoTabela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</w:tr>
      <w:tr w:rsidR="00B363D7" w:rsidRPr="00766CA9" w14:paraId="7C357033" w14:textId="77777777" w:rsidTr="00B363D7">
        <w:trPr>
          <w:trHeight w:val="330"/>
        </w:trPr>
        <w:tc>
          <w:tcPr>
            <w:tcW w:w="29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136F3" w14:textId="42EDFDFE" w:rsidR="00B363D7" w:rsidRPr="00980844" w:rsidRDefault="00B363D7" w:rsidP="00B363D7">
            <w:pPr>
              <w:pStyle w:val="LinhasTabela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980844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     Serviços de Tecnologia da Informação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5DBD3" w14:textId="2771B4EF" w:rsidR="00B363D7" w:rsidRPr="00B70AC4" w:rsidRDefault="00B363D7" w:rsidP="00B363D7">
            <w:pPr>
              <w:pStyle w:val="CorpoTabela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8,3</w:t>
            </w:r>
          </w:p>
        </w:tc>
        <w:tc>
          <w:tcPr>
            <w:tcW w:w="4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EF56F" w14:textId="669736D7" w:rsidR="00B363D7" w:rsidRPr="00B70AC4" w:rsidRDefault="00B363D7" w:rsidP="00B363D7">
            <w:pPr>
              <w:pStyle w:val="CorpoTabela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8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A7D9C" w14:textId="26B5F12E" w:rsidR="00B363D7" w:rsidRPr="00B70AC4" w:rsidRDefault="00B363D7" w:rsidP="00B363D7">
            <w:pPr>
              <w:pStyle w:val="CorpoTabela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1C527" w14:textId="63AB7007" w:rsidR="00B363D7" w:rsidRPr="00B70AC4" w:rsidRDefault="00B363D7" w:rsidP="00B363D7">
            <w:pPr>
              <w:pStyle w:val="CorpoTabela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</w:tr>
      <w:tr w:rsidR="00B363D7" w:rsidRPr="00766CA9" w14:paraId="3AC3DDBD" w14:textId="77777777" w:rsidTr="00B363D7">
        <w:trPr>
          <w:trHeight w:val="330"/>
        </w:trPr>
        <w:tc>
          <w:tcPr>
            <w:tcW w:w="29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E3E54" w14:textId="2BBA2C86" w:rsidR="00B363D7" w:rsidRPr="00980844" w:rsidRDefault="00B363D7" w:rsidP="00B363D7">
            <w:pPr>
              <w:pStyle w:val="LinhasTabela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980844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     Serviços audiovisuais, de edição e agências de notícias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49E247" w14:textId="62B0DE1C" w:rsidR="00B363D7" w:rsidRPr="00B70AC4" w:rsidRDefault="00B363D7" w:rsidP="00B363D7">
            <w:pPr>
              <w:pStyle w:val="CorpoTabela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-17,7</w:t>
            </w:r>
          </w:p>
        </w:tc>
        <w:tc>
          <w:tcPr>
            <w:tcW w:w="4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A7565" w14:textId="2AEA8D57" w:rsidR="00B363D7" w:rsidRPr="00B70AC4" w:rsidRDefault="00B363D7" w:rsidP="00B363D7">
            <w:pPr>
              <w:pStyle w:val="CorpoTabela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8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64EA1" w14:textId="595C7FE3" w:rsidR="00B363D7" w:rsidRPr="00B70AC4" w:rsidRDefault="00B363D7" w:rsidP="00B363D7">
            <w:pPr>
              <w:pStyle w:val="CorpoTabela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32D0A" w14:textId="280AECC2" w:rsidR="00B363D7" w:rsidRPr="00B70AC4" w:rsidRDefault="00B363D7" w:rsidP="00B363D7">
            <w:pPr>
              <w:pStyle w:val="CorpoTabela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</w:tr>
      <w:tr w:rsidR="00B363D7" w:rsidRPr="00766CA9" w14:paraId="70980F0E" w14:textId="77777777" w:rsidTr="00B363D7">
        <w:trPr>
          <w:trHeight w:val="330"/>
        </w:trPr>
        <w:tc>
          <w:tcPr>
            <w:tcW w:w="293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E707C" w14:textId="067848AC" w:rsidR="00B363D7" w:rsidRPr="00980844" w:rsidRDefault="00B363D7" w:rsidP="00B363D7">
            <w:pPr>
              <w:pStyle w:val="LinhasTabela"/>
              <w:rPr>
                <w:rFonts w:ascii="Times New Roman" w:hAnsi="Times New Roman" w:cs="Times New Roman"/>
                <w:sz w:val="20"/>
                <w:szCs w:val="20"/>
              </w:rPr>
            </w:pPr>
            <w:r w:rsidRPr="00980844">
              <w:rPr>
                <w:rFonts w:ascii="Times New Roman" w:hAnsi="Times New Roman" w:cs="Times New Roman"/>
                <w:sz w:val="20"/>
                <w:szCs w:val="20"/>
              </w:rPr>
              <w:t>Serviços profissionais, administrativos e complementares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DE9D6" w14:textId="44341F3D" w:rsidR="00B363D7" w:rsidRPr="00B70AC4" w:rsidRDefault="00B363D7" w:rsidP="00B363D7">
            <w:pPr>
              <w:pStyle w:val="CorpoTabela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>-11,4</w:t>
            </w:r>
          </w:p>
        </w:tc>
        <w:tc>
          <w:tcPr>
            <w:tcW w:w="42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097B3" w14:textId="608D17A6" w:rsidR="00B363D7" w:rsidRPr="00B70AC4" w:rsidRDefault="00B363D7" w:rsidP="00B363D7">
            <w:pPr>
              <w:pStyle w:val="CorpoTabela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>-4,8</w:t>
            </w:r>
          </w:p>
        </w:tc>
        <w:tc>
          <w:tcPr>
            <w:tcW w:w="80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88984" w14:textId="382144B2" w:rsidR="00B363D7" w:rsidRPr="00B70AC4" w:rsidRDefault="00B363D7" w:rsidP="00B363D7">
            <w:pPr>
              <w:pStyle w:val="CorpoTabela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>-10,8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05E79" w14:textId="2FA1A75A" w:rsidR="00B363D7" w:rsidRPr="00B70AC4" w:rsidRDefault="00B363D7" w:rsidP="00B363D7">
            <w:pPr>
              <w:pStyle w:val="CorpoTabela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>-12,4</w:t>
            </w:r>
          </w:p>
        </w:tc>
      </w:tr>
      <w:tr w:rsidR="00B363D7" w:rsidRPr="00766CA9" w14:paraId="24D67A8E" w14:textId="77777777" w:rsidTr="00B363D7">
        <w:trPr>
          <w:trHeight w:val="330"/>
        </w:trPr>
        <w:tc>
          <w:tcPr>
            <w:tcW w:w="29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6858C" w14:textId="5F996BF6" w:rsidR="00B363D7" w:rsidRPr="00980844" w:rsidRDefault="00B363D7" w:rsidP="00B363D7">
            <w:pPr>
              <w:pStyle w:val="LinhasTabela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980844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     Serviços técnico-profissionais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E1046" w14:textId="32F5BEB8" w:rsidR="00B363D7" w:rsidRPr="00B70AC4" w:rsidRDefault="00B363D7" w:rsidP="00B363D7">
            <w:pPr>
              <w:pStyle w:val="CorpoTabela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-5,4</w:t>
            </w:r>
          </w:p>
        </w:tc>
        <w:tc>
          <w:tcPr>
            <w:tcW w:w="4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2FAB0" w14:textId="2A4D3E4D" w:rsidR="00B363D7" w:rsidRPr="00B70AC4" w:rsidRDefault="00B363D7" w:rsidP="00B363D7">
            <w:pPr>
              <w:pStyle w:val="CorpoTabela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8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800B0" w14:textId="0E5142D4" w:rsidR="00B363D7" w:rsidRPr="00B70AC4" w:rsidRDefault="00B363D7" w:rsidP="00B363D7">
            <w:pPr>
              <w:pStyle w:val="CorpoTabela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F361B" w14:textId="0DFA194F" w:rsidR="00B363D7" w:rsidRPr="00B70AC4" w:rsidRDefault="00B363D7" w:rsidP="00B363D7">
            <w:pPr>
              <w:pStyle w:val="CorpoTabela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</w:tr>
      <w:tr w:rsidR="00B363D7" w:rsidRPr="00766CA9" w14:paraId="5920B191" w14:textId="77777777" w:rsidTr="00B363D7">
        <w:trPr>
          <w:trHeight w:val="330"/>
        </w:trPr>
        <w:tc>
          <w:tcPr>
            <w:tcW w:w="29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85215" w14:textId="552300D9" w:rsidR="00B363D7" w:rsidRPr="00980844" w:rsidRDefault="00B363D7" w:rsidP="00B363D7">
            <w:pPr>
              <w:pStyle w:val="LinhasTabela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980844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     Serviços administrativos e complementares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E1C7D2" w14:textId="5F76EE8C" w:rsidR="00B363D7" w:rsidRPr="00B70AC4" w:rsidRDefault="00B363D7" w:rsidP="00B363D7">
            <w:pPr>
              <w:pStyle w:val="CorpoTabela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-13,5</w:t>
            </w:r>
          </w:p>
        </w:tc>
        <w:tc>
          <w:tcPr>
            <w:tcW w:w="4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B951D" w14:textId="53FFD8A9" w:rsidR="00B363D7" w:rsidRPr="00B70AC4" w:rsidRDefault="00B363D7" w:rsidP="00B363D7">
            <w:pPr>
              <w:pStyle w:val="CorpoTabela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8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43A80" w14:textId="1F8AD106" w:rsidR="00B363D7" w:rsidRPr="00B70AC4" w:rsidRDefault="00B363D7" w:rsidP="00B363D7">
            <w:pPr>
              <w:pStyle w:val="CorpoTabela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5067C" w14:textId="27563BD2" w:rsidR="00B363D7" w:rsidRPr="00B70AC4" w:rsidRDefault="00B363D7" w:rsidP="00B363D7">
            <w:pPr>
              <w:pStyle w:val="CorpoTabela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</w:tr>
      <w:tr w:rsidR="00B363D7" w:rsidRPr="00766CA9" w14:paraId="293939DA" w14:textId="77777777" w:rsidTr="00B363D7">
        <w:trPr>
          <w:trHeight w:val="330"/>
        </w:trPr>
        <w:tc>
          <w:tcPr>
            <w:tcW w:w="293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8DFF1" w14:textId="3D80B7A7" w:rsidR="00B363D7" w:rsidRPr="00980844" w:rsidRDefault="00B363D7" w:rsidP="00B363D7">
            <w:pPr>
              <w:pStyle w:val="LinhasTabela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Hlk30446464"/>
            <w:r w:rsidRPr="00980844">
              <w:rPr>
                <w:rFonts w:ascii="Times New Roman" w:hAnsi="Times New Roman" w:cs="Times New Roman"/>
                <w:sz w:val="20"/>
                <w:szCs w:val="20"/>
              </w:rPr>
              <w:t>Transportes, serviços auxiliares aos transportes e correio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3F957" w14:textId="1C0E8988" w:rsidR="00B363D7" w:rsidRPr="00B70AC4" w:rsidRDefault="00B363D7" w:rsidP="00B363D7">
            <w:pPr>
              <w:pStyle w:val="CorpoTabela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>-7,7</w:t>
            </w:r>
          </w:p>
        </w:tc>
        <w:tc>
          <w:tcPr>
            <w:tcW w:w="42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161D0" w14:textId="5857C92B" w:rsidR="00B363D7" w:rsidRPr="00B70AC4" w:rsidRDefault="00B363D7" w:rsidP="00B363D7">
            <w:pPr>
              <w:pStyle w:val="CorpoTabela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>-20,7</w:t>
            </w:r>
          </w:p>
        </w:tc>
        <w:tc>
          <w:tcPr>
            <w:tcW w:w="80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22EEC" w14:textId="7543661E" w:rsidR="00B363D7" w:rsidRPr="00B70AC4" w:rsidRDefault="00B363D7" w:rsidP="00B363D7">
            <w:pPr>
              <w:pStyle w:val="CorpoTabela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>-9,0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EDCB7" w14:textId="7614C07C" w:rsidR="00B363D7" w:rsidRPr="00B70AC4" w:rsidRDefault="00B363D7" w:rsidP="00B363D7">
            <w:pPr>
              <w:pStyle w:val="CorpoTabela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>-11,3</w:t>
            </w:r>
          </w:p>
        </w:tc>
      </w:tr>
      <w:bookmarkEnd w:id="0"/>
      <w:tr w:rsidR="00B363D7" w:rsidRPr="00766CA9" w14:paraId="1A417A6B" w14:textId="77777777" w:rsidTr="00B363D7">
        <w:trPr>
          <w:trHeight w:val="330"/>
        </w:trPr>
        <w:tc>
          <w:tcPr>
            <w:tcW w:w="29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D1EB0" w14:textId="76375053" w:rsidR="00B363D7" w:rsidRPr="00980844" w:rsidRDefault="00B363D7" w:rsidP="00B363D7">
            <w:pPr>
              <w:pStyle w:val="LinhasTabela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980844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     Transporte terrestre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F0C25" w14:textId="6C063D73" w:rsidR="00B363D7" w:rsidRPr="00B70AC4" w:rsidRDefault="00B363D7" w:rsidP="00B363D7">
            <w:pPr>
              <w:pStyle w:val="CorpoTabela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-11,5</w:t>
            </w:r>
          </w:p>
        </w:tc>
        <w:tc>
          <w:tcPr>
            <w:tcW w:w="4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1C8D8" w14:textId="5C529762" w:rsidR="00B363D7" w:rsidRPr="00B70AC4" w:rsidRDefault="00B363D7" w:rsidP="00B363D7">
            <w:pPr>
              <w:pStyle w:val="CorpoTabela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8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30BC5" w14:textId="28F63E2A" w:rsidR="00B363D7" w:rsidRPr="00B70AC4" w:rsidRDefault="00B363D7" w:rsidP="00B363D7">
            <w:pPr>
              <w:pStyle w:val="CorpoTabela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73D71" w14:textId="7EA59B00" w:rsidR="00B363D7" w:rsidRPr="00B70AC4" w:rsidRDefault="00B363D7" w:rsidP="00B363D7">
            <w:pPr>
              <w:pStyle w:val="CorpoTabela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</w:tr>
      <w:tr w:rsidR="00B363D7" w:rsidRPr="00766CA9" w14:paraId="0FC503CA" w14:textId="77777777" w:rsidTr="00B363D7">
        <w:trPr>
          <w:trHeight w:val="330"/>
        </w:trPr>
        <w:tc>
          <w:tcPr>
            <w:tcW w:w="29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20F3F" w14:textId="301F2C43" w:rsidR="00B363D7" w:rsidRPr="00980844" w:rsidRDefault="00B363D7" w:rsidP="00B363D7">
            <w:pPr>
              <w:pStyle w:val="LinhasTabela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980844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     Transporte aquaviário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FBC74" w14:textId="372ED999" w:rsidR="00B363D7" w:rsidRPr="00B70AC4" w:rsidRDefault="00B363D7" w:rsidP="00B363D7">
            <w:pPr>
              <w:pStyle w:val="CorpoTabela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10,4</w:t>
            </w:r>
          </w:p>
        </w:tc>
        <w:tc>
          <w:tcPr>
            <w:tcW w:w="4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D7C70" w14:textId="1789CE13" w:rsidR="00B363D7" w:rsidRPr="00B70AC4" w:rsidRDefault="00B363D7" w:rsidP="00B363D7">
            <w:pPr>
              <w:pStyle w:val="CorpoTabela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8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BCDC5" w14:textId="288FD7E3" w:rsidR="00B363D7" w:rsidRPr="00B70AC4" w:rsidRDefault="00B363D7" w:rsidP="00B363D7">
            <w:pPr>
              <w:pStyle w:val="CorpoTabela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1ECCA" w14:textId="60A1BAD4" w:rsidR="00B363D7" w:rsidRPr="00B70AC4" w:rsidRDefault="00B363D7" w:rsidP="00B363D7">
            <w:pPr>
              <w:pStyle w:val="CorpoTabela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</w:tr>
      <w:tr w:rsidR="00B363D7" w:rsidRPr="00766CA9" w14:paraId="681A4C9C" w14:textId="77777777" w:rsidTr="00B363D7">
        <w:trPr>
          <w:trHeight w:val="330"/>
        </w:trPr>
        <w:tc>
          <w:tcPr>
            <w:tcW w:w="29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F2045" w14:textId="35006AF6" w:rsidR="00B363D7" w:rsidRPr="00980844" w:rsidRDefault="00B363D7" w:rsidP="00B363D7">
            <w:pPr>
              <w:pStyle w:val="LinhasTabela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980844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     Transporte aéreo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5C045" w14:textId="296B41F5" w:rsidR="00B363D7" w:rsidRPr="00B70AC4" w:rsidRDefault="00B363D7" w:rsidP="00B363D7">
            <w:pPr>
              <w:pStyle w:val="CorpoTabela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-36,9</w:t>
            </w:r>
          </w:p>
        </w:tc>
        <w:tc>
          <w:tcPr>
            <w:tcW w:w="4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02A9" w14:textId="0B1AA523" w:rsidR="00B363D7" w:rsidRPr="00B70AC4" w:rsidRDefault="00B363D7" w:rsidP="00B363D7">
            <w:pPr>
              <w:pStyle w:val="CorpoTabela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8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9074E" w14:textId="174A971C" w:rsidR="00B363D7" w:rsidRPr="00B70AC4" w:rsidRDefault="00B363D7" w:rsidP="00B363D7">
            <w:pPr>
              <w:pStyle w:val="CorpoTabela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A031E" w14:textId="75192012" w:rsidR="00B363D7" w:rsidRPr="00B70AC4" w:rsidRDefault="00B363D7" w:rsidP="00B363D7">
            <w:pPr>
              <w:pStyle w:val="CorpoTabela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</w:tr>
      <w:tr w:rsidR="00B363D7" w:rsidRPr="00766CA9" w14:paraId="0BD39C65" w14:textId="77777777" w:rsidTr="00B363D7">
        <w:trPr>
          <w:trHeight w:val="330"/>
        </w:trPr>
        <w:tc>
          <w:tcPr>
            <w:tcW w:w="29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9F382" w14:textId="07297031" w:rsidR="00B363D7" w:rsidRPr="00980844" w:rsidRDefault="00B363D7" w:rsidP="00B363D7">
            <w:pPr>
              <w:pStyle w:val="LinhasTabela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980844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     Armazenagem, serviços auxiliares aos transportes e correio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FF9F37" w14:textId="1FE588BE" w:rsidR="00B363D7" w:rsidRPr="00B70AC4" w:rsidRDefault="00B363D7" w:rsidP="00B363D7">
            <w:pPr>
              <w:pStyle w:val="CorpoTabela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2,8</w:t>
            </w:r>
          </w:p>
        </w:tc>
        <w:tc>
          <w:tcPr>
            <w:tcW w:w="4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BC46B" w14:textId="11E8B9E3" w:rsidR="00B363D7" w:rsidRPr="00B70AC4" w:rsidRDefault="00B363D7" w:rsidP="00B363D7">
            <w:pPr>
              <w:pStyle w:val="CorpoTabela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8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B02A2" w14:textId="50D59467" w:rsidR="00B363D7" w:rsidRPr="00B70AC4" w:rsidRDefault="00B363D7" w:rsidP="00B363D7">
            <w:pPr>
              <w:pStyle w:val="CorpoTabela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0B874" w14:textId="51854F00" w:rsidR="00B363D7" w:rsidRPr="00B70AC4" w:rsidRDefault="00B363D7" w:rsidP="00B363D7">
            <w:pPr>
              <w:pStyle w:val="CorpoTabela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63D7" w:rsidRPr="00766CA9" w14:paraId="7E75C6B4" w14:textId="77777777" w:rsidTr="00B363D7">
        <w:trPr>
          <w:trHeight w:val="283"/>
        </w:trPr>
        <w:tc>
          <w:tcPr>
            <w:tcW w:w="293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39892" w14:textId="33B2F54C" w:rsidR="00B363D7" w:rsidRPr="00980844" w:rsidRDefault="00B363D7" w:rsidP="00B363D7">
            <w:pPr>
              <w:pStyle w:val="LinhasTabela"/>
              <w:rPr>
                <w:rFonts w:ascii="Times New Roman" w:hAnsi="Times New Roman" w:cs="Times New Roman"/>
                <w:sz w:val="20"/>
                <w:szCs w:val="20"/>
              </w:rPr>
            </w:pPr>
            <w:r w:rsidRPr="00980844">
              <w:rPr>
                <w:rFonts w:ascii="Times New Roman" w:hAnsi="Times New Roman" w:cs="Times New Roman"/>
                <w:sz w:val="20"/>
                <w:szCs w:val="20"/>
              </w:rPr>
              <w:t>Outros serviços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0F6A1" w14:textId="3CB1E5E9" w:rsidR="00B363D7" w:rsidRPr="00B70AC4" w:rsidRDefault="00B363D7" w:rsidP="00B363D7">
            <w:pPr>
              <w:pStyle w:val="CorpoTabela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6,7</w:t>
            </w:r>
          </w:p>
        </w:tc>
        <w:tc>
          <w:tcPr>
            <w:tcW w:w="42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22CF2" w14:textId="6C2CBDC2" w:rsidR="00B363D7" w:rsidRPr="00B70AC4" w:rsidRDefault="00B363D7" w:rsidP="00B363D7">
            <w:pPr>
              <w:pStyle w:val="CorpoTabela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0,5</w:t>
            </w:r>
          </w:p>
        </w:tc>
        <w:tc>
          <w:tcPr>
            <w:tcW w:w="80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30B11" w14:textId="302406C9" w:rsidR="00B363D7" w:rsidRPr="00B70AC4" w:rsidRDefault="00B363D7" w:rsidP="00B363D7">
            <w:pPr>
              <w:pStyle w:val="CorpoTabela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>-0,2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C7798" w14:textId="38E63C61" w:rsidR="00B363D7" w:rsidRPr="00B70AC4" w:rsidRDefault="00B363D7" w:rsidP="00B363D7">
            <w:pPr>
              <w:pStyle w:val="CorpoTabela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>-11,6</w:t>
            </w:r>
          </w:p>
        </w:tc>
      </w:tr>
      <w:tr w:rsidR="00B363D7" w:rsidRPr="00766CA9" w14:paraId="721A6C7F" w14:textId="77777777" w:rsidTr="00B363D7">
        <w:trPr>
          <w:trHeight w:val="374"/>
        </w:trPr>
        <w:tc>
          <w:tcPr>
            <w:tcW w:w="293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0754DA42" w14:textId="00D2D637" w:rsidR="00B363D7" w:rsidRPr="00980844" w:rsidRDefault="00B363D7" w:rsidP="00B363D7">
            <w:pPr>
              <w:pStyle w:val="LinhasTabela"/>
              <w:rPr>
                <w:rFonts w:ascii="Times New Roman" w:hAnsi="Times New Roman" w:cs="Times New Roman"/>
                <w:sz w:val="20"/>
                <w:szCs w:val="20"/>
              </w:rPr>
            </w:pPr>
            <w:r w:rsidRPr="00980844"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5D45DAFC" w14:textId="6F922643" w:rsidR="00B363D7" w:rsidRPr="00B70AC4" w:rsidRDefault="00B363D7" w:rsidP="00B363D7">
            <w:pPr>
              <w:pStyle w:val="CorpoTabela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>-7,8</w:t>
            </w:r>
          </w:p>
        </w:tc>
        <w:tc>
          <w:tcPr>
            <w:tcW w:w="42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5BEEDA8D" w14:textId="3757236B" w:rsidR="00B363D7" w:rsidRPr="00B70AC4" w:rsidRDefault="00B363D7" w:rsidP="00B363D7">
            <w:pPr>
              <w:pStyle w:val="CorpoTabela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>-13,6</w:t>
            </w:r>
          </w:p>
        </w:tc>
        <w:tc>
          <w:tcPr>
            <w:tcW w:w="80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7543275D" w14:textId="2062F019" w:rsidR="00B363D7" w:rsidRPr="00B70AC4" w:rsidRDefault="00B363D7" w:rsidP="00B363D7">
            <w:pPr>
              <w:pStyle w:val="CorpoTabela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>-12,4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2C4A1A51" w14:textId="6BB4E4CC" w:rsidR="00B363D7" w:rsidRPr="00B70AC4" w:rsidRDefault="00B363D7" w:rsidP="00B363D7">
            <w:pPr>
              <w:pStyle w:val="CorpoTabela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>-14,8</w:t>
            </w:r>
          </w:p>
        </w:tc>
      </w:tr>
    </w:tbl>
    <w:p w14:paraId="5D2FE0FD" w14:textId="348AC962" w:rsidR="004D6191" w:rsidRDefault="004D6191" w:rsidP="004D6191">
      <w:pPr>
        <w:pStyle w:val="captiontabela"/>
        <w:spacing w:after="40" w:afterAutospacing="0"/>
      </w:pPr>
      <w:r>
        <w:t xml:space="preserve">Fonte: </w:t>
      </w:r>
      <w:r w:rsidRPr="006F79BA">
        <w:t>IBGE.</w:t>
      </w:r>
      <w:r>
        <w:t xml:space="preserve"> Elaboração: NUPE/UNIFOR.</w:t>
      </w:r>
      <w:r w:rsidR="00227966">
        <w:t xml:space="preserve"> </w:t>
      </w:r>
    </w:p>
    <w:p w14:paraId="10D7355C" w14:textId="772CF11C" w:rsidR="004D6191" w:rsidRDefault="004D6191" w:rsidP="00B05372">
      <w:pPr>
        <w:pStyle w:val="captiontabela"/>
        <w:spacing w:after="40" w:afterAutospacing="0"/>
      </w:pPr>
      <w:r w:rsidRPr="006F79BA">
        <w:t xml:space="preserve">Nota (1): Variação acumulada de janeiro/2020 a </w:t>
      </w:r>
      <w:r w:rsidR="00771C1E">
        <w:t>dezembro</w:t>
      </w:r>
      <w:r w:rsidRPr="006F79BA">
        <w:t>/2020</w:t>
      </w:r>
      <w:r>
        <w:t>.</w:t>
      </w:r>
    </w:p>
    <w:p w14:paraId="7BDCC7EC" w14:textId="6E484A5B" w:rsidR="00604D9F" w:rsidRPr="00604D9F" w:rsidRDefault="00B05372" w:rsidP="00AD3E4E">
      <w:pPr>
        <w:pStyle w:val="captiontabela"/>
      </w:pPr>
      <w:r>
        <w:t xml:space="preserve">Nota (2): </w:t>
      </w:r>
      <w:r w:rsidRPr="00227966">
        <w:t>O IBGE não divulga as variações do volume de serviços para as subatividades estaduais.</w:t>
      </w:r>
    </w:p>
    <w:p w14:paraId="422C6465" w14:textId="1549632F" w:rsidR="003304A6" w:rsidRDefault="00CF106A" w:rsidP="00980844">
      <w:pPr>
        <w:pStyle w:val="Ttulo2"/>
      </w:pPr>
      <w:r>
        <w:t>A atividade do comércio</w:t>
      </w:r>
    </w:p>
    <w:p w14:paraId="6266A8EC" w14:textId="77777777" w:rsidR="00F27205" w:rsidRDefault="00F27205" w:rsidP="00F27205">
      <w:pPr>
        <w:rPr>
          <w:lang w:eastAsia="ja-JP"/>
        </w:rPr>
      </w:pPr>
      <w:r>
        <w:rPr>
          <w:lang w:eastAsia="ja-JP"/>
        </w:rPr>
        <w:t xml:space="preserve">De acordo com a Pesquisa Mensal do Comércio (PMC) do IBGE, o comércio varejista no Brasil, no que se refere ao acumulado de janeiro a dezembro de 2020, apresentou um crescimento de 1,2% em relação ao mesmo período do ano anterior. Para os estados nordestinos pesquisados, o Ceará teve uma queda de -5,8%, seguido pela Bahia com baixa de -4,3%, em contrapartida, Pernambuco apresentou uma alta de 0,7%. No que </w:t>
      </w:r>
      <w:proofErr w:type="spellStart"/>
      <w:r>
        <w:rPr>
          <w:lang w:eastAsia="ja-JP"/>
        </w:rPr>
        <w:t>concerce</w:t>
      </w:r>
      <w:proofErr w:type="spellEnd"/>
      <w:r>
        <w:rPr>
          <w:lang w:eastAsia="ja-JP"/>
        </w:rPr>
        <w:t xml:space="preserve"> ao varejo ampliado, o Brasil registrou uma queda de 1,5%, quando todos os estados analisados demonstraram uma variação negativa, em destaque para a Bahia (-7,9%) com a maior queda, seguido pelo Ceará (-5,0%) e Pernambuco (-0,4%), conforme a Tabela 4.</w:t>
      </w:r>
    </w:p>
    <w:p w14:paraId="176B49B1" w14:textId="77777777" w:rsidR="00F27205" w:rsidRDefault="00F27205" w:rsidP="00F27205">
      <w:pPr>
        <w:rPr>
          <w:lang w:eastAsia="ja-JP"/>
        </w:rPr>
      </w:pPr>
      <w:r>
        <w:rPr>
          <w:lang w:eastAsia="ja-JP"/>
        </w:rPr>
        <w:t xml:space="preserve">Dentre os dez grupos de atividades pesquisadas para o Brasil, cinco registraram crescimento no acumulado de 2020, sendo estes: Material de construção (+10,8%), Móveis e eletrodomésticos (+10,6%), Artigos farmacêuticos (+8,3%) e Hipermercados, supermercados, </w:t>
      </w:r>
      <w:r>
        <w:rPr>
          <w:lang w:eastAsia="ja-JP"/>
        </w:rPr>
        <w:lastRenderedPageBreak/>
        <w:t>produtos alimentícios, bebidas e fumo (+4,8%). Em contrapartida, demostraram queda significativa: Livros, jornais, revistas e papelaria (-30,6%) e Tecidos, vestuário e calçados (-22,7%).</w:t>
      </w:r>
    </w:p>
    <w:p w14:paraId="09F6CA9E" w14:textId="77777777" w:rsidR="00F27205" w:rsidRDefault="00F27205" w:rsidP="00F27205">
      <w:pPr>
        <w:rPr>
          <w:lang w:eastAsia="ja-JP"/>
        </w:rPr>
      </w:pPr>
      <w:r>
        <w:rPr>
          <w:lang w:eastAsia="ja-JP"/>
        </w:rPr>
        <w:t>Observando as atividades dos estados nordestinos, no Ceará, apenas as atividades de Material de construção (+5,8%), Equipamentos e materiais para escritório, informática e comunicação (+5,0%) e Hipermercados, supermercados, produtos alimentícios, bebidas e fumo (+1,8%) tiveram crescimento. Por outro lado, as atividades com declínios mais evidentes foram: Tecidos, vestuário e calçados (-22,6%), Livros, jornais, revistas e papelaria (-19,0%) e Móveis e eletrodomésticos (-15,8%).</w:t>
      </w:r>
    </w:p>
    <w:p w14:paraId="3B6ECBE1" w14:textId="5BC7D588" w:rsidR="00F27205" w:rsidRPr="00F27205" w:rsidRDefault="00F27205" w:rsidP="00F27205">
      <w:pPr>
        <w:rPr>
          <w:lang w:eastAsia="ja-JP"/>
        </w:rPr>
      </w:pPr>
      <w:r>
        <w:rPr>
          <w:lang w:eastAsia="ja-JP"/>
        </w:rPr>
        <w:t>Além disto, na maioria dos demais setores analisados, é bastante perceptível a correlação do desempenho das atividades comerciais com a crise sanitária provocada pela Covid 19, como Artigos farmacêuticos, (+8,3%) e também as consequentes mudanças de hábitos dos consumidores provocadas pelas medidas de contenção da pandemia, tais como o confinamento, relacionado a Móveis e eletrodomésticos, (+10,6%); Material de construção, +10,8%; Tecidos, vestuário e calçados, (-22,7%) e o forte crescimento do teletrabalho observado em Equipamentos e materiais para escritório, informática e comunicação, (+5,0%).</w:t>
      </w:r>
    </w:p>
    <w:p w14:paraId="42DEA7E2" w14:textId="3FEB2D99" w:rsidR="00BB2089" w:rsidRDefault="00BB2089" w:rsidP="00BB2089">
      <w:pPr>
        <w:pStyle w:val="Legenda"/>
      </w:pPr>
      <w:r>
        <w:t xml:space="preserve">Tabela </w:t>
      </w:r>
      <w:r w:rsidR="00FA6BF7">
        <w:t>4</w:t>
      </w:r>
      <w:r>
        <w:t xml:space="preserve"> - </w:t>
      </w:r>
      <w:r w:rsidRPr="00F6097E">
        <w:t>Variação (%) do volume de vendas do comércio e atividades - Brasil e Estados selecionados</w:t>
      </w:r>
      <w:r w:rsidR="00675AA6">
        <w:t xml:space="preserve"> – </w:t>
      </w:r>
      <w:r w:rsidRPr="00F6097E">
        <w:t>Acumulado em 2020</w:t>
      </w:r>
      <w:r w:rsidRPr="00BB2089">
        <w:rPr>
          <w:vertAlign w:val="superscript"/>
        </w:rPr>
        <w:t>(1)</w:t>
      </w:r>
      <w:r>
        <w:t>.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95"/>
        <w:gridCol w:w="653"/>
        <w:gridCol w:w="664"/>
        <w:gridCol w:w="1217"/>
        <w:gridCol w:w="642"/>
      </w:tblGrid>
      <w:tr w:rsidR="00980844" w:rsidRPr="00736B9A" w14:paraId="6DDA7CCE" w14:textId="77777777" w:rsidTr="00FA6BF7">
        <w:trPr>
          <w:trHeight w:val="585"/>
        </w:trPr>
        <w:tc>
          <w:tcPr>
            <w:tcW w:w="32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6A6A6"/>
            <w:vAlign w:val="center"/>
            <w:hideMark/>
          </w:tcPr>
          <w:p w14:paraId="171AEC80" w14:textId="77777777" w:rsidR="00980844" w:rsidRPr="00736B9A" w:rsidRDefault="00980844" w:rsidP="00736B9A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736B9A">
              <w:rPr>
                <w:rFonts w:eastAsia="Times New Roman" w:cs="Times New Roman"/>
                <w:b/>
                <w:bCs/>
                <w:sz w:val="18"/>
                <w:szCs w:val="18"/>
                <w:lang w:eastAsia="pt-BR"/>
              </w:rPr>
              <w:t>Comércio e atividades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6A6A6"/>
            <w:vAlign w:val="center"/>
            <w:hideMark/>
          </w:tcPr>
          <w:p w14:paraId="7EEFB5E0" w14:textId="77777777" w:rsidR="00980844" w:rsidRPr="00736B9A" w:rsidRDefault="00980844" w:rsidP="00736B9A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736B9A">
              <w:rPr>
                <w:rFonts w:eastAsia="Times New Roman" w:cs="Times New Roman"/>
                <w:b/>
                <w:bCs/>
                <w:sz w:val="18"/>
                <w:szCs w:val="18"/>
                <w:lang w:eastAsia="pt-BR"/>
              </w:rPr>
              <w:t>Brasil</w:t>
            </w:r>
          </w:p>
        </w:tc>
        <w:tc>
          <w:tcPr>
            <w:tcW w:w="3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6A6A6"/>
            <w:vAlign w:val="center"/>
            <w:hideMark/>
          </w:tcPr>
          <w:p w14:paraId="4D21483D" w14:textId="77777777" w:rsidR="00980844" w:rsidRPr="00736B9A" w:rsidRDefault="00980844" w:rsidP="00736B9A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736B9A">
              <w:rPr>
                <w:rFonts w:eastAsia="Times New Roman" w:cs="Times New Roman"/>
                <w:b/>
                <w:bCs/>
                <w:sz w:val="18"/>
                <w:szCs w:val="18"/>
                <w:lang w:eastAsia="pt-BR"/>
              </w:rPr>
              <w:t>Ceará</w:t>
            </w:r>
          </w:p>
        </w:tc>
        <w:tc>
          <w:tcPr>
            <w:tcW w:w="67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6A6A6"/>
            <w:vAlign w:val="center"/>
            <w:hideMark/>
          </w:tcPr>
          <w:p w14:paraId="10DD1B5D" w14:textId="77777777" w:rsidR="00980844" w:rsidRPr="00736B9A" w:rsidRDefault="00980844" w:rsidP="00736B9A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736B9A">
              <w:rPr>
                <w:rFonts w:eastAsia="Times New Roman" w:cs="Times New Roman"/>
                <w:b/>
                <w:bCs/>
                <w:sz w:val="18"/>
                <w:szCs w:val="18"/>
                <w:lang w:eastAsia="pt-BR"/>
              </w:rPr>
              <w:t>Pernambuco</w:t>
            </w:r>
          </w:p>
        </w:tc>
        <w:tc>
          <w:tcPr>
            <w:tcW w:w="35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6A6A6"/>
            <w:vAlign w:val="center"/>
            <w:hideMark/>
          </w:tcPr>
          <w:p w14:paraId="0D6F720A" w14:textId="77777777" w:rsidR="00980844" w:rsidRPr="00736B9A" w:rsidRDefault="00980844" w:rsidP="00736B9A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736B9A">
              <w:rPr>
                <w:rFonts w:eastAsia="Times New Roman" w:cs="Times New Roman"/>
                <w:b/>
                <w:bCs/>
                <w:sz w:val="18"/>
                <w:szCs w:val="18"/>
                <w:lang w:eastAsia="pt-BR"/>
              </w:rPr>
              <w:t>Bahia</w:t>
            </w:r>
          </w:p>
        </w:tc>
      </w:tr>
      <w:tr w:rsidR="00771C1E" w:rsidRPr="00736B9A" w14:paraId="52F59C3D" w14:textId="77777777" w:rsidTr="00FA6BF7">
        <w:trPr>
          <w:trHeight w:val="300"/>
        </w:trPr>
        <w:tc>
          <w:tcPr>
            <w:tcW w:w="32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1F2DE4C" w14:textId="77777777" w:rsidR="00771C1E" w:rsidRPr="00736B9A" w:rsidRDefault="00771C1E" w:rsidP="00771C1E">
            <w:pPr>
              <w:spacing w:before="0" w:beforeAutospacing="0" w:after="0" w:afterAutospacing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736B9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  <w:t>Comércio varejista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47065E" w14:textId="6AFCB8BC" w:rsidR="00771C1E" w:rsidRPr="00736B9A" w:rsidRDefault="00771C1E" w:rsidP="00771C1E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1,2 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CC0841" w14:textId="6E551D1C" w:rsidR="00771C1E" w:rsidRPr="00736B9A" w:rsidRDefault="00771C1E" w:rsidP="00771C1E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 xml:space="preserve">-5,8 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65AA16" w14:textId="18AF9BDD" w:rsidR="00771C1E" w:rsidRPr="00736B9A" w:rsidRDefault="00771C1E" w:rsidP="00771C1E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0,7 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3AED3A" w14:textId="784F1A87" w:rsidR="00771C1E" w:rsidRPr="00736B9A" w:rsidRDefault="00771C1E" w:rsidP="00771C1E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 xml:space="preserve">-4,3 </w:t>
            </w:r>
          </w:p>
        </w:tc>
      </w:tr>
      <w:tr w:rsidR="00771C1E" w:rsidRPr="00736B9A" w14:paraId="13615E78" w14:textId="77777777" w:rsidTr="00FA6BF7">
        <w:trPr>
          <w:trHeight w:val="300"/>
        </w:trPr>
        <w:tc>
          <w:tcPr>
            <w:tcW w:w="3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7B95D" w14:textId="77777777" w:rsidR="00771C1E" w:rsidRPr="00736B9A" w:rsidRDefault="00771C1E" w:rsidP="00771C1E">
            <w:pPr>
              <w:spacing w:before="0" w:beforeAutospacing="0" w:after="0" w:afterAutospacing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 w:rsidRPr="00736B9A"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Combustíveis e lubrificantes</w:t>
            </w: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EE4A1" w14:textId="27FE72A3" w:rsidR="00771C1E" w:rsidRPr="00736B9A" w:rsidRDefault="00771C1E" w:rsidP="00771C1E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color w:val="FF0000"/>
                <w:sz w:val="20"/>
                <w:szCs w:val="20"/>
              </w:rPr>
              <w:t xml:space="preserve">-9,7 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59EAC" w14:textId="4CA573D2" w:rsidR="00771C1E" w:rsidRPr="00736B9A" w:rsidRDefault="00771C1E" w:rsidP="00771C1E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color w:val="FF0000"/>
                <w:sz w:val="20"/>
                <w:szCs w:val="20"/>
              </w:rPr>
              <w:t xml:space="preserve">-11,1 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106F" w14:textId="30DDA4E0" w:rsidR="00771C1E" w:rsidRPr="00736B9A" w:rsidRDefault="00771C1E" w:rsidP="00771C1E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color w:val="FF0000"/>
                <w:sz w:val="20"/>
                <w:szCs w:val="20"/>
              </w:rPr>
              <w:t xml:space="preserve">-3,8 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47E5D" w14:textId="385B8746" w:rsidR="00771C1E" w:rsidRPr="00736B9A" w:rsidRDefault="00771C1E" w:rsidP="00771C1E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color w:val="FF0000"/>
                <w:sz w:val="20"/>
                <w:szCs w:val="20"/>
              </w:rPr>
              <w:t xml:space="preserve">-5,6 </w:t>
            </w:r>
          </w:p>
        </w:tc>
      </w:tr>
      <w:tr w:rsidR="00771C1E" w:rsidRPr="00736B9A" w14:paraId="60EC8181" w14:textId="77777777" w:rsidTr="00FA6BF7">
        <w:trPr>
          <w:trHeight w:val="300"/>
        </w:trPr>
        <w:tc>
          <w:tcPr>
            <w:tcW w:w="3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71DA2B" w14:textId="77777777" w:rsidR="00771C1E" w:rsidRPr="00736B9A" w:rsidRDefault="00771C1E" w:rsidP="00771C1E">
            <w:pPr>
              <w:spacing w:before="0" w:beforeAutospacing="0" w:after="0" w:afterAutospacing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 w:rsidRPr="00736B9A"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Hipermercados, supermercados, produtos alimentícios, bebidas e fumo</w:t>
            </w: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B5C6B" w14:textId="71496DAC" w:rsidR="00771C1E" w:rsidRPr="00736B9A" w:rsidRDefault="00771C1E" w:rsidP="00771C1E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color w:val="000000"/>
                <w:sz w:val="20"/>
                <w:szCs w:val="20"/>
              </w:rPr>
              <w:t xml:space="preserve">4,8 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54292" w14:textId="32C10BB5" w:rsidR="00771C1E" w:rsidRPr="00736B9A" w:rsidRDefault="00771C1E" w:rsidP="00771C1E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color w:val="000000"/>
                <w:sz w:val="20"/>
                <w:szCs w:val="20"/>
              </w:rPr>
              <w:t xml:space="preserve">1,8 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7C2BE" w14:textId="773C3FD5" w:rsidR="00771C1E" w:rsidRPr="00736B9A" w:rsidRDefault="00771C1E" w:rsidP="00771C1E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color w:val="000000"/>
                <w:sz w:val="20"/>
                <w:szCs w:val="20"/>
              </w:rPr>
              <w:t xml:space="preserve">0,8 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6B57C" w14:textId="3F0D1D1D" w:rsidR="00771C1E" w:rsidRPr="00736B9A" w:rsidRDefault="00771C1E" w:rsidP="00771C1E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color w:val="FF0000"/>
                <w:sz w:val="20"/>
                <w:szCs w:val="20"/>
              </w:rPr>
              <w:t xml:space="preserve">-3,5 </w:t>
            </w:r>
          </w:p>
        </w:tc>
      </w:tr>
      <w:tr w:rsidR="00771C1E" w:rsidRPr="00736B9A" w14:paraId="3B4237A1" w14:textId="77777777" w:rsidTr="00FA6BF7">
        <w:trPr>
          <w:trHeight w:val="300"/>
        </w:trPr>
        <w:tc>
          <w:tcPr>
            <w:tcW w:w="3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124A7" w14:textId="77777777" w:rsidR="00771C1E" w:rsidRPr="009F15F8" w:rsidRDefault="00771C1E" w:rsidP="00771C1E">
            <w:pPr>
              <w:spacing w:before="0" w:beforeAutospacing="0" w:after="0" w:afterAutospacing="0"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  <w:lang w:eastAsia="pt-BR"/>
              </w:rPr>
            </w:pPr>
            <w:r w:rsidRPr="009F15F8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  <w:lang w:eastAsia="pt-BR"/>
              </w:rPr>
              <w:t xml:space="preserve">    Hipermercados e supermercados</w:t>
            </w: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7FEFF" w14:textId="524FAE77" w:rsidR="00771C1E" w:rsidRPr="00771C1E" w:rsidRDefault="00771C1E" w:rsidP="00771C1E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  <w:lang w:eastAsia="pt-BR"/>
              </w:rPr>
            </w:pPr>
            <w:r w:rsidRPr="00771C1E">
              <w:rPr>
                <w:i/>
                <w:iCs/>
                <w:color w:val="000000"/>
                <w:sz w:val="20"/>
                <w:szCs w:val="20"/>
              </w:rPr>
              <w:t xml:space="preserve">6,0 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E5EDE" w14:textId="4BF7D565" w:rsidR="00771C1E" w:rsidRPr="00771C1E" w:rsidRDefault="00771C1E" w:rsidP="00771C1E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  <w:lang w:eastAsia="pt-BR"/>
              </w:rPr>
            </w:pPr>
            <w:r w:rsidRPr="00771C1E">
              <w:rPr>
                <w:i/>
                <w:iCs/>
                <w:color w:val="000000"/>
                <w:sz w:val="20"/>
                <w:szCs w:val="20"/>
              </w:rPr>
              <w:t xml:space="preserve">3,8 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A4982" w14:textId="27C6D6D6" w:rsidR="00771C1E" w:rsidRPr="00771C1E" w:rsidRDefault="00771C1E" w:rsidP="00771C1E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  <w:lang w:eastAsia="pt-BR"/>
              </w:rPr>
            </w:pPr>
            <w:r w:rsidRPr="00771C1E">
              <w:rPr>
                <w:i/>
                <w:iCs/>
                <w:color w:val="000000"/>
                <w:sz w:val="20"/>
                <w:szCs w:val="20"/>
              </w:rPr>
              <w:t xml:space="preserve">3,3 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2D86A" w14:textId="51034965" w:rsidR="00771C1E" w:rsidRPr="00771C1E" w:rsidRDefault="00771C1E" w:rsidP="00771C1E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  <w:lang w:eastAsia="pt-BR"/>
              </w:rPr>
            </w:pPr>
            <w:r w:rsidRPr="00771C1E">
              <w:rPr>
                <w:i/>
                <w:iCs/>
                <w:color w:val="FF0000"/>
                <w:sz w:val="20"/>
                <w:szCs w:val="20"/>
              </w:rPr>
              <w:t xml:space="preserve">-1,3 </w:t>
            </w:r>
          </w:p>
        </w:tc>
      </w:tr>
      <w:tr w:rsidR="00771C1E" w:rsidRPr="00736B9A" w14:paraId="45080BD5" w14:textId="77777777" w:rsidTr="00FA6BF7">
        <w:trPr>
          <w:trHeight w:val="300"/>
        </w:trPr>
        <w:tc>
          <w:tcPr>
            <w:tcW w:w="3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5CE178" w14:textId="77777777" w:rsidR="00771C1E" w:rsidRPr="00736B9A" w:rsidRDefault="00771C1E" w:rsidP="00771C1E">
            <w:pPr>
              <w:spacing w:before="0" w:beforeAutospacing="0" w:after="0" w:afterAutospacing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 w:rsidRPr="00736B9A"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Tecidos, vestuário e calçados</w:t>
            </w: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2AB75" w14:textId="1B105160" w:rsidR="00771C1E" w:rsidRPr="00736B9A" w:rsidRDefault="00771C1E" w:rsidP="00771C1E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color w:val="FF0000"/>
                <w:sz w:val="20"/>
                <w:szCs w:val="20"/>
              </w:rPr>
              <w:t xml:space="preserve">-22,7 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892E0" w14:textId="342DE13B" w:rsidR="00771C1E" w:rsidRPr="00736B9A" w:rsidRDefault="00771C1E" w:rsidP="00771C1E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color w:val="FF0000"/>
                <w:sz w:val="20"/>
                <w:szCs w:val="20"/>
              </w:rPr>
              <w:t xml:space="preserve">-22,6 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78060" w14:textId="5DCC22D8" w:rsidR="00771C1E" w:rsidRPr="00736B9A" w:rsidRDefault="00771C1E" w:rsidP="00771C1E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color w:val="FF0000"/>
                <w:sz w:val="20"/>
                <w:szCs w:val="20"/>
              </w:rPr>
              <w:t xml:space="preserve">-17,6 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4DD61" w14:textId="6D360454" w:rsidR="00771C1E" w:rsidRPr="00736B9A" w:rsidRDefault="00771C1E" w:rsidP="00771C1E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color w:val="FF0000"/>
                <w:sz w:val="20"/>
                <w:szCs w:val="20"/>
              </w:rPr>
              <w:t xml:space="preserve">-28,8 </w:t>
            </w:r>
          </w:p>
        </w:tc>
      </w:tr>
      <w:tr w:rsidR="00771C1E" w:rsidRPr="00736B9A" w14:paraId="24CCF408" w14:textId="77777777" w:rsidTr="00FA6BF7">
        <w:trPr>
          <w:trHeight w:val="300"/>
        </w:trPr>
        <w:tc>
          <w:tcPr>
            <w:tcW w:w="3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BAC557" w14:textId="77777777" w:rsidR="00771C1E" w:rsidRPr="00736B9A" w:rsidRDefault="00771C1E" w:rsidP="00771C1E">
            <w:pPr>
              <w:spacing w:before="0" w:beforeAutospacing="0" w:after="0" w:afterAutospacing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 w:rsidRPr="00736B9A"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Móveis e eletrodomésticos</w:t>
            </w: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18813" w14:textId="5AA51725" w:rsidR="00771C1E" w:rsidRPr="00736B9A" w:rsidRDefault="00771C1E" w:rsidP="00771C1E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color w:val="000000"/>
                <w:sz w:val="20"/>
                <w:szCs w:val="20"/>
              </w:rPr>
              <w:t xml:space="preserve">10,6 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E2934" w14:textId="61E88121" w:rsidR="00771C1E" w:rsidRPr="00736B9A" w:rsidRDefault="00771C1E" w:rsidP="00771C1E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color w:val="FF0000"/>
                <w:sz w:val="20"/>
                <w:szCs w:val="20"/>
              </w:rPr>
              <w:t xml:space="preserve">-15,8 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F83BD" w14:textId="5CD164B1" w:rsidR="00771C1E" w:rsidRPr="00736B9A" w:rsidRDefault="00771C1E" w:rsidP="00771C1E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color w:val="000000"/>
                <w:sz w:val="20"/>
                <w:szCs w:val="20"/>
              </w:rPr>
              <w:t xml:space="preserve">25,0 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DA6F5" w14:textId="6623207F" w:rsidR="00771C1E" w:rsidRPr="00736B9A" w:rsidRDefault="00771C1E" w:rsidP="00771C1E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color w:val="000000"/>
                <w:sz w:val="20"/>
                <w:szCs w:val="20"/>
              </w:rPr>
              <w:t xml:space="preserve">14,6 </w:t>
            </w:r>
          </w:p>
        </w:tc>
      </w:tr>
      <w:tr w:rsidR="00771C1E" w:rsidRPr="00736B9A" w14:paraId="0CEB790C" w14:textId="77777777" w:rsidTr="00FA6BF7">
        <w:trPr>
          <w:trHeight w:val="300"/>
        </w:trPr>
        <w:tc>
          <w:tcPr>
            <w:tcW w:w="3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BAAFD8" w14:textId="77777777" w:rsidR="00771C1E" w:rsidRPr="009F15F8" w:rsidRDefault="00771C1E" w:rsidP="00771C1E">
            <w:pPr>
              <w:spacing w:before="0" w:beforeAutospacing="0" w:after="0" w:afterAutospacing="0"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  <w:lang w:eastAsia="pt-BR"/>
              </w:rPr>
            </w:pPr>
            <w:r w:rsidRPr="009F15F8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  <w:lang w:eastAsia="pt-BR"/>
              </w:rPr>
              <w:t xml:space="preserve">    Móveis</w:t>
            </w: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8E29C" w14:textId="326C7977" w:rsidR="00771C1E" w:rsidRPr="00771C1E" w:rsidRDefault="00771C1E" w:rsidP="00771C1E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  <w:lang w:eastAsia="pt-BR"/>
              </w:rPr>
            </w:pPr>
            <w:r w:rsidRPr="00771C1E">
              <w:rPr>
                <w:i/>
                <w:iCs/>
                <w:color w:val="000000"/>
                <w:sz w:val="20"/>
                <w:szCs w:val="20"/>
              </w:rPr>
              <w:t xml:space="preserve">11,9 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A5F26" w14:textId="76AF1835" w:rsidR="00771C1E" w:rsidRPr="00771C1E" w:rsidRDefault="00771C1E" w:rsidP="00771C1E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  <w:lang w:eastAsia="pt-BR"/>
              </w:rPr>
            </w:pPr>
            <w:r w:rsidRPr="00771C1E">
              <w:rPr>
                <w:i/>
                <w:iCs/>
                <w:color w:val="FF0000"/>
                <w:sz w:val="20"/>
                <w:szCs w:val="20"/>
              </w:rPr>
              <w:t xml:space="preserve">-7,6 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124E6" w14:textId="69A08006" w:rsidR="00771C1E" w:rsidRPr="00771C1E" w:rsidRDefault="00771C1E" w:rsidP="00771C1E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  <w:lang w:eastAsia="pt-BR"/>
              </w:rPr>
            </w:pPr>
            <w:r w:rsidRPr="00771C1E">
              <w:rPr>
                <w:i/>
                <w:iCs/>
                <w:color w:val="000000"/>
                <w:sz w:val="20"/>
                <w:szCs w:val="20"/>
              </w:rPr>
              <w:t xml:space="preserve">2,2 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15B34" w14:textId="6BBF7B8F" w:rsidR="00771C1E" w:rsidRPr="00771C1E" w:rsidRDefault="00771C1E" w:rsidP="00771C1E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  <w:lang w:eastAsia="pt-BR"/>
              </w:rPr>
            </w:pPr>
            <w:r w:rsidRPr="00771C1E">
              <w:rPr>
                <w:i/>
                <w:iCs/>
                <w:color w:val="000000"/>
                <w:sz w:val="20"/>
                <w:szCs w:val="20"/>
              </w:rPr>
              <w:t xml:space="preserve">18,4 </w:t>
            </w:r>
          </w:p>
        </w:tc>
      </w:tr>
      <w:tr w:rsidR="00771C1E" w:rsidRPr="00736B9A" w14:paraId="22432E57" w14:textId="77777777" w:rsidTr="00FA6BF7">
        <w:trPr>
          <w:trHeight w:val="300"/>
        </w:trPr>
        <w:tc>
          <w:tcPr>
            <w:tcW w:w="3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8F82FF" w14:textId="77777777" w:rsidR="00771C1E" w:rsidRPr="009F15F8" w:rsidRDefault="00771C1E" w:rsidP="00771C1E">
            <w:pPr>
              <w:spacing w:before="0" w:beforeAutospacing="0" w:after="0" w:afterAutospacing="0"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  <w:lang w:eastAsia="pt-BR"/>
              </w:rPr>
            </w:pPr>
            <w:r w:rsidRPr="009F15F8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  <w:lang w:eastAsia="pt-BR"/>
              </w:rPr>
              <w:t xml:space="preserve">    Eletrodomésticos</w:t>
            </w: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14EF8" w14:textId="4A6C0867" w:rsidR="00771C1E" w:rsidRPr="00771C1E" w:rsidRDefault="00771C1E" w:rsidP="00771C1E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  <w:lang w:eastAsia="pt-BR"/>
              </w:rPr>
            </w:pPr>
            <w:r w:rsidRPr="00771C1E">
              <w:rPr>
                <w:i/>
                <w:iCs/>
                <w:color w:val="000000"/>
                <w:sz w:val="20"/>
                <w:szCs w:val="20"/>
              </w:rPr>
              <w:t xml:space="preserve">10,0 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F743C" w14:textId="4E4CB566" w:rsidR="00771C1E" w:rsidRPr="00771C1E" w:rsidRDefault="00771C1E" w:rsidP="00771C1E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  <w:lang w:eastAsia="pt-BR"/>
              </w:rPr>
            </w:pPr>
            <w:r w:rsidRPr="00771C1E">
              <w:rPr>
                <w:i/>
                <w:iCs/>
                <w:color w:val="FF0000"/>
                <w:sz w:val="20"/>
                <w:szCs w:val="20"/>
              </w:rPr>
              <w:t xml:space="preserve">-21,8 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AEA1A" w14:textId="4B8D547D" w:rsidR="00771C1E" w:rsidRPr="00771C1E" w:rsidRDefault="00771C1E" w:rsidP="00771C1E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  <w:lang w:eastAsia="pt-BR"/>
              </w:rPr>
            </w:pPr>
            <w:r w:rsidRPr="00771C1E">
              <w:rPr>
                <w:i/>
                <w:iCs/>
                <w:color w:val="000000"/>
                <w:sz w:val="20"/>
                <w:szCs w:val="20"/>
              </w:rPr>
              <w:t xml:space="preserve">33,6 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3CC27" w14:textId="7A58018A" w:rsidR="00771C1E" w:rsidRPr="00771C1E" w:rsidRDefault="00771C1E" w:rsidP="00771C1E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  <w:lang w:eastAsia="pt-BR"/>
              </w:rPr>
            </w:pPr>
            <w:r w:rsidRPr="00771C1E">
              <w:rPr>
                <w:i/>
                <w:iCs/>
                <w:color w:val="000000"/>
                <w:sz w:val="20"/>
                <w:szCs w:val="20"/>
              </w:rPr>
              <w:t xml:space="preserve">12,5 </w:t>
            </w:r>
          </w:p>
        </w:tc>
      </w:tr>
      <w:tr w:rsidR="00771C1E" w:rsidRPr="00736B9A" w14:paraId="2048DE42" w14:textId="77777777" w:rsidTr="00FA6BF7">
        <w:trPr>
          <w:trHeight w:val="300"/>
        </w:trPr>
        <w:tc>
          <w:tcPr>
            <w:tcW w:w="3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5776E" w14:textId="77777777" w:rsidR="00771C1E" w:rsidRPr="00736B9A" w:rsidRDefault="00771C1E" w:rsidP="00771C1E">
            <w:pPr>
              <w:spacing w:before="0" w:beforeAutospacing="0" w:after="0" w:afterAutospacing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 w:rsidRPr="00736B9A"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Artigos farmacêuticos, médicos, ortopédicos, de perfumaria e cosméticos</w:t>
            </w: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76CD" w14:textId="3CF9F440" w:rsidR="00771C1E" w:rsidRPr="00736B9A" w:rsidRDefault="00771C1E" w:rsidP="00771C1E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color w:val="000000"/>
                <w:sz w:val="20"/>
                <w:szCs w:val="20"/>
              </w:rPr>
              <w:t xml:space="preserve">8,3 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16706" w14:textId="38D86DC4" w:rsidR="00771C1E" w:rsidRPr="00736B9A" w:rsidRDefault="00771C1E" w:rsidP="00771C1E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color w:val="FF0000"/>
                <w:sz w:val="20"/>
                <w:szCs w:val="20"/>
              </w:rPr>
              <w:t xml:space="preserve">-0,7 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A0EC5" w14:textId="7A41ED2D" w:rsidR="00771C1E" w:rsidRPr="00736B9A" w:rsidRDefault="00771C1E" w:rsidP="00771C1E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color w:val="000000"/>
                <w:sz w:val="20"/>
                <w:szCs w:val="20"/>
              </w:rPr>
              <w:t xml:space="preserve">13,5 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5813F" w14:textId="59A60BC4" w:rsidR="00771C1E" w:rsidRPr="00736B9A" w:rsidRDefault="00771C1E" w:rsidP="00771C1E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color w:val="000000"/>
                <w:sz w:val="20"/>
                <w:szCs w:val="20"/>
              </w:rPr>
              <w:t xml:space="preserve">3,0 </w:t>
            </w:r>
          </w:p>
        </w:tc>
      </w:tr>
      <w:tr w:rsidR="00771C1E" w:rsidRPr="00736B9A" w14:paraId="0BE35BBB" w14:textId="77777777" w:rsidTr="00FA6BF7">
        <w:trPr>
          <w:trHeight w:val="300"/>
        </w:trPr>
        <w:tc>
          <w:tcPr>
            <w:tcW w:w="3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8346BF" w14:textId="77777777" w:rsidR="00771C1E" w:rsidRPr="00736B9A" w:rsidRDefault="00771C1E" w:rsidP="00771C1E">
            <w:pPr>
              <w:spacing w:before="0" w:beforeAutospacing="0" w:after="0" w:afterAutospacing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 w:rsidRPr="00736B9A"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Livros, jornais, revistas e papelaria</w:t>
            </w: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DCCC7" w14:textId="70F63A83" w:rsidR="00771C1E" w:rsidRPr="00736B9A" w:rsidRDefault="00771C1E" w:rsidP="00771C1E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color w:val="FF0000"/>
                <w:sz w:val="20"/>
                <w:szCs w:val="20"/>
              </w:rPr>
              <w:t xml:space="preserve">-30,6 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5BB64" w14:textId="0D22AF28" w:rsidR="00771C1E" w:rsidRPr="00736B9A" w:rsidRDefault="00771C1E" w:rsidP="00771C1E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color w:val="FF0000"/>
                <w:sz w:val="20"/>
                <w:szCs w:val="20"/>
              </w:rPr>
              <w:t xml:space="preserve">-19,0 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2E802" w14:textId="332555BD" w:rsidR="00771C1E" w:rsidRPr="00736B9A" w:rsidRDefault="00771C1E" w:rsidP="00771C1E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color w:val="FF0000"/>
                <w:sz w:val="20"/>
                <w:szCs w:val="20"/>
              </w:rPr>
              <w:t xml:space="preserve">-46,1 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B7828" w14:textId="3460CAB4" w:rsidR="00771C1E" w:rsidRPr="00736B9A" w:rsidRDefault="00771C1E" w:rsidP="00771C1E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color w:val="FF0000"/>
                <w:sz w:val="20"/>
                <w:szCs w:val="20"/>
              </w:rPr>
              <w:t xml:space="preserve">-41,6 </w:t>
            </w:r>
          </w:p>
        </w:tc>
      </w:tr>
      <w:tr w:rsidR="00771C1E" w:rsidRPr="00736B9A" w14:paraId="108AA655" w14:textId="77777777" w:rsidTr="00FA6BF7">
        <w:trPr>
          <w:trHeight w:val="300"/>
        </w:trPr>
        <w:tc>
          <w:tcPr>
            <w:tcW w:w="3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42C663" w14:textId="77777777" w:rsidR="00771C1E" w:rsidRPr="00736B9A" w:rsidRDefault="00771C1E" w:rsidP="00771C1E">
            <w:pPr>
              <w:spacing w:before="0" w:beforeAutospacing="0" w:after="0" w:afterAutospacing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 w:rsidRPr="00736B9A"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Equipamentos e materiais para escritório, informática e comunicação</w:t>
            </w: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19950" w14:textId="2DC08171" w:rsidR="00771C1E" w:rsidRPr="00736B9A" w:rsidRDefault="00771C1E" w:rsidP="00771C1E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color w:val="FF0000"/>
                <w:sz w:val="20"/>
                <w:szCs w:val="20"/>
              </w:rPr>
              <w:t xml:space="preserve">-16,2 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34144" w14:textId="29DF69BA" w:rsidR="00771C1E" w:rsidRPr="00736B9A" w:rsidRDefault="00771C1E" w:rsidP="00771C1E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color w:val="000000"/>
                <w:sz w:val="20"/>
                <w:szCs w:val="20"/>
              </w:rPr>
              <w:t xml:space="preserve">5,0 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BB82E" w14:textId="289A7E5E" w:rsidR="00771C1E" w:rsidRPr="00736B9A" w:rsidRDefault="00771C1E" w:rsidP="00771C1E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color w:val="FF0000"/>
                <w:sz w:val="20"/>
                <w:szCs w:val="20"/>
              </w:rPr>
              <w:t xml:space="preserve">-12,9 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57476" w14:textId="61F168CF" w:rsidR="00771C1E" w:rsidRPr="00736B9A" w:rsidRDefault="00771C1E" w:rsidP="00771C1E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color w:val="FF0000"/>
                <w:sz w:val="20"/>
                <w:szCs w:val="20"/>
              </w:rPr>
              <w:t xml:space="preserve">-23,6 </w:t>
            </w:r>
          </w:p>
        </w:tc>
      </w:tr>
      <w:tr w:rsidR="00771C1E" w:rsidRPr="00736B9A" w14:paraId="7695DD4D" w14:textId="77777777" w:rsidTr="00FA6BF7">
        <w:trPr>
          <w:trHeight w:val="300"/>
        </w:trPr>
        <w:tc>
          <w:tcPr>
            <w:tcW w:w="3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1BC819" w14:textId="77777777" w:rsidR="00771C1E" w:rsidRPr="00736B9A" w:rsidRDefault="00771C1E" w:rsidP="00771C1E">
            <w:pPr>
              <w:spacing w:before="0" w:beforeAutospacing="0" w:after="0" w:afterAutospacing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 w:rsidRPr="00736B9A"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Outros artigos de uso pessoal e doméstico</w:t>
            </w: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829EA" w14:textId="39984C32" w:rsidR="00771C1E" w:rsidRPr="00736B9A" w:rsidRDefault="00771C1E" w:rsidP="00771C1E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color w:val="000000"/>
                <w:sz w:val="20"/>
                <w:szCs w:val="20"/>
              </w:rPr>
              <w:t xml:space="preserve">2,5 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CF71B" w14:textId="5358DA39" w:rsidR="00771C1E" w:rsidRPr="00736B9A" w:rsidRDefault="00771C1E" w:rsidP="00771C1E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color w:val="FF0000"/>
                <w:sz w:val="20"/>
                <w:szCs w:val="20"/>
              </w:rPr>
              <w:t xml:space="preserve">-5,6 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0C5D0" w14:textId="513D2A75" w:rsidR="00771C1E" w:rsidRPr="00736B9A" w:rsidRDefault="00771C1E" w:rsidP="00771C1E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color w:val="000000"/>
                <w:sz w:val="20"/>
                <w:szCs w:val="20"/>
              </w:rPr>
              <w:t xml:space="preserve">0,4 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191E9" w14:textId="40B73E9F" w:rsidR="00771C1E" w:rsidRPr="00736B9A" w:rsidRDefault="00771C1E" w:rsidP="00771C1E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color w:val="FF0000"/>
                <w:sz w:val="20"/>
                <w:szCs w:val="20"/>
              </w:rPr>
              <w:t xml:space="preserve">-8,7 </w:t>
            </w:r>
          </w:p>
        </w:tc>
      </w:tr>
      <w:tr w:rsidR="00771C1E" w:rsidRPr="00736B9A" w14:paraId="4E9BE350" w14:textId="77777777" w:rsidTr="00FA6BF7">
        <w:trPr>
          <w:trHeight w:val="300"/>
        </w:trPr>
        <w:tc>
          <w:tcPr>
            <w:tcW w:w="32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E57D772" w14:textId="77777777" w:rsidR="00771C1E" w:rsidRPr="00736B9A" w:rsidRDefault="00771C1E" w:rsidP="00771C1E">
            <w:pPr>
              <w:spacing w:before="0" w:beforeAutospacing="0" w:after="0" w:afterAutospacing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736B9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  <w:t>Comércio varejista ampliado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F10FA6" w14:textId="4306F569" w:rsidR="00771C1E" w:rsidRPr="00736B9A" w:rsidRDefault="00771C1E" w:rsidP="00771C1E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 xml:space="preserve">-1,5 </w:t>
            </w:r>
          </w:p>
        </w:tc>
        <w:tc>
          <w:tcPr>
            <w:tcW w:w="3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F2280C" w14:textId="42B93FD2" w:rsidR="00771C1E" w:rsidRPr="00736B9A" w:rsidRDefault="00771C1E" w:rsidP="00771C1E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 xml:space="preserve">-5,0 </w:t>
            </w:r>
          </w:p>
        </w:tc>
        <w:tc>
          <w:tcPr>
            <w:tcW w:w="67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F73EE9" w14:textId="35950CF0" w:rsidR="00771C1E" w:rsidRPr="00736B9A" w:rsidRDefault="00771C1E" w:rsidP="00771C1E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 xml:space="preserve">-0,4 </w:t>
            </w:r>
          </w:p>
        </w:tc>
        <w:tc>
          <w:tcPr>
            <w:tcW w:w="35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352F5C" w14:textId="49E90044" w:rsidR="00771C1E" w:rsidRPr="00736B9A" w:rsidRDefault="00771C1E" w:rsidP="00771C1E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 xml:space="preserve">-7,9 </w:t>
            </w:r>
          </w:p>
        </w:tc>
      </w:tr>
      <w:tr w:rsidR="00771C1E" w:rsidRPr="00736B9A" w14:paraId="09953D5F" w14:textId="77777777" w:rsidTr="00FA6BF7">
        <w:trPr>
          <w:trHeight w:val="300"/>
        </w:trPr>
        <w:tc>
          <w:tcPr>
            <w:tcW w:w="3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6C62C5" w14:textId="77777777" w:rsidR="00771C1E" w:rsidRPr="00736B9A" w:rsidRDefault="00771C1E" w:rsidP="00771C1E">
            <w:pPr>
              <w:spacing w:before="0" w:beforeAutospacing="0" w:after="0" w:afterAutospacing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 w:rsidRPr="00736B9A"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Veículos, motocicletas, partes e peças</w:t>
            </w: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5F489" w14:textId="6DD8A68A" w:rsidR="00771C1E" w:rsidRPr="00736B9A" w:rsidRDefault="00771C1E" w:rsidP="00771C1E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color w:val="FF0000"/>
                <w:sz w:val="20"/>
                <w:szCs w:val="20"/>
              </w:rPr>
              <w:t xml:space="preserve">-13,7 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304DC" w14:textId="02287D1D" w:rsidR="00771C1E" w:rsidRPr="00736B9A" w:rsidRDefault="00771C1E" w:rsidP="00771C1E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color w:val="FF0000"/>
                <w:sz w:val="20"/>
                <w:szCs w:val="20"/>
              </w:rPr>
              <w:t xml:space="preserve">-6,6 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E44A4" w14:textId="50CC2941" w:rsidR="00771C1E" w:rsidRPr="00736B9A" w:rsidRDefault="00771C1E" w:rsidP="00771C1E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color w:val="FF0000"/>
                <w:sz w:val="20"/>
                <w:szCs w:val="20"/>
              </w:rPr>
              <w:t xml:space="preserve">-4,4 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BFD74" w14:textId="111CDF7C" w:rsidR="00771C1E" w:rsidRPr="00736B9A" w:rsidRDefault="00771C1E" w:rsidP="00771C1E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color w:val="FF0000"/>
                <w:sz w:val="20"/>
                <w:szCs w:val="20"/>
              </w:rPr>
              <w:t xml:space="preserve">-24,1 </w:t>
            </w:r>
          </w:p>
        </w:tc>
      </w:tr>
      <w:tr w:rsidR="00771C1E" w:rsidRPr="00736B9A" w14:paraId="387089E1" w14:textId="77777777" w:rsidTr="00FA6BF7">
        <w:trPr>
          <w:trHeight w:val="300"/>
        </w:trPr>
        <w:tc>
          <w:tcPr>
            <w:tcW w:w="32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601970" w14:textId="77777777" w:rsidR="00771C1E" w:rsidRPr="00736B9A" w:rsidRDefault="00771C1E" w:rsidP="00771C1E">
            <w:pPr>
              <w:spacing w:before="0" w:beforeAutospacing="0" w:after="0" w:afterAutospacing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 w:rsidRPr="00736B9A"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Material de construção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BCB2CF" w14:textId="3C3F9C8F" w:rsidR="00771C1E" w:rsidRPr="00B70AC4" w:rsidRDefault="00771C1E" w:rsidP="00771C1E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10,8 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246FDD" w14:textId="3374B302" w:rsidR="00771C1E" w:rsidRPr="00B70AC4" w:rsidRDefault="00771C1E" w:rsidP="00771C1E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5,8 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E441C3" w14:textId="7AD40DB2" w:rsidR="00771C1E" w:rsidRPr="00B70AC4" w:rsidRDefault="00771C1E" w:rsidP="00771C1E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3,0 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BB8C76" w14:textId="0A5CA83F" w:rsidR="00771C1E" w:rsidRPr="00B70AC4" w:rsidRDefault="00771C1E" w:rsidP="00771C1E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9,6 </w:t>
            </w:r>
          </w:p>
        </w:tc>
      </w:tr>
    </w:tbl>
    <w:p w14:paraId="281BEDDF" w14:textId="77777777" w:rsidR="000D2D2A" w:rsidRDefault="006F79BA" w:rsidP="000D2D2A">
      <w:pPr>
        <w:pStyle w:val="captiontabela"/>
        <w:spacing w:after="40" w:afterAutospacing="0"/>
      </w:pPr>
      <w:r>
        <w:t xml:space="preserve">Fonte: </w:t>
      </w:r>
      <w:r w:rsidRPr="006F79BA">
        <w:t>IBGE.</w:t>
      </w:r>
      <w:r w:rsidR="000D2D2A">
        <w:t xml:space="preserve"> Elaboração: NUPE/UNIFOR.</w:t>
      </w:r>
      <w:r w:rsidRPr="006F79BA">
        <w:t xml:space="preserve"> </w:t>
      </w:r>
    </w:p>
    <w:p w14:paraId="6B1EEE7C" w14:textId="1896ADBC" w:rsidR="00E539B9" w:rsidRDefault="006F79BA" w:rsidP="008F1378">
      <w:pPr>
        <w:pStyle w:val="captiontabela"/>
      </w:pPr>
      <w:bookmarkStart w:id="1" w:name="_Hlk48735869"/>
      <w:r w:rsidRPr="006F79BA">
        <w:t xml:space="preserve">Nota (1): Variação acumulada de janeiro/2020 a </w:t>
      </w:r>
      <w:r w:rsidR="00604D9F">
        <w:t>dezembro</w:t>
      </w:r>
      <w:r w:rsidRPr="006F79BA">
        <w:t>/2020</w:t>
      </w:r>
      <w:r w:rsidR="000D2D2A">
        <w:t>.</w:t>
      </w:r>
      <w:bookmarkEnd w:id="1"/>
    </w:p>
    <w:p w14:paraId="08887552" w14:textId="2DE17716" w:rsidR="00A57910" w:rsidRDefault="00BC729D" w:rsidP="008A3E71">
      <w:pPr>
        <w:pStyle w:val="Ttulo1"/>
        <w:spacing w:after="360" w:afterAutospacing="0"/>
      </w:pPr>
      <w:r w:rsidRPr="00BC729D">
        <w:lastRenderedPageBreak/>
        <w:t>O MERCADO DE TRABALHO NO BRASIL, NORDESTE E CEARÁ</w:t>
      </w:r>
    </w:p>
    <w:p w14:paraId="3DA25E22" w14:textId="762EAEE0" w:rsidR="00C6398E" w:rsidRPr="00C6398E" w:rsidRDefault="008A3E71" w:rsidP="00C6398E">
      <w:pPr>
        <w:pStyle w:val="Ttulo2"/>
      </w:pPr>
      <w:r>
        <w:t>Pesquisa Nacional por Amostra de Domicílio (PNAD</w:t>
      </w:r>
    </w:p>
    <w:p w14:paraId="56B6474F" w14:textId="41827E89" w:rsidR="00DB6200" w:rsidRDefault="00545BC8" w:rsidP="00DB6200">
      <w:r w:rsidRPr="00545BC8">
        <w:t>A taxa média de desemprego nacional</w:t>
      </w:r>
      <w:r w:rsidR="00640981">
        <w:t xml:space="preserve"> (Tabela 5)</w:t>
      </w:r>
      <w:r w:rsidRPr="00545BC8">
        <w:t xml:space="preserve"> fechou o ano de 2020 em 13,9%, </w:t>
      </w:r>
      <w:r w:rsidR="00635D30">
        <w:t>2</w:t>
      </w:r>
      <w:r w:rsidRPr="00545BC8">
        <w:t>,</w:t>
      </w:r>
      <w:r w:rsidR="00635D30">
        <w:t>9</w:t>
      </w:r>
      <w:r w:rsidRPr="00545BC8">
        <w:t xml:space="preserve"> pontos percentuais acima da taxa registrada em 2019 (11,0%). Comparando o último trimestre do ano com o trimestre imediatamente anterior, a taxa de desemprego retraiu 0,7 </w:t>
      </w:r>
      <w:proofErr w:type="spellStart"/>
      <w:r w:rsidRPr="00545BC8">
        <w:t>p.p</w:t>
      </w:r>
      <w:proofErr w:type="spellEnd"/>
      <w:r w:rsidRPr="00545BC8">
        <w:t>., representando o começo de uma possível reinserção da força de trabalho nas atividades econômicas em face a reabertura da economia. Destaca-se o baixo patamar histórico da taxa de participação na força de trabalho (56,8%), razão entre as pessoas economicamente ativas (PEA) em relação a população em idade ativa (PIA), que em períodos anteriores a pandemia da Covid-19 situava-se em torno de 61,0%, o que contribuiu para que a taxa de desocupação não aumentasse vertiginosamente.</w:t>
      </w:r>
    </w:p>
    <w:p w14:paraId="755CC2DA" w14:textId="0CF526D5" w:rsidR="00AE5D78" w:rsidRDefault="00AE5D78" w:rsidP="00AE5D78">
      <w:pPr>
        <w:pStyle w:val="Legenda"/>
      </w:pPr>
      <w:r w:rsidRPr="000027D4">
        <w:t xml:space="preserve">Tabela 5 - </w:t>
      </w:r>
      <w:r w:rsidR="00D82C84" w:rsidRPr="00D82C84">
        <w:t>Variáveis e taxas trimestrais de emprego e desemprego no Brasil e no Ceará (mil pessoas) – 1º Trimestre de 2020 ao 4º Trimestre de 2020.</w:t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19"/>
        <w:gridCol w:w="725"/>
        <w:gridCol w:w="638"/>
        <w:gridCol w:w="725"/>
        <w:gridCol w:w="638"/>
        <w:gridCol w:w="725"/>
        <w:gridCol w:w="638"/>
        <w:gridCol w:w="725"/>
        <w:gridCol w:w="638"/>
      </w:tblGrid>
      <w:tr w:rsidR="00DC6C77" w:rsidRPr="00976836" w14:paraId="06166469" w14:textId="77777777" w:rsidTr="00976836">
        <w:trPr>
          <w:trHeight w:val="300"/>
        </w:trPr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C9B19CF" w14:textId="77777777" w:rsidR="00185272" w:rsidRPr="00185272" w:rsidRDefault="00185272" w:rsidP="00976836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185272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  <w:t>Variáveis e Taxas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center"/>
            <w:hideMark/>
          </w:tcPr>
          <w:p w14:paraId="653A1B00" w14:textId="02A82A21" w:rsidR="00185272" w:rsidRPr="00185272" w:rsidRDefault="00185272" w:rsidP="00976836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185272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  <w:t>1º T</w:t>
            </w:r>
            <w:r w:rsidRPr="00976836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  <w:t>r</w:t>
            </w:r>
            <w:r w:rsidRPr="00185272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  <w:t>imestre 2020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center"/>
            <w:hideMark/>
          </w:tcPr>
          <w:p w14:paraId="012AB222" w14:textId="77777777" w:rsidR="00185272" w:rsidRPr="00185272" w:rsidRDefault="00185272" w:rsidP="00976836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185272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  <w:t>2º Trimestre 2020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center"/>
            <w:hideMark/>
          </w:tcPr>
          <w:p w14:paraId="5E0081BD" w14:textId="77777777" w:rsidR="00185272" w:rsidRPr="00185272" w:rsidRDefault="00185272" w:rsidP="00976836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185272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  <w:t>3º Trimestre 2020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47E2320" w14:textId="77777777" w:rsidR="00185272" w:rsidRPr="00185272" w:rsidRDefault="00185272" w:rsidP="00976836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185272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  <w:t>4º Trimestre 2020</w:t>
            </w:r>
          </w:p>
        </w:tc>
      </w:tr>
      <w:tr w:rsidR="00DC6C77" w:rsidRPr="00976836" w14:paraId="4BCB5780" w14:textId="77777777" w:rsidTr="00976836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16C532" w14:textId="77777777" w:rsidR="00976836" w:rsidRPr="00185272" w:rsidRDefault="00976836" w:rsidP="00976836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897D9B8" w14:textId="012D76BE" w:rsidR="00976836" w:rsidRPr="00185272" w:rsidRDefault="00976836" w:rsidP="00976836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976836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  <w:t>BR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488376C" w14:textId="0A8A5480" w:rsidR="00976836" w:rsidRPr="00185272" w:rsidRDefault="00976836" w:rsidP="00976836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976836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  <w:t>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8C2D9F7" w14:textId="2702B0CC" w:rsidR="00976836" w:rsidRPr="00185272" w:rsidRDefault="00976836" w:rsidP="00976836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976836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  <w:t>BR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630A741" w14:textId="555BD3B0" w:rsidR="00976836" w:rsidRPr="00185272" w:rsidRDefault="00976836" w:rsidP="00976836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976836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  <w:t>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38D503D" w14:textId="06C02F7B" w:rsidR="00976836" w:rsidRPr="00185272" w:rsidRDefault="00976836" w:rsidP="00976836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976836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  <w:t>BR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F4C1618" w14:textId="526E3571" w:rsidR="00976836" w:rsidRPr="00185272" w:rsidRDefault="00976836" w:rsidP="00976836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976836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  <w:t>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4F859B4" w14:textId="0036EE91" w:rsidR="00976836" w:rsidRPr="00185272" w:rsidRDefault="00976836" w:rsidP="00976836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976836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  <w:t>BR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6963712" w14:textId="5CD0E893" w:rsidR="00976836" w:rsidRPr="00185272" w:rsidRDefault="00976836" w:rsidP="00976836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976836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  <w:t>CE</w:t>
            </w:r>
          </w:p>
        </w:tc>
      </w:tr>
      <w:tr w:rsidR="00DC6C77" w:rsidRPr="00976836" w14:paraId="0AA45A1B" w14:textId="77777777" w:rsidTr="0097683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8988C" w14:textId="77777777" w:rsidR="00185272" w:rsidRPr="00185272" w:rsidRDefault="00185272" w:rsidP="00DC6C77">
            <w:pPr>
              <w:spacing w:before="40" w:beforeAutospacing="0" w:after="40" w:afterAutospacing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 w:rsidRPr="00185272"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PIA (PEA + PNEA)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124E7" w14:textId="037FE7D7" w:rsidR="00185272" w:rsidRPr="00185272" w:rsidRDefault="00185272" w:rsidP="00DC6C77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 w:rsidRPr="00185272"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172.354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176ED" w14:textId="2C33D975" w:rsidR="00185272" w:rsidRPr="00185272" w:rsidRDefault="00185272" w:rsidP="00DC6C77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 w:rsidRPr="00185272"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7.447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C471B" w14:textId="571EE4BB" w:rsidR="00185272" w:rsidRPr="00185272" w:rsidRDefault="00185272" w:rsidP="00DC6C77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 w:rsidRPr="00185272"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173.918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08496" w14:textId="5D5BF176" w:rsidR="00185272" w:rsidRPr="00185272" w:rsidRDefault="00185272" w:rsidP="00DC6C77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 w:rsidRPr="00185272"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7.485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B6E05" w14:textId="7B10CC79" w:rsidR="00185272" w:rsidRPr="00185272" w:rsidRDefault="00185272" w:rsidP="00DC6C77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 w:rsidRPr="00185272"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175.121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895A6" w14:textId="4F7F7989" w:rsidR="00185272" w:rsidRPr="00185272" w:rsidRDefault="00185272" w:rsidP="00DC6C77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 w:rsidRPr="00185272"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7.534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1E75B" w14:textId="3C7C6929" w:rsidR="00185272" w:rsidRPr="00185272" w:rsidRDefault="00185272" w:rsidP="00DC6C77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 w:rsidRPr="00185272"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176.362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57708" w14:textId="6DBDBA15" w:rsidR="00185272" w:rsidRPr="00185272" w:rsidRDefault="00185272" w:rsidP="00DC6C77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 w:rsidRPr="00185272"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7.620</w:t>
            </w:r>
          </w:p>
        </w:tc>
      </w:tr>
      <w:tr w:rsidR="00DC6C77" w:rsidRPr="00976836" w14:paraId="25D3F67D" w14:textId="77777777" w:rsidTr="0097683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17C5F" w14:textId="77777777" w:rsidR="00185272" w:rsidRPr="00185272" w:rsidRDefault="00185272" w:rsidP="00DC6C77">
            <w:pPr>
              <w:spacing w:before="40" w:beforeAutospacing="0" w:after="40" w:afterAutospacing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 w:rsidRPr="00185272"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PNEA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D3C0D" w14:textId="56C5E43A" w:rsidR="00185272" w:rsidRPr="00185272" w:rsidRDefault="00185272" w:rsidP="00DC6C77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 w:rsidRPr="00185272"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67.281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59C03" w14:textId="7D29EBAE" w:rsidR="00185272" w:rsidRPr="00185272" w:rsidRDefault="00185272" w:rsidP="00DC6C77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 w:rsidRPr="00185272"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3.342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ED80A" w14:textId="539FFD2C" w:rsidR="00185272" w:rsidRPr="00185272" w:rsidRDefault="00185272" w:rsidP="00DC6C77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 w:rsidRPr="00185272"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77.781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2ACE8" w14:textId="60855E80" w:rsidR="00185272" w:rsidRPr="00185272" w:rsidRDefault="00185272" w:rsidP="00DC6C77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 w:rsidRPr="00185272"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3.916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01FBD" w14:textId="195FA1E4" w:rsidR="00185272" w:rsidRPr="00185272" w:rsidRDefault="00185272" w:rsidP="00DC6C77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 w:rsidRPr="00185272"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78.565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E8AB3" w14:textId="1636434D" w:rsidR="00185272" w:rsidRPr="00185272" w:rsidRDefault="00185272" w:rsidP="00DC6C77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 w:rsidRPr="00185272"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3.965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BC461" w14:textId="0C81299F" w:rsidR="00185272" w:rsidRPr="00185272" w:rsidRDefault="00185272" w:rsidP="00DC6C77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 w:rsidRPr="00185272"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76.258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97E6E" w14:textId="2683784D" w:rsidR="00185272" w:rsidRPr="00185272" w:rsidRDefault="00185272" w:rsidP="00DC6C77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 w:rsidRPr="00185272"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3.812</w:t>
            </w:r>
          </w:p>
        </w:tc>
      </w:tr>
      <w:tr w:rsidR="00DC6C77" w:rsidRPr="00976836" w14:paraId="01DB23DD" w14:textId="77777777" w:rsidTr="0097683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A3D98C" w14:textId="77777777" w:rsidR="00185272" w:rsidRPr="00185272" w:rsidRDefault="00185272" w:rsidP="00DC6C77">
            <w:pPr>
              <w:spacing w:before="40" w:beforeAutospacing="0" w:after="40" w:afterAutospacing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 w:rsidRPr="00185272"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PEA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DDBC47" w14:textId="62DC56A7" w:rsidR="00185272" w:rsidRPr="00185272" w:rsidRDefault="00185272" w:rsidP="00DC6C77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 w:rsidRPr="00185272"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105.073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8CE9A0" w14:textId="0CE7E429" w:rsidR="00185272" w:rsidRPr="00185272" w:rsidRDefault="00185272" w:rsidP="00DC6C77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 w:rsidRPr="00185272"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4.106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EB864E" w14:textId="2CEE1B42" w:rsidR="00185272" w:rsidRPr="00185272" w:rsidRDefault="00185272" w:rsidP="00DC6C77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 w:rsidRPr="00185272"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96.138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8C1662" w14:textId="039676B2" w:rsidR="00185272" w:rsidRPr="00185272" w:rsidRDefault="00185272" w:rsidP="00DC6C77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 w:rsidRPr="00185272"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3.569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438259" w14:textId="3F70CD4E" w:rsidR="00185272" w:rsidRPr="00185272" w:rsidRDefault="00185272" w:rsidP="00DC6C77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 w:rsidRPr="00185272"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96.556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EC5485" w14:textId="1FE2785A" w:rsidR="00185272" w:rsidRPr="00185272" w:rsidRDefault="00185272" w:rsidP="00DC6C77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 w:rsidRPr="00185272"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3.569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733108" w14:textId="1C527850" w:rsidR="00185272" w:rsidRPr="00185272" w:rsidRDefault="00185272" w:rsidP="00DC6C77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 w:rsidRPr="00185272"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100.104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2CDB06" w14:textId="442FEC34" w:rsidR="00185272" w:rsidRPr="00185272" w:rsidRDefault="00185272" w:rsidP="00DC6C77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 w:rsidRPr="00185272"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3.808</w:t>
            </w:r>
          </w:p>
        </w:tc>
      </w:tr>
      <w:tr w:rsidR="00DC6C77" w:rsidRPr="00976836" w14:paraId="19D48EBF" w14:textId="77777777" w:rsidTr="00976836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FB8EFB" w14:textId="795F8A8F" w:rsidR="00185272" w:rsidRPr="00185272" w:rsidRDefault="00976836" w:rsidP="00DC6C77">
            <w:pPr>
              <w:spacing w:before="40" w:beforeAutospacing="0" w:after="40" w:afterAutospacing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 xml:space="preserve">   </w:t>
            </w:r>
            <w:r w:rsidR="00185272" w:rsidRPr="00185272"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PO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A907C8" w14:textId="7ECBCF66" w:rsidR="00185272" w:rsidRPr="00185272" w:rsidRDefault="00185272" w:rsidP="00DC6C77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 w:rsidRPr="00185272"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92.223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9C50E9" w14:textId="1CA751C3" w:rsidR="00185272" w:rsidRPr="00185272" w:rsidRDefault="00185272" w:rsidP="00DC6C77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 w:rsidRPr="00185272"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3.609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D8B889" w14:textId="2A5BA982" w:rsidR="00185272" w:rsidRPr="00185272" w:rsidRDefault="00185272" w:rsidP="00DC6C77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 w:rsidRPr="00185272"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83.347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2C3AF4" w14:textId="46B03547" w:rsidR="00185272" w:rsidRPr="00185272" w:rsidRDefault="00185272" w:rsidP="00DC6C77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 w:rsidRPr="00185272"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3.138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DEA505" w14:textId="1495FD6B" w:rsidR="00185272" w:rsidRPr="00185272" w:rsidRDefault="00185272" w:rsidP="00DC6C77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 w:rsidRPr="00185272"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82.464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6D6665" w14:textId="63D37869" w:rsidR="00185272" w:rsidRPr="00185272" w:rsidRDefault="00185272" w:rsidP="00DC6C77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 w:rsidRPr="00185272"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3.068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FDDF4C" w14:textId="409AF170" w:rsidR="00185272" w:rsidRPr="00185272" w:rsidRDefault="00185272" w:rsidP="00DC6C77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 w:rsidRPr="00185272"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86.179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6C3FB2" w14:textId="44A540D3" w:rsidR="00185272" w:rsidRPr="00185272" w:rsidRDefault="00185272" w:rsidP="00DC6C77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 w:rsidRPr="00185272"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3.260</w:t>
            </w:r>
          </w:p>
        </w:tc>
      </w:tr>
      <w:tr w:rsidR="00DC6C77" w:rsidRPr="00976836" w14:paraId="0B2FCFE1" w14:textId="77777777" w:rsidTr="00976836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4EB44" w14:textId="3A5DD61C" w:rsidR="00185272" w:rsidRPr="00185272" w:rsidRDefault="00976836" w:rsidP="00DC6C77">
            <w:pPr>
              <w:spacing w:before="40" w:beforeAutospacing="0" w:after="40" w:afterAutospacing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 w:rsidRPr="001577B2"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 xml:space="preserve">       </w:t>
            </w:r>
            <w:r w:rsidR="00185272" w:rsidRPr="00185272"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Na informalidade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233D2" w14:textId="37256D54" w:rsidR="00185272" w:rsidRPr="00185272" w:rsidRDefault="00185272" w:rsidP="00DC6C77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 w:rsidRPr="00185272"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36.806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AC7E5" w14:textId="7B9730EF" w:rsidR="00185272" w:rsidRPr="00185272" w:rsidRDefault="00185272" w:rsidP="00DC6C77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 w:rsidRPr="00185272"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1.942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37668" w14:textId="3122D03E" w:rsidR="00185272" w:rsidRPr="00185272" w:rsidRDefault="00185272" w:rsidP="00DC6C77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 w:rsidRPr="00185272"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30.768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41EE" w14:textId="30F081A7" w:rsidR="00185272" w:rsidRPr="00185272" w:rsidRDefault="00185272" w:rsidP="00DC6C77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 w:rsidRPr="00185272"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1.539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8329B" w14:textId="4ECB1D36" w:rsidR="00185272" w:rsidRPr="00185272" w:rsidRDefault="00185272" w:rsidP="00DC6C77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 w:rsidRPr="00185272"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31.638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A5AC6" w14:textId="06174181" w:rsidR="00185272" w:rsidRPr="00185272" w:rsidRDefault="00185272" w:rsidP="00DC6C77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 w:rsidRPr="00185272"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1.601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1812" w14:textId="26856ACD" w:rsidR="00185272" w:rsidRPr="00185272" w:rsidRDefault="00185272" w:rsidP="00DC6C77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 w:rsidRPr="00185272"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34.029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D68F1" w14:textId="41CF7E72" w:rsidR="00185272" w:rsidRPr="00185272" w:rsidRDefault="00185272" w:rsidP="00DC6C77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 w:rsidRPr="00185272"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1.726</w:t>
            </w:r>
          </w:p>
        </w:tc>
      </w:tr>
      <w:tr w:rsidR="00DC6C77" w:rsidRPr="00976836" w14:paraId="06F7EE4D" w14:textId="77777777" w:rsidTr="001577B2">
        <w:trPr>
          <w:trHeight w:val="300"/>
        </w:trPr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46948C" w14:textId="547A03BC" w:rsidR="00185272" w:rsidRPr="00185272" w:rsidRDefault="00976836" w:rsidP="00DC6C77">
            <w:pPr>
              <w:spacing w:before="40" w:beforeAutospacing="0" w:after="40" w:afterAutospacing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1577B2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  <w:t xml:space="preserve">    </w:t>
            </w:r>
            <w:r w:rsidR="001577B2" w:rsidRPr="001577B2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  <w:t xml:space="preserve">   </w:t>
            </w:r>
            <w:r w:rsidR="00185272" w:rsidRPr="00185272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  <w:t>Taxa de Informalidade (%)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BDA655" w14:textId="77777777" w:rsidR="00185272" w:rsidRPr="00185272" w:rsidRDefault="00185272" w:rsidP="00DC6C77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185272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  <w:t>39,9%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A3052A" w14:textId="77777777" w:rsidR="00185272" w:rsidRPr="00185272" w:rsidRDefault="00185272" w:rsidP="00DC6C77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185272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  <w:t>53,8%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09E085" w14:textId="77777777" w:rsidR="00185272" w:rsidRPr="00185272" w:rsidRDefault="00185272" w:rsidP="00DC6C77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185272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  <w:t>36,9%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F713FF" w14:textId="77777777" w:rsidR="00185272" w:rsidRPr="00185272" w:rsidRDefault="00185272" w:rsidP="00DC6C77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185272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  <w:t>49,0%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C71AFD" w14:textId="77777777" w:rsidR="00185272" w:rsidRPr="00185272" w:rsidRDefault="00185272" w:rsidP="00DC6C77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185272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  <w:t>38,4%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6357C4" w14:textId="77777777" w:rsidR="00185272" w:rsidRPr="00185272" w:rsidRDefault="00185272" w:rsidP="00DC6C77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185272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  <w:t>52,2%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2ADDC8" w14:textId="77777777" w:rsidR="00185272" w:rsidRPr="00185272" w:rsidRDefault="00185272" w:rsidP="00DC6C77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185272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  <w:t>39,5%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8B2ADB" w14:textId="77777777" w:rsidR="00185272" w:rsidRPr="00185272" w:rsidRDefault="00185272" w:rsidP="00DC6C77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185272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  <w:t>52,9%</w:t>
            </w:r>
          </w:p>
        </w:tc>
      </w:tr>
      <w:tr w:rsidR="00DC6C77" w:rsidRPr="00976836" w14:paraId="154C0C15" w14:textId="77777777" w:rsidTr="001577B2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7DB22C" w14:textId="510EA8BE" w:rsidR="00185272" w:rsidRPr="00185272" w:rsidRDefault="00DC6C77" w:rsidP="00DC6C77">
            <w:pPr>
              <w:spacing w:before="40" w:beforeAutospacing="0" w:after="40" w:afterAutospacing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 xml:space="preserve">   </w:t>
            </w:r>
            <w:r w:rsidR="00185272" w:rsidRPr="00185272"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PD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2936A6" w14:textId="46153CA1" w:rsidR="00185272" w:rsidRPr="00185272" w:rsidRDefault="00185272" w:rsidP="00DC6C77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 w:rsidRPr="00185272"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12.850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22511A" w14:textId="6AA82CB0" w:rsidR="00185272" w:rsidRPr="00185272" w:rsidRDefault="00185272" w:rsidP="00DC6C77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 w:rsidRPr="00185272"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496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8E2145" w14:textId="094F37F7" w:rsidR="00185272" w:rsidRPr="00185272" w:rsidRDefault="00185272" w:rsidP="00DC6C77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 w:rsidRPr="00185272"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12.791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9F3133" w14:textId="2ED6C70D" w:rsidR="00185272" w:rsidRPr="00185272" w:rsidRDefault="00185272" w:rsidP="00DC6C77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 w:rsidRPr="00185272"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431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2F6944" w14:textId="708BD5AD" w:rsidR="00185272" w:rsidRPr="00185272" w:rsidRDefault="00185272" w:rsidP="00DC6C77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 w:rsidRPr="00185272"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14.092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E61360" w14:textId="3FAF1C96" w:rsidR="00185272" w:rsidRPr="00185272" w:rsidRDefault="00185272" w:rsidP="00DC6C77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 w:rsidRPr="00185272"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502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81E9CB" w14:textId="5E8AD156" w:rsidR="00185272" w:rsidRPr="00185272" w:rsidRDefault="00185272" w:rsidP="00DC6C77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 w:rsidRPr="00185272"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13.925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F2F920" w14:textId="70D8DEB7" w:rsidR="00185272" w:rsidRPr="00185272" w:rsidRDefault="00185272" w:rsidP="00DC6C77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 w:rsidRPr="00185272"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549</w:t>
            </w:r>
          </w:p>
        </w:tc>
      </w:tr>
      <w:tr w:rsidR="00DC6C77" w:rsidRPr="00976836" w14:paraId="371E5978" w14:textId="77777777" w:rsidTr="001577B2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831BC" w14:textId="4F934ACD" w:rsidR="00185272" w:rsidRPr="00185272" w:rsidRDefault="00185272" w:rsidP="00DC6C77">
            <w:pPr>
              <w:spacing w:before="40" w:beforeAutospacing="0" w:after="40" w:afterAutospacing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185272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  <w:t>Taxa de atividade ou de participação</w:t>
            </w:r>
            <w:r w:rsidR="00DC6C7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  <w:t xml:space="preserve"> </w:t>
            </w:r>
            <w:r w:rsidRPr="00185272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  <w:t>(PEA/PIA) 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8C44D" w14:textId="77777777" w:rsidR="00185272" w:rsidRPr="00185272" w:rsidRDefault="00185272" w:rsidP="00DC6C77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185272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  <w:t>61,0%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F90FF" w14:textId="77777777" w:rsidR="00185272" w:rsidRPr="00185272" w:rsidRDefault="00185272" w:rsidP="00DC6C77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185272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  <w:t>55,1%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A4400" w14:textId="77777777" w:rsidR="00185272" w:rsidRPr="00185272" w:rsidRDefault="00185272" w:rsidP="00DC6C77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185272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  <w:t>55,3%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FAB22" w14:textId="77777777" w:rsidR="00185272" w:rsidRPr="00185272" w:rsidRDefault="00185272" w:rsidP="00DC6C77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185272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  <w:t>47,7%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53036" w14:textId="77777777" w:rsidR="00185272" w:rsidRPr="00185272" w:rsidRDefault="00185272" w:rsidP="00DC6C77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185272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  <w:t>55,1%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760EF" w14:textId="77777777" w:rsidR="00185272" w:rsidRPr="00185272" w:rsidRDefault="00185272" w:rsidP="00DC6C77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185272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  <w:t>47,4%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7814" w14:textId="77777777" w:rsidR="00185272" w:rsidRPr="00185272" w:rsidRDefault="00185272" w:rsidP="00DC6C77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185272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  <w:t>56,8%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18D80" w14:textId="77777777" w:rsidR="00185272" w:rsidRPr="00185272" w:rsidRDefault="00185272" w:rsidP="00DC6C77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185272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  <w:t>50,0%</w:t>
            </w:r>
          </w:p>
        </w:tc>
      </w:tr>
      <w:tr w:rsidR="00DC6C77" w:rsidRPr="00976836" w14:paraId="7B4FA07F" w14:textId="77777777" w:rsidTr="00976836">
        <w:trPr>
          <w:trHeight w:val="300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B0EA3" w14:textId="77777777" w:rsidR="00185272" w:rsidRPr="00185272" w:rsidRDefault="00185272" w:rsidP="00DC6C77">
            <w:pPr>
              <w:spacing w:before="40" w:beforeAutospacing="0" w:after="40" w:afterAutospacing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 w:rsidRPr="00185272"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Nível da ocupação (PO/PIA) %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D45FB" w14:textId="77777777" w:rsidR="00185272" w:rsidRPr="00185272" w:rsidRDefault="00185272" w:rsidP="00DC6C77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 w:rsidRPr="00185272"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53,5%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25B98" w14:textId="77777777" w:rsidR="00185272" w:rsidRPr="00185272" w:rsidRDefault="00185272" w:rsidP="00DC6C77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 w:rsidRPr="00185272"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48,5%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08C8B" w14:textId="77777777" w:rsidR="00185272" w:rsidRPr="00185272" w:rsidRDefault="00185272" w:rsidP="00DC6C77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 w:rsidRPr="00185272"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47,9%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C7E6C" w14:textId="77777777" w:rsidR="00185272" w:rsidRPr="00185272" w:rsidRDefault="00185272" w:rsidP="00DC6C77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 w:rsidRPr="00185272"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41,9%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ACB7A" w14:textId="77777777" w:rsidR="00185272" w:rsidRPr="00185272" w:rsidRDefault="00185272" w:rsidP="00DC6C77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 w:rsidRPr="00185272"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47,1%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CE3C8" w14:textId="77777777" w:rsidR="00185272" w:rsidRPr="00185272" w:rsidRDefault="00185272" w:rsidP="00DC6C77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 w:rsidRPr="00185272"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40,7%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B4F0B" w14:textId="77777777" w:rsidR="00185272" w:rsidRPr="00185272" w:rsidRDefault="00185272" w:rsidP="00DC6C77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 w:rsidRPr="00185272"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48,9%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4153D" w14:textId="77777777" w:rsidR="00185272" w:rsidRPr="00185272" w:rsidRDefault="00185272" w:rsidP="00DC6C77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 w:rsidRPr="00185272"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42,8%</w:t>
            </w:r>
          </w:p>
        </w:tc>
      </w:tr>
      <w:tr w:rsidR="00DC6C77" w:rsidRPr="00976836" w14:paraId="2CF8216D" w14:textId="77777777" w:rsidTr="0097683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CD1216" w14:textId="77777777" w:rsidR="00185272" w:rsidRPr="00185272" w:rsidRDefault="00185272" w:rsidP="00DC6C77">
            <w:pPr>
              <w:spacing w:before="40" w:beforeAutospacing="0" w:after="40" w:afterAutospacing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 w:rsidRPr="00185272"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Taxa de desemprego (PD/PEA)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3BA9D7" w14:textId="77777777" w:rsidR="00185272" w:rsidRPr="00185272" w:rsidRDefault="00185272" w:rsidP="00DC6C77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 w:rsidRPr="00185272"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12,2%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EF5A66" w14:textId="77777777" w:rsidR="00185272" w:rsidRPr="00185272" w:rsidRDefault="00185272" w:rsidP="00DC6C77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 w:rsidRPr="00185272"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12,1%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6BC4DD" w14:textId="77777777" w:rsidR="00185272" w:rsidRPr="00185272" w:rsidRDefault="00185272" w:rsidP="00DC6C77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 w:rsidRPr="00185272"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13,3%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6C028A" w14:textId="77777777" w:rsidR="00185272" w:rsidRPr="00185272" w:rsidRDefault="00185272" w:rsidP="00DC6C77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 w:rsidRPr="00185272"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12,1%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AA4113" w14:textId="77777777" w:rsidR="00185272" w:rsidRPr="00185272" w:rsidRDefault="00185272" w:rsidP="00DC6C77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 w:rsidRPr="00185272"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14,6%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8F40AD" w14:textId="77777777" w:rsidR="00185272" w:rsidRPr="00185272" w:rsidRDefault="00185272" w:rsidP="00DC6C77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 w:rsidRPr="00185272"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14,1%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B137B0" w14:textId="77777777" w:rsidR="00185272" w:rsidRPr="00185272" w:rsidRDefault="00185272" w:rsidP="00DC6C77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 w:rsidRPr="00185272"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13,9%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B24B1B" w14:textId="77777777" w:rsidR="00185272" w:rsidRPr="00185272" w:rsidRDefault="00185272" w:rsidP="00DC6C77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 w:rsidRPr="00185272"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14,4%</w:t>
            </w:r>
          </w:p>
        </w:tc>
      </w:tr>
    </w:tbl>
    <w:p w14:paraId="007690ED" w14:textId="77777777" w:rsidR="009D1E17" w:rsidRPr="009D1E17" w:rsidRDefault="009D1E17" w:rsidP="009D1E17">
      <w:pPr>
        <w:spacing w:before="40" w:beforeAutospacing="0" w:after="80" w:afterAutospacing="0" w:line="240" w:lineRule="auto"/>
        <w:ind w:firstLine="0"/>
        <w:rPr>
          <w:rFonts w:eastAsia="NSimSun" w:cs="Arial"/>
          <w:kern w:val="2"/>
          <w:sz w:val="18"/>
          <w:szCs w:val="24"/>
          <w:lang w:eastAsia="zh-CN" w:bidi="hi-IN"/>
        </w:rPr>
      </w:pPr>
      <w:r w:rsidRPr="009D1E17">
        <w:rPr>
          <w:rFonts w:eastAsia="NSimSun" w:cs="Arial"/>
          <w:kern w:val="2"/>
          <w:sz w:val="18"/>
          <w:szCs w:val="24"/>
          <w:lang w:eastAsia="zh-CN" w:bidi="hi-IN"/>
        </w:rPr>
        <w:t>Fonte: PNAD Covid / IBGE. Elaboração: NUPE/UNIFOR.</w:t>
      </w:r>
    </w:p>
    <w:p w14:paraId="5FA28793" w14:textId="77777777" w:rsidR="009D1E17" w:rsidRPr="009D1E17" w:rsidRDefault="009D1E17" w:rsidP="009D1E17">
      <w:pPr>
        <w:spacing w:before="40" w:beforeAutospacing="0" w:after="80" w:afterAutospacing="0" w:line="240" w:lineRule="auto"/>
        <w:ind w:firstLine="0"/>
        <w:rPr>
          <w:rFonts w:eastAsia="NSimSun" w:cs="Arial"/>
          <w:kern w:val="2"/>
          <w:sz w:val="18"/>
          <w:szCs w:val="24"/>
          <w:lang w:eastAsia="zh-CN" w:bidi="hi-IN"/>
        </w:rPr>
      </w:pPr>
      <w:r w:rsidRPr="009D1E17">
        <w:rPr>
          <w:rFonts w:eastAsia="NSimSun" w:cs="Arial"/>
          <w:b/>
          <w:bCs/>
          <w:kern w:val="2"/>
          <w:sz w:val="18"/>
          <w:szCs w:val="24"/>
          <w:lang w:eastAsia="zh-CN" w:bidi="hi-IN"/>
        </w:rPr>
        <w:t>PIA</w:t>
      </w:r>
      <w:r w:rsidRPr="009D1E17">
        <w:rPr>
          <w:rFonts w:eastAsia="NSimSun" w:cs="Arial"/>
          <w:kern w:val="2"/>
          <w:sz w:val="18"/>
          <w:szCs w:val="24"/>
          <w:lang w:eastAsia="zh-CN" w:bidi="hi-IN"/>
        </w:rPr>
        <w:t>: População em idade ativa;</w:t>
      </w:r>
    </w:p>
    <w:p w14:paraId="7937FB11" w14:textId="77777777" w:rsidR="009D1E17" w:rsidRPr="009D1E17" w:rsidRDefault="009D1E17" w:rsidP="009D1E17">
      <w:pPr>
        <w:spacing w:before="40" w:beforeAutospacing="0" w:after="80" w:afterAutospacing="0" w:line="240" w:lineRule="auto"/>
        <w:ind w:firstLine="0"/>
        <w:rPr>
          <w:rFonts w:eastAsia="NSimSun" w:cs="Arial"/>
          <w:kern w:val="2"/>
          <w:sz w:val="18"/>
          <w:szCs w:val="24"/>
          <w:lang w:eastAsia="zh-CN" w:bidi="hi-IN"/>
        </w:rPr>
      </w:pPr>
      <w:r w:rsidRPr="009D1E17">
        <w:rPr>
          <w:rFonts w:eastAsia="NSimSun" w:cs="Arial"/>
          <w:b/>
          <w:bCs/>
          <w:kern w:val="2"/>
          <w:sz w:val="18"/>
          <w:szCs w:val="24"/>
          <w:lang w:eastAsia="zh-CN" w:bidi="hi-IN"/>
        </w:rPr>
        <w:t>PNEA</w:t>
      </w:r>
      <w:r w:rsidRPr="009D1E17">
        <w:rPr>
          <w:rFonts w:eastAsia="NSimSun" w:cs="Arial"/>
          <w:kern w:val="2"/>
          <w:sz w:val="18"/>
          <w:szCs w:val="24"/>
          <w:lang w:eastAsia="zh-CN" w:bidi="hi-IN"/>
        </w:rPr>
        <w:t>: População não-economicamente ativa;</w:t>
      </w:r>
    </w:p>
    <w:p w14:paraId="73A7C51E" w14:textId="77777777" w:rsidR="009D1E17" w:rsidRPr="009D1E17" w:rsidRDefault="009D1E17" w:rsidP="009D1E17">
      <w:pPr>
        <w:spacing w:before="40" w:beforeAutospacing="0" w:after="80" w:afterAutospacing="0" w:line="240" w:lineRule="auto"/>
        <w:ind w:firstLine="0"/>
        <w:rPr>
          <w:rFonts w:eastAsia="NSimSun" w:cs="Arial"/>
          <w:kern w:val="2"/>
          <w:sz w:val="18"/>
          <w:szCs w:val="24"/>
          <w:lang w:eastAsia="zh-CN" w:bidi="hi-IN"/>
        </w:rPr>
      </w:pPr>
      <w:r w:rsidRPr="009D1E17">
        <w:rPr>
          <w:rFonts w:eastAsia="NSimSun" w:cs="Arial"/>
          <w:b/>
          <w:bCs/>
          <w:kern w:val="2"/>
          <w:sz w:val="18"/>
          <w:szCs w:val="24"/>
          <w:lang w:eastAsia="zh-CN" w:bidi="hi-IN"/>
        </w:rPr>
        <w:t>PEA</w:t>
      </w:r>
      <w:r w:rsidRPr="009D1E17">
        <w:rPr>
          <w:rFonts w:eastAsia="NSimSun" w:cs="Arial"/>
          <w:kern w:val="2"/>
          <w:sz w:val="18"/>
          <w:szCs w:val="24"/>
          <w:lang w:eastAsia="zh-CN" w:bidi="hi-IN"/>
        </w:rPr>
        <w:t>: População economicamente ativa;</w:t>
      </w:r>
    </w:p>
    <w:p w14:paraId="0641F92D" w14:textId="77777777" w:rsidR="009D1E17" w:rsidRPr="009D1E17" w:rsidRDefault="009D1E17" w:rsidP="009D1E17">
      <w:pPr>
        <w:spacing w:before="40" w:beforeAutospacing="0" w:after="80" w:afterAutospacing="0" w:line="240" w:lineRule="auto"/>
        <w:ind w:firstLine="0"/>
        <w:rPr>
          <w:rFonts w:eastAsia="NSimSun" w:cs="Arial"/>
          <w:kern w:val="2"/>
          <w:sz w:val="18"/>
          <w:szCs w:val="24"/>
          <w:lang w:eastAsia="zh-CN" w:bidi="hi-IN"/>
        </w:rPr>
      </w:pPr>
      <w:r w:rsidRPr="009D1E17">
        <w:rPr>
          <w:rFonts w:eastAsia="NSimSun" w:cs="Arial"/>
          <w:b/>
          <w:bCs/>
          <w:kern w:val="2"/>
          <w:sz w:val="18"/>
          <w:szCs w:val="24"/>
          <w:lang w:eastAsia="zh-CN" w:bidi="hi-IN"/>
        </w:rPr>
        <w:t>PO</w:t>
      </w:r>
      <w:r w:rsidRPr="009D1E17">
        <w:rPr>
          <w:rFonts w:eastAsia="NSimSun" w:cs="Arial"/>
          <w:kern w:val="2"/>
          <w:sz w:val="18"/>
          <w:szCs w:val="24"/>
          <w:lang w:eastAsia="zh-CN" w:bidi="hi-IN"/>
        </w:rPr>
        <w:t>: População ocupada;</w:t>
      </w:r>
    </w:p>
    <w:p w14:paraId="51F2785F" w14:textId="0F75ACE9" w:rsidR="009D1E17" w:rsidRDefault="009D1E17" w:rsidP="009D1E17">
      <w:pPr>
        <w:spacing w:before="40" w:beforeAutospacing="0" w:after="80" w:afterAutospacing="0" w:line="240" w:lineRule="auto"/>
        <w:ind w:firstLine="0"/>
        <w:rPr>
          <w:rFonts w:eastAsia="NSimSun" w:cs="Arial"/>
          <w:kern w:val="2"/>
          <w:sz w:val="18"/>
          <w:szCs w:val="24"/>
          <w:lang w:eastAsia="zh-CN" w:bidi="hi-IN"/>
        </w:rPr>
      </w:pPr>
      <w:r w:rsidRPr="009D1E17">
        <w:rPr>
          <w:rFonts w:eastAsia="NSimSun" w:cs="Arial"/>
          <w:b/>
          <w:bCs/>
          <w:kern w:val="2"/>
          <w:sz w:val="18"/>
          <w:szCs w:val="24"/>
          <w:lang w:eastAsia="zh-CN" w:bidi="hi-IN"/>
        </w:rPr>
        <w:t>PD</w:t>
      </w:r>
      <w:r w:rsidRPr="009D1E17">
        <w:rPr>
          <w:rFonts w:eastAsia="NSimSun" w:cs="Arial"/>
          <w:kern w:val="2"/>
          <w:sz w:val="18"/>
          <w:szCs w:val="24"/>
          <w:lang w:eastAsia="zh-CN" w:bidi="hi-IN"/>
        </w:rPr>
        <w:t>: População desocupada.</w:t>
      </w:r>
    </w:p>
    <w:p w14:paraId="30771759" w14:textId="77F7C6AD" w:rsidR="009D1E17" w:rsidRDefault="009A3664" w:rsidP="00C11812">
      <w:pPr>
        <w:rPr>
          <w:rFonts w:eastAsia="NSimSun"/>
          <w:lang w:eastAsia="zh-CN" w:bidi="hi-IN"/>
        </w:rPr>
      </w:pPr>
      <w:r w:rsidRPr="009A3664">
        <w:rPr>
          <w:rFonts w:eastAsia="NSimSun"/>
          <w:lang w:eastAsia="zh-CN" w:bidi="hi-IN"/>
        </w:rPr>
        <w:t xml:space="preserve">No Nordeste, o desemprego atingiu 4,09 milhões de trabalhadores (17,2% em relação a força de trabalho). Os estados com as maiores taxas de desemprego em relação ao Nordeste foram Bahia e Alagoas, ambos com 20,0%. Em contraste, Rio Grande do Norte (15,5%), Paraíba (15,1%), Ceará (14,4%), Maranhão (14,4%) e Piauí (12,0%) ficaram abaixo da média </w:t>
      </w:r>
      <w:r w:rsidRPr="009A3664">
        <w:rPr>
          <w:rFonts w:eastAsia="NSimSun"/>
          <w:lang w:eastAsia="zh-CN" w:bidi="hi-IN"/>
        </w:rPr>
        <w:lastRenderedPageBreak/>
        <w:t>regional. No Ceará, vale salientar que 52,9% da população ocupada (1,7 milhão de trabalhadores) é categorizada como informais, sendo este o quarto estado nordestino ficando atrás do Maranhão (60,3%), Piauí (59,1%) e Sergipe (54,7%).</w:t>
      </w:r>
    </w:p>
    <w:p w14:paraId="778DCC10" w14:textId="1448C52B" w:rsidR="008A3E71" w:rsidRPr="009D1E17" w:rsidRDefault="00076FAB" w:rsidP="008A3E71">
      <w:pPr>
        <w:pStyle w:val="Ttulo2"/>
        <w:rPr>
          <w:rFonts w:eastAsia="NSimSun"/>
          <w:lang w:bidi="hi-IN"/>
        </w:rPr>
      </w:pPr>
      <w:r>
        <w:rPr>
          <w:rFonts w:eastAsia="NSimSun"/>
          <w:lang w:bidi="hi-IN"/>
        </w:rPr>
        <w:t>Cadastro Geral de Empregados e Desempregados (CAGED)</w:t>
      </w:r>
    </w:p>
    <w:p w14:paraId="20EBEEE3" w14:textId="2978A67E" w:rsidR="00A276D0" w:rsidRDefault="00A276D0" w:rsidP="00A276D0">
      <w:r>
        <w:t xml:space="preserve">Conforme os dados apresentados pela pesquisa do Cadastro Geral de Empregados e Desempregados (CAGED) em relação às movimentações do mercado de trabalho (Tabela </w:t>
      </w:r>
      <w:r w:rsidR="00AE5D78">
        <w:t>6</w:t>
      </w:r>
      <w:r>
        <w:t>), é possível observar variações negativas no saldo entre o período de março até junho de 2020 em razão do aumento da taxa de desligamento e da queda da taxa de admissão que se deu por conta do isolamento social causado pela pandemia do COVID-19, o que ocasionou em várias empresas tanto evitarem novas contratações, quanto reduzir o quadro de colaboradores diante da nova realidade econômica.</w:t>
      </w:r>
    </w:p>
    <w:p w14:paraId="1638514F" w14:textId="77777777" w:rsidR="00A276D0" w:rsidRDefault="00A276D0" w:rsidP="00A276D0">
      <w:r>
        <w:t xml:space="preserve">Com o decorrer do ano, os resultados dos saldos foram melhorando a medida em que o confinamento social foi reduzindo. A partir do mês de julho os saldos positivos retornaram atingindo o ápice do ano em novembro no Brasil (397,3 mil), em setembro no Nordeste (89,4 mil) e em outubro no Ceará (16,2 mil). Entretanto, em dezembro de 2020 o saldo voltou a apresentar variação negativa no Brasil em decorrência da segunda onda da pandemia. </w:t>
      </w:r>
    </w:p>
    <w:p w14:paraId="37848906" w14:textId="09940B2F" w:rsidR="005952CC" w:rsidRPr="005952CC" w:rsidRDefault="00A276D0" w:rsidP="00A276D0">
      <w:r>
        <w:t>No tocante ao saldo acumulado do ano, nota-se variações tímidas, porém positivas no Brasil (142,7 mil), no Nordeste (34,7 mil) e no Ceará (18,5 mil), o que claramente vai demandar dos governos, políticas econômicas efetivas para estimular a oferta de empregos no mercado de trabalho.</w:t>
      </w:r>
    </w:p>
    <w:p w14:paraId="5CE2B8FE" w14:textId="64ED2F8F" w:rsidR="00572F9B" w:rsidRDefault="000027D4" w:rsidP="00572F9B">
      <w:pPr>
        <w:pStyle w:val="Legenda"/>
      </w:pPr>
      <w:r w:rsidRPr="000027D4">
        <w:t xml:space="preserve">Tabela </w:t>
      </w:r>
      <w:r w:rsidR="00AE5D78">
        <w:t>6</w:t>
      </w:r>
      <w:r w:rsidRPr="000027D4">
        <w:t xml:space="preserve"> - Variáveis e taxas mensais de emprego e desemprego no Brasil e no Ceará (mil pessoas) – </w:t>
      </w:r>
      <w:r w:rsidR="00E6587C">
        <w:t>janeiro</w:t>
      </w:r>
      <w:r w:rsidRPr="000027D4">
        <w:t xml:space="preserve">/2020 a </w:t>
      </w:r>
      <w:r w:rsidR="00E6587C">
        <w:t>dezembro</w:t>
      </w:r>
      <w:r w:rsidRPr="000027D4">
        <w:t>/2020</w:t>
      </w:r>
      <w:r w:rsidR="003F5291" w:rsidRPr="003F5291">
        <w:rPr>
          <w:vertAlign w:val="superscript"/>
        </w:rPr>
        <w:t>1</w:t>
      </w:r>
      <w:r w:rsidR="00806DDD">
        <w:rPr>
          <w:vertAlign w:val="superscript"/>
        </w:rPr>
        <w:t>/</w:t>
      </w:r>
      <w:r w:rsidRPr="000027D4">
        <w:t>.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2"/>
        <w:gridCol w:w="729"/>
        <w:gridCol w:w="812"/>
        <w:gridCol w:w="714"/>
        <w:gridCol w:w="635"/>
        <w:gridCol w:w="729"/>
        <w:gridCol w:w="729"/>
        <w:gridCol w:w="714"/>
        <w:gridCol w:w="635"/>
        <w:gridCol w:w="571"/>
        <w:gridCol w:w="598"/>
        <w:gridCol w:w="635"/>
        <w:gridCol w:w="633"/>
      </w:tblGrid>
      <w:tr w:rsidR="00B70AC4" w:rsidRPr="00B70AC4" w14:paraId="5605FFE8" w14:textId="77777777" w:rsidTr="00B308F0">
        <w:trPr>
          <w:trHeight w:val="300"/>
        </w:trPr>
        <w:tc>
          <w:tcPr>
            <w:tcW w:w="514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F957E15" w14:textId="77777777" w:rsidR="00B70AC4" w:rsidRPr="00B70AC4" w:rsidRDefault="00B70AC4" w:rsidP="00B70AC4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70AC4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pt-BR"/>
              </w:rPr>
              <w:t>Período</w:t>
            </w:r>
          </w:p>
        </w:tc>
        <w:tc>
          <w:tcPr>
            <w:tcW w:w="1593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512EADB" w14:textId="77777777" w:rsidR="00B70AC4" w:rsidRPr="00B70AC4" w:rsidRDefault="00B70AC4" w:rsidP="00B70AC4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70AC4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pt-BR"/>
              </w:rPr>
              <w:t>Brasil</w:t>
            </w:r>
          </w:p>
        </w:tc>
        <w:tc>
          <w:tcPr>
            <w:tcW w:w="154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1C8BDE2" w14:textId="77777777" w:rsidR="00B70AC4" w:rsidRPr="00B70AC4" w:rsidRDefault="00B70AC4" w:rsidP="00B70AC4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70AC4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pt-BR"/>
              </w:rPr>
              <w:t>Nordeste</w:t>
            </w:r>
          </w:p>
        </w:tc>
        <w:tc>
          <w:tcPr>
            <w:tcW w:w="1345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D295747" w14:textId="77777777" w:rsidR="00B70AC4" w:rsidRPr="00B70AC4" w:rsidRDefault="00B70AC4" w:rsidP="00B70AC4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70AC4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pt-BR"/>
              </w:rPr>
              <w:t>Ceará</w:t>
            </w:r>
          </w:p>
        </w:tc>
      </w:tr>
      <w:tr w:rsidR="00B70AC4" w:rsidRPr="00B70AC4" w14:paraId="1B088316" w14:textId="77777777" w:rsidTr="00B308F0">
        <w:trPr>
          <w:trHeight w:val="300"/>
        </w:trPr>
        <w:tc>
          <w:tcPr>
            <w:tcW w:w="514" w:type="pct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73B34" w14:textId="77777777" w:rsidR="00B70AC4" w:rsidRPr="00B70AC4" w:rsidRDefault="00B70AC4" w:rsidP="00B70AC4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4E6FE26" w14:textId="77777777" w:rsidR="00B70AC4" w:rsidRPr="00B70AC4" w:rsidRDefault="00B70AC4" w:rsidP="00B70AC4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70AC4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pt-BR"/>
              </w:rPr>
              <w:t>Adm.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CB0E3D9" w14:textId="77777777" w:rsidR="00B70AC4" w:rsidRPr="00B70AC4" w:rsidRDefault="00B70AC4" w:rsidP="00B70AC4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B70AC4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pt-BR"/>
              </w:rPr>
              <w:t>Deslig</w:t>
            </w:r>
            <w:proofErr w:type="spellEnd"/>
            <w:r w:rsidRPr="00B70AC4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pt-BR"/>
              </w:rPr>
              <w:t>.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921F930" w14:textId="77777777" w:rsidR="00B70AC4" w:rsidRPr="00B70AC4" w:rsidRDefault="00B70AC4" w:rsidP="00B70AC4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B70AC4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pt-BR"/>
              </w:rPr>
              <w:t>Sald</w:t>
            </w:r>
            <w:proofErr w:type="spellEnd"/>
            <w:r w:rsidRPr="00B70AC4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pt-BR"/>
              </w:rPr>
              <w:t>.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7617BEF" w14:textId="77777777" w:rsidR="00B70AC4" w:rsidRPr="00B70AC4" w:rsidRDefault="00B70AC4" w:rsidP="00B70AC4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70AC4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pt-BR"/>
              </w:rPr>
              <w:t>%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DC3CF7" w14:textId="77777777" w:rsidR="00B70AC4" w:rsidRPr="00B70AC4" w:rsidRDefault="00B70AC4" w:rsidP="00B70AC4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70AC4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pt-BR"/>
              </w:rPr>
              <w:t>Adm.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91BB1F6" w14:textId="77777777" w:rsidR="00B70AC4" w:rsidRPr="00B70AC4" w:rsidRDefault="00B70AC4" w:rsidP="00B70AC4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B70AC4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pt-BR"/>
              </w:rPr>
              <w:t>Deslig</w:t>
            </w:r>
            <w:proofErr w:type="spellEnd"/>
            <w:r w:rsidRPr="00B70AC4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pt-BR"/>
              </w:rPr>
              <w:t>.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6870939" w14:textId="77777777" w:rsidR="00B70AC4" w:rsidRPr="00B70AC4" w:rsidRDefault="00B70AC4" w:rsidP="00B70AC4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B70AC4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pt-BR"/>
              </w:rPr>
              <w:t>Sald</w:t>
            </w:r>
            <w:proofErr w:type="spellEnd"/>
            <w:r w:rsidRPr="00B70AC4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pt-BR"/>
              </w:rPr>
              <w:t>.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79CE43" w14:textId="77777777" w:rsidR="00B70AC4" w:rsidRPr="00B70AC4" w:rsidRDefault="00B70AC4" w:rsidP="00B70AC4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70AC4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pt-BR"/>
              </w:rPr>
              <w:t>%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CEAB23D" w14:textId="77777777" w:rsidR="00B70AC4" w:rsidRPr="00B70AC4" w:rsidRDefault="00B70AC4" w:rsidP="00B70AC4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70AC4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pt-BR"/>
              </w:rPr>
              <w:t>Adm.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2C49617" w14:textId="77777777" w:rsidR="00B70AC4" w:rsidRPr="00B70AC4" w:rsidRDefault="00B70AC4" w:rsidP="00B70AC4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B70AC4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pt-BR"/>
              </w:rPr>
              <w:t>Deslig</w:t>
            </w:r>
            <w:proofErr w:type="spellEnd"/>
            <w:r w:rsidRPr="00B70AC4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pt-BR"/>
              </w:rPr>
              <w:t>.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ABED894" w14:textId="77777777" w:rsidR="00B70AC4" w:rsidRPr="00B70AC4" w:rsidRDefault="00B70AC4" w:rsidP="00B70AC4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B70AC4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pt-BR"/>
              </w:rPr>
              <w:t>Sald</w:t>
            </w:r>
            <w:proofErr w:type="spellEnd"/>
            <w:r w:rsidRPr="00B70AC4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pt-BR"/>
              </w:rPr>
              <w:t>.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6A6A6"/>
            <w:noWrap/>
            <w:vAlign w:val="center"/>
            <w:hideMark/>
          </w:tcPr>
          <w:p w14:paraId="06879916" w14:textId="77777777" w:rsidR="00B70AC4" w:rsidRPr="00B70AC4" w:rsidRDefault="00B70AC4" w:rsidP="00B70AC4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70AC4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pt-BR"/>
              </w:rPr>
              <w:t>%</w:t>
            </w:r>
          </w:p>
        </w:tc>
      </w:tr>
      <w:tr w:rsidR="001D6515" w:rsidRPr="00B70AC4" w14:paraId="401A65EA" w14:textId="77777777" w:rsidTr="00B308F0">
        <w:trPr>
          <w:trHeight w:val="300"/>
        </w:trPr>
        <w:tc>
          <w:tcPr>
            <w:tcW w:w="5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9AF45" w14:textId="5E141469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jan</w:t>
            </w:r>
            <w:proofErr w:type="spellEnd"/>
            <w:r>
              <w:rPr>
                <w:color w:val="000000"/>
                <w:sz w:val="16"/>
                <w:szCs w:val="16"/>
              </w:rPr>
              <w:t>/20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5C076" w14:textId="608D1959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000000"/>
                <w:sz w:val="16"/>
                <w:szCs w:val="16"/>
              </w:rPr>
              <w:t>1.504,0</w:t>
            </w: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532E8" w14:textId="20124F83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000000"/>
                <w:sz w:val="16"/>
                <w:szCs w:val="16"/>
              </w:rPr>
              <w:t>1.386,8</w:t>
            </w: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E9F10" w14:textId="798128CE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000000"/>
                <w:sz w:val="16"/>
                <w:szCs w:val="16"/>
              </w:rPr>
              <w:t>117,2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8E5CD" w14:textId="6B076D54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000000"/>
                <w:sz w:val="16"/>
                <w:szCs w:val="16"/>
              </w:rPr>
              <w:t>0,30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4E420" w14:textId="16FA3185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000000"/>
                <w:sz w:val="16"/>
                <w:szCs w:val="16"/>
              </w:rPr>
              <w:t>187,6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0AD2B" w14:textId="174A747D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000000"/>
                <w:sz w:val="16"/>
                <w:szCs w:val="16"/>
              </w:rPr>
              <w:t>191,2</w:t>
            </w: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002BE" w14:textId="1E63A997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FF0000"/>
                <w:sz w:val="16"/>
                <w:szCs w:val="16"/>
              </w:rPr>
              <w:t>-3,6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60EBC" w14:textId="706DD8F3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FF0000"/>
                <w:sz w:val="16"/>
                <w:szCs w:val="16"/>
              </w:rPr>
              <w:t>-0,06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028B9" w14:textId="4128CCFA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000000"/>
                <w:sz w:val="16"/>
                <w:szCs w:val="16"/>
              </w:rPr>
              <w:t>36,7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726A8" w14:textId="554C5F79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000000"/>
                <w:sz w:val="16"/>
                <w:szCs w:val="16"/>
              </w:rPr>
              <w:t>34,3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2F923" w14:textId="6DF777D3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000000"/>
                <w:sz w:val="16"/>
                <w:szCs w:val="16"/>
              </w:rPr>
              <w:t>2,4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C822B" w14:textId="49BCD5CF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000000"/>
                <w:sz w:val="16"/>
                <w:szCs w:val="16"/>
              </w:rPr>
              <w:t>0,21</w:t>
            </w:r>
          </w:p>
        </w:tc>
      </w:tr>
      <w:tr w:rsidR="001D6515" w:rsidRPr="00B70AC4" w14:paraId="3C76EAFB" w14:textId="77777777" w:rsidTr="00B308F0">
        <w:trPr>
          <w:trHeight w:val="300"/>
        </w:trPr>
        <w:tc>
          <w:tcPr>
            <w:tcW w:w="5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A7FC" w14:textId="274CC273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fev</w:t>
            </w:r>
            <w:proofErr w:type="spellEnd"/>
            <w:r>
              <w:rPr>
                <w:color w:val="000000"/>
                <w:sz w:val="16"/>
                <w:szCs w:val="16"/>
              </w:rPr>
              <w:t>/20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D508E" w14:textId="6C633F49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000000"/>
                <w:sz w:val="16"/>
                <w:szCs w:val="16"/>
              </w:rPr>
              <w:t>1.605,4</w:t>
            </w: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8218A" w14:textId="367FD299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000000"/>
                <w:sz w:val="16"/>
                <w:szCs w:val="16"/>
              </w:rPr>
              <w:t>1.380,3</w:t>
            </w: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B8FB0" w14:textId="60BF13D1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000000"/>
                <w:sz w:val="16"/>
                <w:szCs w:val="16"/>
              </w:rPr>
              <w:t>225,1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423A3" w14:textId="1D6829C5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000000"/>
                <w:sz w:val="16"/>
                <w:szCs w:val="16"/>
              </w:rPr>
              <w:t>0,58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7EFBD" w14:textId="4017332C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000000"/>
                <w:sz w:val="16"/>
                <w:szCs w:val="16"/>
              </w:rPr>
              <w:t>191,7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52975" w14:textId="5512F932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000000"/>
                <w:sz w:val="16"/>
                <w:szCs w:val="16"/>
              </w:rPr>
              <w:t>188,7</w:t>
            </w: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45AD3" w14:textId="53EEE7AD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000000"/>
                <w:sz w:val="16"/>
                <w:szCs w:val="16"/>
              </w:rPr>
              <w:t>3,0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D2B17" w14:textId="0F3AC300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000000"/>
                <w:sz w:val="16"/>
                <w:szCs w:val="16"/>
              </w:rPr>
              <w:t>0,05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AF469" w14:textId="5C5780BC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000000"/>
                <w:sz w:val="16"/>
                <w:szCs w:val="16"/>
              </w:rPr>
              <w:t>37,9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F3EEE" w14:textId="23F28CCE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000000"/>
                <w:sz w:val="16"/>
                <w:szCs w:val="16"/>
              </w:rPr>
              <w:t>30,8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E01AE" w14:textId="2B1092E1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000000"/>
                <w:sz w:val="16"/>
                <w:szCs w:val="16"/>
              </w:rPr>
              <w:t>7,1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36C85" w14:textId="35DF85A0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000000"/>
                <w:sz w:val="16"/>
                <w:szCs w:val="16"/>
              </w:rPr>
              <w:t>0,62</w:t>
            </w:r>
          </w:p>
        </w:tc>
      </w:tr>
      <w:tr w:rsidR="001D6515" w:rsidRPr="00B70AC4" w14:paraId="4D1A203E" w14:textId="77777777" w:rsidTr="00B308F0">
        <w:trPr>
          <w:trHeight w:val="300"/>
        </w:trPr>
        <w:tc>
          <w:tcPr>
            <w:tcW w:w="5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16FA8" w14:textId="6F4F67DE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000000"/>
                <w:sz w:val="16"/>
                <w:szCs w:val="16"/>
              </w:rPr>
              <w:t>mar/20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55D04" w14:textId="5B161454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000000"/>
                <w:sz w:val="16"/>
                <w:szCs w:val="16"/>
              </w:rPr>
              <w:t>1.450,0</w:t>
            </w: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E4C40" w14:textId="7916C61C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000000"/>
                <w:sz w:val="16"/>
                <w:szCs w:val="16"/>
              </w:rPr>
              <w:t>1.722,8</w:t>
            </w: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01F60" w14:textId="79BB1A14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FF0000"/>
                <w:sz w:val="16"/>
                <w:szCs w:val="16"/>
              </w:rPr>
              <w:t>-272,8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05D8C" w14:textId="19E45F7D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FF0000"/>
                <w:sz w:val="16"/>
                <w:szCs w:val="16"/>
              </w:rPr>
              <w:t>-0,70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19C20" w14:textId="692FF960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000000"/>
                <w:sz w:val="16"/>
                <w:szCs w:val="16"/>
              </w:rPr>
              <w:t>174,8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F506A" w14:textId="707ED634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000000"/>
                <w:sz w:val="16"/>
                <w:szCs w:val="16"/>
              </w:rPr>
              <w:t>241,7</w:t>
            </w: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CD5B7" w14:textId="4CEC6C2C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FF0000"/>
                <w:sz w:val="16"/>
                <w:szCs w:val="16"/>
              </w:rPr>
              <w:t>-66,9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F93D8" w14:textId="24FEA163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FF0000"/>
                <w:sz w:val="16"/>
                <w:szCs w:val="16"/>
              </w:rPr>
              <w:t>-1,05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6817" w14:textId="57821ECB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000000"/>
                <w:sz w:val="16"/>
                <w:szCs w:val="16"/>
              </w:rPr>
              <w:t>33,6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0EAB0" w14:textId="35E424B1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000000"/>
                <w:sz w:val="16"/>
                <w:szCs w:val="16"/>
              </w:rPr>
              <w:t>40,9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81B7C" w14:textId="0C607711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FF0000"/>
                <w:sz w:val="16"/>
                <w:szCs w:val="16"/>
              </w:rPr>
              <w:t>-7,3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32AB4" w14:textId="6BC475B4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FF0000"/>
                <w:sz w:val="16"/>
                <w:szCs w:val="16"/>
              </w:rPr>
              <w:t>-0,63</w:t>
            </w:r>
          </w:p>
        </w:tc>
      </w:tr>
      <w:tr w:rsidR="001D6515" w:rsidRPr="00B70AC4" w14:paraId="6157ADA3" w14:textId="77777777" w:rsidTr="00B308F0">
        <w:trPr>
          <w:trHeight w:val="300"/>
        </w:trPr>
        <w:tc>
          <w:tcPr>
            <w:tcW w:w="5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3D73E" w14:textId="6AFED8E9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abr</w:t>
            </w:r>
            <w:proofErr w:type="spellEnd"/>
            <w:r>
              <w:rPr>
                <w:color w:val="000000"/>
                <w:sz w:val="16"/>
                <w:szCs w:val="16"/>
              </w:rPr>
              <w:t>/20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554DD" w14:textId="6AE472DF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000000"/>
                <w:sz w:val="16"/>
                <w:szCs w:val="16"/>
              </w:rPr>
              <w:t>650,2</w:t>
            </w: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59F7E" w14:textId="5917D836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000000"/>
                <w:sz w:val="16"/>
                <w:szCs w:val="16"/>
              </w:rPr>
              <w:t>1.601,7</w:t>
            </w: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46C55" w14:textId="02CE6B8F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FF0000"/>
                <w:sz w:val="16"/>
                <w:szCs w:val="16"/>
              </w:rPr>
              <w:t>-951,6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CBE43" w14:textId="4400FB8E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FF0000"/>
                <w:sz w:val="16"/>
                <w:szCs w:val="16"/>
              </w:rPr>
              <w:t>-2,45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F1D3" w14:textId="74BF4FAD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000000"/>
                <w:sz w:val="16"/>
                <w:szCs w:val="16"/>
              </w:rPr>
              <w:t>78,1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8EB30" w14:textId="6A608F90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000000"/>
                <w:sz w:val="16"/>
                <w:szCs w:val="16"/>
              </w:rPr>
              <w:t>225,1</w:t>
            </w: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391D7" w14:textId="157080ED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FF0000"/>
                <w:sz w:val="16"/>
                <w:szCs w:val="16"/>
              </w:rPr>
              <w:t>-146,9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EB341" w14:textId="180EB002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FF0000"/>
                <w:sz w:val="16"/>
                <w:szCs w:val="16"/>
              </w:rPr>
              <w:t>-2,34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FAFC2" w14:textId="06830124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000000"/>
                <w:sz w:val="16"/>
                <w:szCs w:val="16"/>
              </w:rPr>
              <w:t>12,9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69BF0" w14:textId="6ACF6F55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000000"/>
                <w:sz w:val="16"/>
                <w:szCs w:val="16"/>
              </w:rPr>
              <w:t>48,1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926B3" w14:textId="32EF04FE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FF0000"/>
                <w:sz w:val="16"/>
                <w:szCs w:val="16"/>
              </w:rPr>
              <w:t>-35,2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E52B4" w14:textId="169F5A85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FF0000"/>
                <w:sz w:val="16"/>
                <w:szCs w:val="16"/>
              </w:rPr>
              <w:t>-3,07</w:t>
            </w:r>
          </w:p>
        </w:tc>
      </w:tr>
      <w:tr w:rsidR="001D6515" w:rsidRPr="00B70AC4" w14:paraId="45D00A5F" w14:textId="77777777" w:rsidTr="00B308F0">
        <w:trPr>
          <w:trHeight w:val="300"/>
        </w:trPr>
        <w:tc>
          <w:tcPr>
            <w:tcW w:w="5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D35EE" w14:textId="4696FFD5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mai</w:t>
            </w:r>
            <w:proofErr w:type="spellEnd"/>
            <w:r>
              <w:rPr>
                <w:color w:val="000000"/>
                <w:sz w:val="16"/>
                <w:szCs w:val="16"/>
              </w:rPr>
              <w:t>/20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AE4FF" w14:textId="7A605669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000000"/>
                <w:sz w:val="16"/>
                <w:szCs w:val="16"/>
              </w:rPr>
              <w:t>750,0</w:t>
            </w: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FD617" w14:textId="5CDFFFE4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000000"/>
                <w:sz w:val="16"/>
                <w:szCs w:val="16"/>
              </w:rPr>
              <w:t>1.117,2</w:t>
            </w: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506D2" w14:textId="1868B083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FF0000"/>
                <w:sz w:val="16"/>
                <w:szCs w:val="16"/>
              </w:rPr>
              <w:t>-367,2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397A9" w14:textId="03484D89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FF0000"/>
                <w:sz w:val="16"/>
                <w:szCs w:val="16"/>
              </w:rPr>
              <w:t>-0,97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DDB0D" w14:textId="07D3403D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000000"/>
                <w:sz w:val="16"/>
                <w:szCs w:val="16"/>
              </w:rPr>
              <w:t>92,5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96574" w14:textId="4E5411DE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000000"/>
                <w:sz w:val="16"/>
                <w:szCs w:val="16"/>
              </w:rPr>
              <w:t>150,1</w:t>
            </w: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3FD" w14:textId="0A3E5AD8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FF0000"/>
                <w:sz w:val="16"/>
                <w:szCs w:val="16"/>
              </w:rPr>
              <w:t>-57,7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83A5F" w14:textId="152FB590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FF0000"/>
                <w:sz w:val="16"/>
                <w:szCs w:val="16"/>
              </w:rPr>
              <w:t>-0,94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44A11" w14:textId="6255056A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000000"/>
                <w:sz w:val="16"/>
                <w:szCs w:val="16"/>
              </w:rPr>
              <w:t>14,7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A5C2B" w14:textId="72BDA4DF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000000"/>
                <w:sz w:val="16"/>
                <w:szCs w:val="16"/>
              </w:rPr>
              <w:t>25,9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ED055" w14:textId="706AF865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FF0000"/>
                <w:sz w:val="16"/>
                <w:szCs w:val="16"/>
              </w:rPr>
              <w:t>-11,1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B509A" w14:textId="52C81E6C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FF0000"/>
                <w:sz w:val="16"/>
                <w:szCs w:val="16"/>
              </w:rPr>
              <w:t>-1,00</w:t>
            </w:r>
          </w:p>
        </w:tc>
      </w:tr>
      <w:tr w:rsidR="001D6515" w:rsidRPr="00B70AC4" w14:paraId="7407597D" w14:textId="77777777" w:rsidTr="00B308F0">
        <w:trPr>
          <w:trHeight w:val="300"/>
        </w:trPr>
        <w:tc>
          <w:tcPr>
            <w:tcW w:w="5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AC40A" w14:textId="203F5CB6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jun</w:t>
            </w:r>
            <w:proofErr w:type="spellEnd"/>
            <w:r>
              <w:rPr>
                <w:color w:val="000000"/>
                <w:sz w:val="16"/>
                <w:szCs w:val="16"/>
              </w:rPr>
              <w:t>/20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F9231" w14:textId="6243E615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000000"/>
                <w:sz w:val="16"/>
                <w:szCs w:val="16"/>
              </w:rPr>
              <w:t>943,8</w:t>
            </w: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8447B" w14:textId="61DE8D17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000000"/>
                <w:sz w:val="16"/>
                <w:szCs w:val="16"/>
              </w:rPr>
              <w:t>970,4</w:t>
            </w: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804FE" w14:textId="31D7A6EA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FF0000"/>
                <w:sz w:val="16"/>
                <w:szCs w:val="16"/>
              </w:rPr>
              <w:t>-26,6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443BD" w14:textId="392B26A4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FF0000"/>
                <w:sz w:val="16"/>
                <w:szCs w:val="16"/>
              </w:rPr>
              <w:t>-0,07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77DBC" w14:textId="47762DEE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000000"/>
                <w:sz w:val="16"/>
                <w:szCs w:val="16"/>
              </w:rPr>
              <w:t>114,0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F4122" w14:textId="1BCCE0D3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000000"/>
                <w:sz w:val="16"/>
                <w:szCs w:val="16"/>
              </w:rPr>
              <w:t>118,7</w:t>
            </w: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272CB" w14:textId="1DD9BE92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FF0000"/>
                <w:sz w:val="16"/>
                <w:szCs w:val="16"/>
              </w:rPr>
              <w:t>-4,8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AAD7C" w14:textId="45709831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FF0000"/>
                <w:sz w:val="16"/>
                <w:szCs w:val="16"/>
              </w:rPr>
              <w:t>-0,08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E62C9" w14:textId="0B8B6FA3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000000"/>
                <w:sz w:val="16"/>
                <w:szCs w:val="16"/>
              </w:rPr>
              <w:t>19,3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092B6" w14:textId="7F467FE6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000000"/>
                <w:sz w:val="16"/>
                <w:szCs w:val="16"/>
              </w:rPr>
              <w:t>21,9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913DB" w14:textId="4EA5A9E4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FF0000"/>
                <w:sz w:val="16"/>
                <w:szCs w:val="16"/>
              </w:rPr>
              <w:t>-2,6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B73D4" w14:textId="44737C19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FF0000"/>
                <w:sz w:val="16"/>
                <w:szCs w:val="16"/>
              </w:rPr>
              <w:t>-0,23</w:t>
            </w:r>
          </w:p>
        </w:tc>
      </w:tr>
      <w:tr w:rsidR="001D6515" w:rsidRPr="00B70AC4" w14:paraId="370D03B6" w14:textId="77777777" w:rsidTr="00B308F0">
        <w:trPr>
          <w:trHeight w:val="300"/>
        </w:trPr>
        <w:tc>
          <w:tcPr>
            <w:tcW w:w="5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10991" w14:textId="10B71D76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jul</w:t>
            </w:r>
            <w:proofErr w:type="spellEnd"/>
            <w:r>
              <w:rPr>
                <w:color w:val="000000"/>
                <w:sz w:val="16"/>
                <w:szCs w:val="16"/>
              </w:rPr>
              <w:t>/20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8F4F1" w14:textId="1D6CB6FB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000000"/>
                <w:sz w:val="16"/>
                <w:szCs w:val="16"/>
              </w:rPr>
              <w:t>1.148,7</w:t>
            </w: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97F4A" w14:textId="6EB4843C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000000"/>
                <w:sz w:val="16"/>
                <w:szCs w:val="16"/>
              </w:rPr>
              <w:t>1.011,0</w:t>
            </w: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52D80" w14:textId="1E41F5D3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000000"/>
                <w:sz w:val="16"/>
                <w:szCs w:val="16"/>
              </w:rPr>
              <w:t>137,7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F4577" w14:textId="63805539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000000"/>
                <w:sz w:val="16"/>
                <w:szCs w:val="16"/>
              </w:rPr>
              <w:t>0,37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8C863" w14:textId="4D52670A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000000"/>
                <w:sz w:val="16"/>
                <w:szCs w:val="16"/>
              </w:rPr>
              <w:t>148,2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C55DA" w14:textId="6D47C3B8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000000"/>
                <w:sz w:val="16"/>
                <w:szCs w:val="16"/>
              </w:rPr>
              <w:t>123,2</w:t>
            </w: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68EDE" w14:textId="752C68EB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000000"/>
                <w:sz w:val="16"/>
                <w:szCs w:val="16"/>
              </w:rPr>
              <w:t>25,0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3D275" w14:textId="43C201F9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000000"/>
                <w:sz w:val="16"/>
                <w:szCs w:val="16"/>
              </w:rPr>
              <w:t>0,41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DBD5B" w14:textId="04D27804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000000"/>
                <w:sz w:val="16"/>
                <w:szCs w:val="16"/>
              </w:rPr>
              <w:t>27,7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6006F" w14:textId="1952DAAB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000000"/>
                <w:sz w:val="16"/>
                <w:szCs w:val="16"/>
              </w:rPr>
              <w:t>21,7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B7AE3" w14:textId="1A9B81DA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000000"/>
                <w:sz w:val="16"/>
                <w:szCs w:val="16"/>
              </w:rPr>
              <w:t>6,0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64B22" w14:textId="5AD156B8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000000"/>
                <w:sz w:val="16"/>
                <w:szCs w:val="16"/>
              </w:rPr>
              <w:t>0,54</w:t>
            </w:r>
          </w:p>
        </w:tc>
      </w:tr>
      <w:tr w:rsidR="001D6515" w:rsidRPr="00B70AC4" w14:paraId="13DC1198" w14:textId="77777777" w:rsidTr="00B308F0">
        <w:trPr>
          <w:trHeight w:val="300"/>
        </w:trPr>
        <w:tc>
          <w:tcPr>
            <w:tcW w:w="5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424FA" w14:textId="4DAB35CC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ago</w:t>
            </w:r>
            <w:proofErr w:type="spellEnd"/>
            <w:r>
              <w:rPr>
                <w:color w:val="000000"/>
                <w:sz w:val="16"/>
                <w:szCs w:val="16"/>
              </w:rPr>
              <w:t>/20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45B6" w14:textId="2BF8B879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000000"/>
                <w:sz w:val="16"/>
                <w:szCs w:val="16"/>
              </w:rPr>
              <w:t>1.289,3</w:t>
            </w: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E4E7A" w14:textId="7FC9B572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000000"/>
                <w:sz w:val="16"/>
                <w:szCs w:val="16"/>
              </w:rPr>
              <w:t>1.046,0</w:t>
            </w: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585CD" w14:textId="7842DF28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000000"/>
                <w:sz w:val="16"/>
                <w:szCs w:val="16"/>
              </w:rPr>
              <w:t>243,3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AB708" w14:textId="3877EE67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000000"/>
                <w:sz w:val="16"/>
                <w:szCs w:val="16"/>
              </w:rPr>
              <w:t>0,65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C722A" w14:textId="6C01BC68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000000"/>
                <w:sz w:val="16"/>
                <w:szCs w:val="16"/>
              </w:rPr>
              <w:t>189,3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4AFB0" w14:textId="19A5DD91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000000"/>
                <w:sz w:val="16"/>
                <w:szCs w:val="16"/>
              </w:rPr>
              <w:t>129,8</w:t>
            </w: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4EBA5" w14:textId="0B31B9DA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000000"/>
                <w:sz w:val="16"/>
                <w:szCs w:val="16"/>
              </w:rPr>
              <w:t>59,5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10AC2" w14:textId="0DB3A030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000000"/>
                <w:sz w:val="16"/>
                <w:szCs w:val="16"/>
              </w:rPr>
              <w:t>0,97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68B06" w14:textId="3F15098F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000000"/>
                <w:sz w:val="16"/>
                <w:szCs w:val="16"/>
              </w:rPr>
              <w:t>34,5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010C9" w14:textId="251C8EAA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000000"/>
                <w:sz w:val="16"/>
                <w:szCs w:val="16"/>
              </w:rPr>
              <w:t>23,0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0E447" w14:textId="5399CFD2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000000"/>
                <w:sz w:val="16"/>
                <w:szCs w:val="16"/>
              </w:rPr>
              <w:t>11,5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28242" w14:textId="4EC690BE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000000"/>
                <w:sz w:val="16"/>
                <w:szCs w:val="16"/>
              </w:rPr>
              <w:t>1,04</w:t>
            </w:r>
          </w:p>
        </w:tc>
      </w:tr>
      <w:tr w:rsidR="001D6515" w:rsidRPr="00B70AC4" w14:paraId="1BF34661" w14:textId="77777777" w:rsidTr="00B308F0">
        <w:trPr>
          <w:trHeight w:val="300"/>
        </w:trPr>
        <w:tc>
          <w:tcPr>
            <w:tcW w:w="5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BB21B" w14:textId="5FA4DAA2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000000"/>
                <w:sz w:val="16"/>
                <w:szCs w:val="16"/>
              </w:rPr>
              <w:t>set/20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CB75B" w14:textId="32ABA09E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000000"/>
                <w:sz w:val="16"/>
                <w:szCs w:val="16"/>
              </w:rPr>
              <w:t>1.431,0</w:t>
            </w: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32083" w14:textId="7D3D8DD5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000000"/>
                <w:sz w:val="16"/>
                <w:szCs w:val="16"/>
              </w:rPr>
              <w:t>1.113,6</w:t>
            </w: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2FE35" w14:textId="3D772CAD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000000"/>
                <w:sz w:val="16"/>
                <w:szCs w:val="16"/>
              </w:rPr>
              <w:t>317,4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F0F13" w14:textId="1FF9ABE9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000000"/>
                <w:sz w:val="16"/>
                <w:szCs w:val="16"/>
              </w:rPr>
              <w:t>0,84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1FAE1" w14:textId="4844D2ED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000000"/>
                <w:sz w:val="16"/>
                <w:szCs w:val="16"/>
              </w:rPr>
              <w:t>224,7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285AD" w14:textId="135C9A4E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000000"/>
                <w:sz w:val="16"/>
                <w:szCs w:val="16"/>
              </w:rPr>
              <w:t>135,3</w:t>
            </w: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F2AD" w14:textId="62984B65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000000"/>
                <w:sz w:val="16"/>
                <w:szCs w:val="16"/>
              </w:rPr>
              <w:t>89,4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08C7E" w14:textId="07915037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000000"/>
                <w:sz w:val="16"/>
                <w:szCs w:val="16"/>
              </w:rPr>
              <w:t>1,45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AC012" w14:textId="6CBEFE62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000000"/>
                <w:sz w:val="16"/>
                <w:szCs w:val="16"/>
              </w:rPr>
              <w:t>37,6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76DF3" w14:textId="7631DC7A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000000"/>
                <w:sz w:val="16"/>
                <w:szCs w:val="16"/>
              </w:rPr>
              <w:t>25,2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1BD0B" w14:textId="71E41D4B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000000"/>
                <w:sz w:val="16"/>
                <w:szCs w:val="16"/>
              </w:rPr>
              <w:t>12,3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E50EC" w14:textId="5744B284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000000"/>
                <w:sz w:val="16"/>
                <w:szCs w:val="16"/>
              </w:rPr>
              <w:t>1,11</w:t>
            </w:r>
          </w:p>
        </w:tc>
      </w:tr>
      <w:tr w:rsidR="001D6515" w:rsidRPr="00B70AC4" w14:paraId="3D8310F8" w14:textId="77777777" w:rsidTr="00B308F0">
        <w:trPr>
          <w:trHeight w:val="300"/>
        </w:trPr>
        <w:tc>
          <w:tcPr>
            <w:tcW w:w="5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FA624" w14:textId="155CD04E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000000"/>
                <w:sz w:val="16"/>
                <w:szCs w:val="16"/>
              </w:rPr>
              <w:t>out/20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5A80B" w14:textId="01815DEE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000000"/>
                <w:sz w:val="16"/>
                <w:szCs w:val="16"/>
              </w:rPr>
              <w:t>1.590,1</w:t>
            </w: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C763B" w14:textId="5AFD1D1F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000000"/>
                <w:sz w:val="16"/>
                <w:szCs w:val="16"/>
              </w:rPr>
              <w:t>1.199,3</w:t>
            </w: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06CCE" w14:textId="3B5307CE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000000"/>
                <w:sz w:val="16"/>
                <w:szCs w:val="16"/>
              </w:rPr>
              <w:t>390,7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AFD97" w14:textId="7B5F2B18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000000"/>
                <w:sz w:val="16"/>
                <w:szCs w:val="16"/>
              </w:rPr>
              <w:t>1,02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F7348" w14:textId="0D053FF1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000000"/>
                <w:sz w:val="16"/>
                <w:szCs w:val="16"/>
              </w:rPr>
              <w:t>214,4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65A6F" w14:textId="1D72BCB8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000000"/>
                <w:sz w:val="16"/>
                <w:szCs w:val="16"/>
              </w:rPr>
              <w:t>145,7</w:t>
            </w: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846E4" w14:textId="55BEB336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000000"/>
                <w:sz w:val="16"/>
                <w:szCs w:val="16"/>
              </w:rPr>
              <w:t>68,7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46841" w14:textId="0FEE0CB1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000000"/>
                <w:sz w:val="16"/>
                <w:szCs w:val="16"/>
              </w:rPr>
              <w:t>1,10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04DC4" w14:textId="3A698F42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000000"/>
                <w:sz w:val="16"/>
                <w:szCs w:val="16"/>
              </w:rPr>
              <w:t>43,4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45554" w14:textId="7EA9B036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000000"/>
                <w:sz w:val="16"/>
                <w:szCs w:val="16"/>
              </w:rPr>
              <w:t>27,2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84E8" w14:textId="4EDA14A2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000000"/>
                <w:sz w:val="16"/>
                <w:szCs w:val="16"/>
              </w:rPr>
              <w:t>16,2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988D4" w14:textId="1F565F00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000000"/>
                <w:sz w:val="16"/>
                <w:szCs w:val="16"/>
              </w:rPr>
              <w:t>1,44</w:t>
            </w:r>
          </w:p>
        </w:tc>
      </w:tr>
      <w:tr w:rsidR="001D6515" w:rsidRPr="00B70AC4" w14:paraId="1474E258" w14:textId="77777777" w:rsidTr="00B308F0">
        <w:trPr>
          <w:trHeight w:val="300"/>
        </w:trPr>
        <w:tc>
          <w:tcPr>
            <w:tcW w:w="5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EDFC5" w14:textId="7CCE2486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lastRenderedPageBreak/>
              <w:t>nov</w:t>
            </w:r>
            <w:proofErr w:type="spellEnd"/>
            <w:r>
              <w:rPr>
                <w:color w:val="000000"/>
                <w:sz w:val="16"/>
                <w:szCs w:val="16"/>
              </w:rPr>
              <w:t>/20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B750F" w14:textId="4F8735CD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000000"/>
                <w:sz w:val="16"/>
                <w:szCs w:val="16"/>
              </w:rPr>
              <w:t>1.564,5</w:t>
            </w: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6C141" w14:textId="1127D929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000000"/>
                <w:sz w:val="16"/>
                <w:szCs w:val="16"/>
              </w:rPr>
              <w:t>1.167,2</w:t>
            </w: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0974E" w14:textId="40C2ABA6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000000"/>
                <w:sz w:val="16"/>
                <w:szCs w:val="16"/>
              </w:rPr>
              <w:t>397,3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96A1E" w14:textId="073FCA29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000000"/>
                <w:sz w:val="16"/>
                <w:szCs w:val="16"/>
              </w:rPr>
              <w:t>1,03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8F87D" w14:textId="353B4BFB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000000"/>
                <w:sz w:val="16"/>
                <w:szCs w:val="16"/>
              </w:rPr>
              <w:t>208,0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182FD" w14:textId="3EDEA1CB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000000"/>
                <w:sz w:val="16"/>
                <w:szCs w:val="16"/>
              </w:rPr>
              <w:t>140,3</w:t>
            </w: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B0ADC" w14:textId="7DF1B8C4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000000"/>
                <w:sz w:val="16"/>
                <w:szCs w:val="16"/>
              </w:rPr>
              <w:t>67,7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89CB" w14:textId="3D4A371B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000000"/>
                <w:sz w:val="16"/>
                <w:szCs w:val="16"/>
              </w:rPr>
              <w:t>1,07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EEB91" w14:textId="6330E30B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000000"/>
                <w:sz w:val="16"/>
                <w:szCs w:val="16"/>
              </w:rPr>
              <w:t>40,0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FE3B4" w14:textId="65830DD6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000000"/>
                <w:sz w:val="16"/>
                <w:szCs w:val="16"/>
              </w:rPr>
              <w:t>24,7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F5BE9" w14:textId="6FB6B9B5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000000"/>
                <w:sz w:val="16"/>
                <w:szCs w:val="16"/>
              </w:rPr>
              <w:t>15,3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5ECA9" w14:textId="4FFF5555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000000"/>
                <w:sz w:val="16"/>
                <w:szCs w:val="16"/>
              </w:rPr>
              <w:t>1,34</w:t>
            </w:r>
          </w:p>
        </w:tc>
      </w:tr>
      <w:tr w:rsidR="001D6515" w:rsidRPr="00B70AC4" w14:paraId="42FC473A" w14:textId="77777777" w:rsidTr="00B308F0">
        <w:trPr>
          <w:trHeight w:val="300"/>
        </w:trPr>
        <w:tc>
          <w:tcPr>
            <w:tcW w:w="5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BBF4E6" w14:textId="0BB7479F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000000"/>
                <w:sz w:val="16"/>
                <w:szCs w:val="16"/>
              </w:rPr>
              <w:t>dez/20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AF032E" w14:textId="11796C08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000000"/>
                <w:sz w:val="16"/>
                <w:szCs w:val="16"/>
              </w:rPr>
              <w:t>1.239,3</w:t>
            </w: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19E909" w14:textId="7A3233B0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000000"/>
                <w:sz w:val="16"/>
                <w:szCs w:val="16"/>
              </w:rPr>
              <w:t>1.307,2</w:t>
            </w: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0DB258" w14:textId="72F5DD65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FF0000"/>
                <w:sz w:val="16"/>
                <w:szCs w:val="16"/>
              </w:rPr>
              <w:t>-67,9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7FBD07" w14:textId="5D3B72A3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FF0000"/>
                <w:sz w:val="16"/>
                <w:szCs w:val="16"/>
              </w:rPr>
              <w:t>-0,17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836DF7" w14:textId="4CA9B64C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000000"/>
                <w:sz w:val="16"/>
                <w:szCs w:val="16"/>
              </w:rPr>
              <w:t>162,5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1E6DF5" w14:textId="25C36EB5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000000"/>
                <w:sz w:val="16"/>
                <w:szCs w:val="16"/>
              </w:rPr>
              <w:t>161,3</w:t>
            </w: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6CFF95" w14:textId="557ADB36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000000"/>
                <w:sz w:val="16"/>
                <w:szCs w:val="16"/>
              </w:rPr>
              <w:t>1,2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95DE14" w14:textId="65388F11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000000"/>
                <w:sz w:val="16"/>
                <w:szCs w:val="16"/>
              </w:rPr>
              <w:t>0,02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759522" w14:textId="45D560F5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000000"/>
                <w:sz w:val="16"/>
                <w:szCs w:val="16"/>
              </w:rPr>
              <w:t>29,9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E71A76" w14:textId="25F5726B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000000"/>
                <w:sz w:val="16"/>
                <w:szCs w:val="16"/>
              </w:rPr>
              <w:t>26,0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EEE3EE" w14:textId="54333D6D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000000"/>
                <w:sz w:val="16"/>
                <w:szCs w:val="16"/>
              </w:rPr>
              <w:t>3,8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AAEABF" w14:textId="4CC84E2C" w:rsidR="001D6515" w:rsidRPr="00B70AC4" w:rsidRDefault="001D6515" w:rsidP="001D6515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color w:val="000000"/>
                <w:sz w:val="16"/>
                <w:szCs w:val="16"/>
              </w:rPr>
              <w:t>0,33</w:t>
            </w:r>
          </w:p>
        </w:tc>
      </w:tr>
      <w:tr w:rsidR="00C1134C" w:rsidRPr="00B70AC4" w14:paraId="3B98F615" w14:textId="77777777" w:rsidTr="00B308F0">
        <w:trPr>
          <w:trHeight w:val="300"/>
        </w:trPr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6A6A6"/>
            <w:noWrap/>
            <w:vAlign w:val="center"/>
            <w:hideMark/>
          </w:tcPr>
          <w:p w14:paraId="631C005D" w14:textId="30E96C85" w:rsidR="00C1134C" w:rsidRPr="003E42AE" w:rsidRDefault="00C1134C" w:rsidP="003E42AE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3E42AE">
              <w:rPr>
                <w:rFonts w:cs="Times New Roman"/>
                <w:b/>
                <w:bCs/>
                <w:color w:val="000000"/>
                <w:sz w:val="16"/>
                <w:szCs w:val="16"/>
              </w:rPr>
              <w:t>Acumulado</w:t>
            </w:r>
          </w:p>
        </w:tc>
        <w:tc>
          <w:tcPr>
            <w:tcW w:w="40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6A6A6"/>
            <w:noWrap/>
            <w:vAlign w:val="center"/>
            <w:hideMark/>
          </w:tcPr>
          <w:p w14:paraId="4446EB0B" w14:textId="0A2BCF4A" w:rsidR="00C1134C" w:rsidRPr="003E42AE" w:rsidRDefault="00C1134C" w:rsidP="003E42AE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3E42AE">
              <w:rPr>
                <w:rFonts w:cs="Times New Roman"/>
                <w:b/>
                <w:bCs/>
                <w:sz w:val="16"/>
                <w:szCs w:val="16"/>
              </w:rPr>
              <w:t>15.166,2</w:t>
            </w:r>
          </w:p>
        </w:tc>
        <w:tc>
          <w:tcPr>
            <w:tcW w:w="44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6A6A6"/>
            <w:noWrap/>
            <w:vAlign w:val="center"/>
            <w:hideMark/>
          </w:tcPr>
          <w:p w14:paraId="6FB3D71D" w14:textId="4129F620" w:rsidR="00C1134C" w:rsidRPr="003E42AE" w:rsidRDefault="00C1134C" w:rsidP="003E42AE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3E42AE">
              <w:rPr>
                <w:rFonts w:cs="Times New Roman"/>
                <w:b/>
                <w:bCs/>
                <w:sz w:val="16"/>
                <w:szCs w:val="16"/>
              </w:rPr>
              <w:t>15.023,5</w:t>
            </w:r>
          </w:p>
        </w:tc>
        <w:tc>
          <w:tcPr>
            <w:tcW w:w="3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6A6A6"/>
            <w:noWrap/>
            <w:vAlign w:val="center"/>
            <w:hideMark/>
          </w:tcPr>
          <w:p w14:paraId="615076BC" w14:textId="01D4124E" w:rsidR="00C1134C" w:rsidRPr="003E42AE" w:rsidRDefault="00C1134C" w:rsidP="003E42AE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3E42AE">
              <w:rPr>
                <w:rFonts w:cs="Times New Roman"/>
                <w:b/>
                <w:bCs/>
                <w:sz w:val="16"/>
                <w:szCs w:val="16"/>
              </w:rPr>
              <w:t>142,7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6A6A6"/>
            <w:noWrap/>
            <w:vAlign w:val="center"/>
            <w:hideMark/>
          </w:tcPr>
          <w:p w14:paraId="66E7E63B" w14:textId="07175FE6" w:rsidR="00C1134C" w:rsidRPr="003E42AE" w:rsidRDefault="00C1134C" w:rsidP="003E42AE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3E42AE">
              <w:rPr>
                <w:rFonts w:cs="Times New Roman"/>
                <w:b/>
                <w:bCs/>
                <w:sz w:val="16"/>
                <w:szCs w:val="16"/>
              </w:rPr>
              <w:t>0,37</w:t>
            </w:r>
          </w:p>
        </w:tc>
        <w:tc>
          <w:tcPr>
            <w:tcW w:w="40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6A6A6"/>
            <w:noWrap/>
            <w:vAlign w:val="center"/>
            <w:hideMark/>
          </w:tcPr>
          <w:p w14:paraId="697860C3" w14:textId="7F1906A8" w:rsidR="00C1134C" w:rsidRPr="003E42AE" w:rsidRDefault="00C1134C" w:rsidP="003E42AE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3E42AE">
              <w:rPr>
                <w:rFonts w:cs="Times New Roman"/>
                <w:b/>
                <w:bCs/>
                <w:sz w:val="16"/>
                <w:szCs w:val="16"/>
              </w:rPr>
              <w:t>1.985,8</w:t>
            </w:r>
          </w:p>
        </w:tc>
        <w:tc>
          <w:tcPr>
            <w:tcW w:w="40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6A6A6"/>
            <w:noWrap/>
            <w:vAlign w:val="center"/>
            <w:hideMark/>
          </w:tcPr>
          <w:p w14:paraId="4A25184B" w14:textId="62090F48" w:rsidR="00C1134C" w:rsidRPr="003E42AE" w:rsidRDefault="00C1134C" w:rsidP="003E42AE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3E42AE">
              <w:rPr>
                <w:rFonts w:cs="Times New Roman"/>
                <w:b/>
                <w:bCs/>
                <w:sz w:val="16"/>
                <w:szCs w:val="16"/>
              </w:rPr>
              <w:t>1.951,1</w:t>
            </w:r>
          </w:p>
        </w:tc>
        <w:tc>
          <w:tcPr>
            <w:tcW w:w="3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6A6A6"/>
            <w:noWrap/>
            <w:vAlign w:val="center"/>
            <w:hideMark/>
          </w:tcPr>
          <w:p w14:paraId="0C21CDF7" w14:textId="109C2A08" w:rsidR="00C1134C" w:rsidRPr="003E42AE" w:rsidRDefault="00C1134C" w:rsidP="003E42AE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3E42AE">
              <w:rPr>
                <w:rFonts w:cs="Times New Roman"/>
                <w:b/>
                <w:bCs/>
                <w:sz w:val="16"/>
                <w:szCs w:val="16"/>
              </w:rPr>
              <w:t>34,7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6A6A6"/>
            <w:noWrap/>
            <w:vAlign w:val="center"/>
            <w:hideMark/>
          </w:tcPr>
          <w:p w14:paraId="07E7329C" w14:textId="0D1F8DE8" w:rsidR="00C1134C" w:rsidRPr="003E42AE" w:rsidRDefault="00C1134C" w:rsidP="003E42AE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3E42AE">
              <w:rPr>
                <w:rFonts w:cs="Times New Roman"/>
                <w:b/>
                <w:bCs/>
                <w:sz w:val="16"/>
                <w:szCs w:val="16"/>
              </w:rPr>
              <w:t>0,55</w:t>
            </w:r>
          </w:p>
        </w:tc>
        <w:tc>
          <w:tcPr>
            <w:tcW w:w="3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6A6A6"/>
            <w:noWrap/>
            <w:vAlign w:val="center"/>
            <w:hideMark/>
          </w:tcPr>
          <w:p w14:paraId="4B8D2EC9" w14:textId="2A7AEE52" w:rsidR="00C1134C" w:rsidRPr="003E42AE" w:rsidRDefault="00C1134C" w:rsidP="003E42AE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3E42AE">
              <w:rPr>
                <w:rFonts w:cs="Times New Roman"/>
                <w:b/>
                <w:bCs/>
                <w:sz w:val="16"/>
                <w:szCs w:val="16"/>
              </w:rPr>
              <w:t>368,3</w:t>
            </w:r>
          </w:p>
        </w:tc>
        <w:tc>
          <w:tcPr>
            <w:tcW w:w="33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6A6A6"/>
            <w:noWrap/>
            <w:vAlign w:val="center"/>
            <w:hideMark/>
          </w:tcPr>
          <w:p w14:paraId="0248C3FE" w14:textId="57F95D9B" w:rsidR="00C1134C" w:rsidRPr="003E42AE" w:rsidRDefault="00C1134C" w:rsidP="003E42AE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3E42AE">
              <w:rPr>
                <w:rFonts w:cs="Times New Roman"/>
                <w:b/>
                <w:bCs/>
                <w:sz w:val="16"/>
                <w:szCs w:val="16"/>
              </w:rPr>
              <w:t>349,7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6A6A6"/>
            <w:noWrap/>
            <w:vAlign w:val="center"/>
            <w:hideMark/>
          </w:tcPr>
          <w:p w14:paraId="3C939B20" w14:textId="1488E551" w:rsidR="00C1134C" w:rsidRPr="003E42AE" w:rsidRDefault="00C1134C" w:rsidP="003E42AE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3E42AE">
              <w:rPr>
                <w:rFonts w:cs="Times New Roman"/>
                <w:b/>
                <w:bCs/>
                <w:sz w:val="16"/>
                <w:szCs w:val="16"/>
              </w:rPr>
              <w:t>18,5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6A6A6"/>
            <w:noWrap/>
            <w:vAlign w:val="center"/>
            <w:hideMark/>
          </w:tcPr>
          <w:p w14:paraId="05B2E8C8" w14:textId="45E81E66" w:rsidR="00C1134C" w:rsidRPr="003E42AE" w:rsidRDefault="00C1134C" w:rsidP="003E42AE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3E42AE">
              <w:rPr>
                <w:rFonts w:cs="Times New Roman"/>
                <w:b/>
                <w:bCs/>
                <w:sz w:val="16"/>
                <w:szCs w:val="16"/>
              </w:rPr>
              <w:t>1,62</w:t>
            </w:r>
          </w:p>
        </w:tc>
      </w:tr>
    </w:tbl>
    <w:p w14:paraId="43C7F6C9" w14:textId="7E5C9A87" w:rsidR="0039676B" w:rsidRDefault="0059418E" w:rsidP="004C384B">
      <w:pPr>
        <w:pStyle w:val="captiontabela"/>
        <w:spacing w:after="40" w:afterAutospacing="0"/>
      </w:pPr>
      <w:r w:rsidRPr="0059418E">
        <w:t xml:space="preserve">Fonte: Novo </w:t>
      </w:r>
      <w:proofErr w:type="spellStart"/>
      <w:r w:rsidRPr="0059418E">
        <w:t>Caged</w:t>
      </w:r>
      <w:proofErr w:type="spellEnd"/>
      <w:r w:rsidRPr="0059418E">
        <w:t xml:space="preserve"> – SEPRT/ME.</w:t>
      </w:r>
      <w:r w:rsidR="00334EC9">
        <w:t xml:space="preserve"> Elaboração: NUPE/UNIFOR</w:t>
      </w:r>
    </w:p>
    <w:p w14:paraId="41A11D83" w14:textId="1FA5B643" w:rsidR="003F5291" w:rsidRPr="003F5291" w:rsidRDefault="003F5291" w:rsidP="00806DDD">
      <w:pPr>
        <w:pStyle w:val="captiontabela"/>
        <w:spacing w:after="40" w:afterAutospacing="0"/>
      </w:pPr>
      <w:r>
        <w:t xml:space="preserve">1/ Dados do </w:t>
      </w:r>
      <w:r w:rsidR="00806DDD">
        <w:t xml:space="preserve">Novo </w:t>
      </w:r>
      <w:proofErr w:type="spellStart"/>
      <w:r w:rsidR="00806DDD">
        <w:t>Caged</w:t>
      </w:r>
      <w:proofErr w:type="spellEnd"/>
      <w:r w:rsidR="00806DDD">
        <w:t xml:space="preserve"> com ajuste para 2020.</w:t>
      </w:r>
    </w:p>
    <w:p w14:paraId="4297DEAB" w14:textId="4A70CF17" w:rsidR="00A57910" w:rsidRPr="00A57910" w:rsidRDefault="004C384B" w:rsidP="00E6192E">
      <w:pPr>
        <w:pStyle w:val="captiontabela"/>
      </w:pPr>
      <w:r w:rsidRPr="004C384B">
        <w:t>* A variação mensal do emprego toma como referência o estoque do mês anterior, sem ajustes.</w:t>
      </w:r>
    </w:p>
    <w:p w14:paraId="2B2657C1" w14:textId="41A4B64E" w:rsidR="00420AE9" w:rsidRDefault="004F4EF1" w:rsidP="006121E1">
      <w:pPr>
        <w:pStyle w:val="Ttulo1"/>
      </w:pPr>
      <w:r>
        <w:t>Comércio Exterior no Brasil, Nordeste e Ceará</w:t>
      </w:r>
    </w:p>
    <w:p w14:paraId="6B09A21C" w14:textId="77777777" w:rsidR="00077AFF" w:rsidRDefault="00077AFF" w:rsidP="00077AFF">
      <w:r>
        <w:t>De acordo com os dados de comércio exterior provenientes do MDIC/SECEX, em relação ao acumulado do ano, o Brasil apresentou declínio nas exportações (-6,9%), importações (-10,4%) e corrente comercial (-8,4%). Todavia, o saldo comercial cresceu 6%, assim mesmo diante da pandemia de covid-19, que ainda restringe parte das cadeias de comercialização e mantém o cenário de incertezas, obteve-se um registro de superávit de US$ 50,9 bilhões.</w:t>
      </w:r>
    </w:p>
    <w:p w14:paraId="6B9CF6A5" w14:textId="3C54E2C2" w:rsidR="00077AFF" w:rsidRDefault="00077AFF" w:rsidP="00077AFF">
      <w:r>
        <w:t>Ademais, o Nordeste também apresenta uma queda nas exportações</w:t>
      </w:r>
      <w:r w:rsidR="00DB6200">
        <w:t xml:space="preserve"> </w:t>
      </w:r>
      <w:r>
        <w:t xml:space="preserve">(-4,6%), importações (-25,2%), corrente comercial (-16,8%), no entanto, referente ao saldo nota-se uma variação negativa de 69,5%, equivalente a um déficit de US$1,2 bilhões. No tocante, ao Ceará também apresenta quedas somente em exportação (-18,5%) e corrente comercial (-16,8%), em contrapartida as importações e saldo crescem em 2,4% e 586,4% respectivamente. </w:t>
      </w:r>
    </w:p>
    <w:p w14:paraId="66F29584" w14:textId="7FAEF61F" w:rsidR="00077AFF" w:rsidRPr="00077AFF" w:rsidRDefault="00077AFF" w:rsidP="00077AFF">
      <w:r>
        <w:t>Analisando o mês de dezembro de 2019 em relação ao mesmo período de 2020 constata-se uma diminuição das exportações (-0,2%) e um aumento nas importações (46,7%) e corrente comercial (18,8%) brasileiras. O saldo, entretanto, é negativo registrando uma retração de -99,0%. Em relação ao acumulado em 12 meses, o Ceará e Nordeste apresentaram um saldo negativo de US$ 560 milhões e US$ 1,2 bilhões respectivamente. O Brasil, de modo oposto, apresentou um saldo positivo de US$ 50,9 bilhões</w:t>
      </w:r>
    </w:p>
    <w:p w14:paraId="037423A2" w14:textId="79747946" w:rsidR="00CC7F85" w:rsidRDefault="00CC7F85" w:rsidP="00CC7F85">
      <w:pPr>
        <w:pStyle w:val="Legenda"/>
      </w:pPr>
      <w:r>
        <w:t xml:space="preserve">Tabela </w:t>
      </w:r>
      <w:r w:rsidR="00AE5D78">
        <w:t>7</w:t>
      </w:r>
      <w:r>
        <w:t xml:space="preserve"> - </w:t>
      </w:r>
      <w:r w:rsidRPr="00B80FC8">
        <w:t xml:space="preserve">Volume de exportações, </w:t>
      </w:r>
      <w:r w:rsidR="006F0600">
        <w:t xml:space="preserve">importações, </w:t>
      </w:r>
      <w:r w:rsidRPr="00B80FC8">
        <w:t>saldo</w:t>
      </w:r>
      <w:r w:rsidR="006F0600">
        <w:t xml:space="preserve"> e corrente </w:t>
      </w:r>
      <w:r w:rsidRPr="00B80FC8">
        <w:t>da balança comercial (R$ milhões) – Brasil</w:t>
      </w:r>
      <w:r w:rsidR="00975D3C">
        <w:t>, Nordeste e Ceará</w:t>
      </w:r>
      <w:r w:rsidR="00B70AC4">
        <w:t xml:space="preserve"> </w:t>
      </w:r>
      <w:r w:rsidRPr="00975D3C">
        <w:rPr>
          <w:vertAlign w:val="superscript"/>
        </w:rPr>
        <w:t>(*)</w:t>
      </w:r>
      <w:r w:rsidR="00B70AC4" w:rsidRPr="00B70AC4">
        <w:t>.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5"/>
        <w:gridCol w:w="1116"/>
        <w:gridCol w:w="666"/>
        <w:gridCol w:w="1116"/>
        <w:gridCol w:w="755"/>
        <w:gridCol w:w="1116"/>
        <w:gridCol w:w="755"/>
        <w:gridCol w:w="1116"/>
        <w:gridCol w:w="666"/>
      </w:tblGrid>
      <w:tr w:rsidR="00962236" w:rsidRPr="0061476A" w14:paraId="22EFD9E0" w14:textId="77777777" w:rsidTr="00EF45E6">
        <w:trPr>
          <w:trHeight w:val="450"/>
        </w:trPr>
        <w:tc>
          <w:tcPr>
            <w:tcW w:w="973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1179E22B" w14:textId="77777777" w:rsidR="00037CCB" w:rsidRPr="00037CCB" w:rsidRDefault="00037CCB" w:rsidP="0061476A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037CC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  <w:t>País / região e estado</w:t>
            </w:r>
          </w:p>
        </w:tc>
        <w:tc>
          <w:tcPr>
            <w:tcW w:w="98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0BE6501C" w14:textId="77777777" w:rsidR="00037CCB" w:rsidRPr="00037CCB" w:rsidRDefault="00037CCB" w:rsidP="0061476A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037CC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  <w:t>Exportações</w:t>
            </w:r>
          </w:p>
        </w:tc>
        <w:tc>
          <w:tcPr>
            <w:tcW w:w="10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1D9BF666" w14:textId="77777777" w:rsidR="00037CCB" w:rsidRPr="00037CCB" w:rsidRDefault="00037CCB" w:rsidP="0061476A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037CC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  <w:t>Importações</w:t>
            </w:r>
          </w:p>
        </w:tc>
        <w:tc>
          <w:tcPr>
            <w:tcW w:w="10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034871B0" w14:textId="77777777" w:rsidR="00037CCB" w:rsidRPr="00037CCB" w:rsidRDefault="00037CCB" w:rsidP="0061476A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037CC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  <w:t>Saldo</w:t>
            </w:r>
          </w:p>
        </w:tc>
        <w:tc>
          <w:tcPr>
            <w:tcW w:w="9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0D3E1D1F" w14:textId="77777777" w:rsidR="00037CCB" w:rsidRPr="00037CCB" w:rsidRDefault="00037CCB" w:rsidP="0061476A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037CC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  <w:t>Corrente Comercial</w:t>
            </w:r>
          </w:p>
        </w:tc>
      </w:tr>
      <w:tr w:rsidR="00037CCB" w:rsidRPr="0061476A" w14:paraId="4A55F81B" w14:textId="77777777" w:rsidTr="00EF45E6">
        <w:trPr>
          <w:trHeight w:val="325"/>
        </w:trPr>
        <w:tc>
          <w:tcPr>
            <w:tcW w:w="973" w:type="pct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668625E7" w14:textId="77777777" w:rsidR="00037CCB" w:rsidRPr="00037CCB" w:rsidRDefault="00037CCB" w:rsidP="0061476A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43690112" w14:textId="77777777" w:rsidR="00037CCB" w:rsidRPr="00037CCB" w:rsidRDefault="00037CCB" w:rsidP="0061476A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037CC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  <w:t>US$ Milhões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2E5AF225" w14:textId="77777777" w:rsidR="00037CCB" w:rsidRPr="00037CCB" w:rsidRDefault="00037CCB" w:rsidP="0061476A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037CC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  <w:t>Var.%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720850C7" w14:textId="77777777" w:rsidR="00037CCB" w:rsidRPr="00037CCB" w:rsidRDefault="00037CCB" w:rsidP="0061476A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037CC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  <w:t>US$ Milhões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440FCC3E" w14:textId="77777777" w:rsidR="00037CCB" w:rsidRPr="00037CCB" w:rsidRDefault="00037CCB" w:rsidP="0061476A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037CC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  <w:t>Var.%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2D1B3A5F" w14:textId="77777777" w:rsidR="00037CCB" w:rsidRPr="00037CCB" w:rsidRDefault="00037CCB" w:rsidP="0061476A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037CC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  <w:t>US$ Milhões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6A6A6" w:themeFill="background1" w:themeFillShade="A6"/>
            <w:vAlign w:val="center"/>
            <w:hideMark/>
          </w:tcPr>
          <w:p w14:paraId="089B0BCF" w14:textId="77777777" w:rsidR="00037CCB" w:rsidRPr="00037CCB" w:rsidRDefault="00037CCB" w:rsidP="0061476A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037CC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  <w:t>Var.%</w:t>
            </w:r>
          </w:p>
        </w:tc>
        <w:tc>
          <w:tcPr>
            <w:tcW w:w="6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3F20A7A4" w14:textId="77777777" w:rsidR="00037CCB" w:rsidRPr="00037CCB" w:rsidRDefault="00037CCB" w:rsidP="0061476A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037CC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  <w:t>US$ Milhões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6A6A6" w:themeFill="background1" w:themeFillShade="A6"/>
            <w:vAlign w:val="center"/>
            <w:hideMark/>
          </w:tcPr>
          <w:p w14:paraId="62CC1532" w14:textId="77777777" w:rsidR="00037CCB" w:rsidRPr="00037CCB" w:rsidRDefault="00037CCB" w:rsidP="0061476A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037CC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  <w:t>Var.%</w:t>
            </w:r>
          </w:p>
        </w:tc>
      </w:tr>
      <w:tr w:rsidR="0061476A" w:rsidRPr="0061476A" w14:paraId="31BE8361" w14:textId="77777777" w:rsidTr="00EF45E6">
        <w:trPr>
          <w:trHeight w:val="300"/>
        </w:trPr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1BEE96" w14:textId="77777777" w:rsidR="00037CCB" w:rsidRPr="00037CCB" w:rsidRDefault="00037CCB" w:rsidP="0061476A">
            <w:pPr>
              <w:spacing w:before="40" w:beforeAutospacing="0" w:after="0" w:afterAutospacing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037CC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  <w:t>Brasil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9CD4F8" w14:textId="2C1A9564" w:rsidR="00037CCB" w:rsidRPr="00037CCB" w:rsidRDefault="00037CCB" w:rsidP="0061476A">
            <w:pPr>
              <w:spacing w:before="4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A31E30" w14:textId="12E1E257" w:rsidR="00037CCB" w:rsidRPr="00037CCB" w:rsidRDefault="00037CCB" w:rsidP="0061476A">
            <w:pPr>
              <w:spacing w:before="4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C9E716" w14:textId="7EB4E23E" w:rsidR="00037CCB" w:rsidRPr="00037CCB" w:rsidRDefault="00037CCB" w:rsidP="0061476A">
            <w:pPr>
              <w:spacing w:before="4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B3140D" w14:textId="7C585F07" w:rsidR="00037CCB" w:rsidRPr="00037CCB" w:rsidRDefault="00037CCB" w:rsidP="0061476A">
            <w:pPr>
              <w:spacing w:before="4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15277E" w14:textId="65428F25" w:rsidR="00037CCB" w:rsidRPr="00037CCB" w:rsidRDefault="00037CCB" w:rsidP="0061476A">
            <w:pPr>
              <w:spacing w:before="4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98CE7D" w14:textId="457A652B" w:rsidR="00037CCB" w:rsidRPr="00037CCB" w:rsidRDefault="00037CCB" w:rsidP="0061476A">
            <w:pPr>
              <w:spacing w:before="4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36505A" w14:textId="0387FD97" w:rsidR="00037CCB" w:rsidRPr="00037CCB" w:rsidRDefault="00037CCB" w:rsidP="0061476A">
            <w:pPr>
              <w:spacing w:before="40" w:beforeAutospacing="0"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B55659" w14:textId="13182A9A" w:rsidR="00037CCB" w:rsidRPr="00037CCB" w:rsidRDefault="00037CCB" w:rsidP="0061476A">
            <w:pPr>
              <w:spacing w:before="40" w:beforeAutospacing="0"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</w:p>
        </w:tc>
      </w:tr>
      <w:tr w:rsidR="00345D1C" w:rsidRPr="0061476A" w14:paraId="5B87997A" w14:textId="77777777" w:rsidTr="00EF45E6">
        <w:trPr>
          <w:trHeight w:val="300"/>
        </w:trPr>
        <w:tc>
          <w:tcPr>
            <w:tcW w:w="9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2DB34" w14:textId="510AEB37" w:rsidR="00345D1C" w:rsidRPr="00037CCB" w:rsidRDefault="00345D1C" w:rsidP="00345D1C">
            <w:pPr>
              <w:spacing w:before="40" w:beforeAutospacing="0" w:after="40" w:afterAutospacing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Dez</w:t>
            </w:r>
            <w:r w:rsidRPr="00564B49"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 xml:space="preserve">. 2020/ 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dez</w:t>
            </w:r>
            <w:r w:rsidRPr="00564B49"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. 2019</w:t>
            </w: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05838" w14:textId="16DB2D11" w:rsidR="00345D1C" w:rsidRPr="00037CCB" w:rsidRDefault="00345D1C" w:rsidP="00345D1C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sz w:val="18"/>
                <w:szCs w:val="18"/>
              </w:rPr>
              <w:t xml:space="preserve">18.471 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53FC5" w14:textId="098CA281" w:rsidR="00345D1C" w:rsidRPr="00037CCB" w:rsidRDefault="00345D1C" w:rsidP="00345D1C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color w:val="FF0000"/>
                <w:sz w:val="18"/>
                <w:szCs w:val="18"/>
              </w:rPr>
              <w:t xml:space="preserve">-0,2 </w:t>
            </w: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C6A45" w14:textId="6ACC146D" w:rsidR="00345D1C" w:rsidRPr="00037CCB" w:rsidRDefault="00345D1C" w:rsidP="00345D1C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sz w:val="18"/>
                <w:szCs w:val="18"/>
              </w:rPr>
              <w:t xml:space="preserve">18.414 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59CBA" w14:textId="3EBC32E1" w:rsidR="00345D1C" w:rsidRPr="00037CCB" w:rsidRDefault="00345D1C" w:rsidP="00345D1C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sz w:val="18"/>
                <w:szCs w:val="18"/>
              </w:rPr>
              <w:t xml:space="preserve">46,7 </w:t>
            </w: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A663C" w14:textId="625E2FAC" w:rsidR="00345D1C" w:rsidRPr="00037CCB" w:rsidRDefault="00345D1C" w:rsidP="00345D1C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sz w:val="18"/>
                <w:szCs w:val="18"/>
              </w:rPr>
              <w:t xml:space="preserve">57 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0DD65" w14:textId="0CF40162" w:rsidR="00345D1C" w:rsidRPr="00037CCB" w:rsidRDefault="00345D1C" w:rsidP="00345D1C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color w:val="FF0000"/>
                <w:sz w:val="18"/>
                <w:szCs w:val="18"/>
              </w:rPr>
              <w:t xml:space="preserve">-99,0 </w:t>
            </w: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A3E1D" w14:textId="15512211" w:rsidR="00345D1C" w:rsidRPr="00037CCB" w:rsidRDefault="00345D1C" w:rsidP="00345D1C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sz w:val="18"/>
                <w:szCs w:val="18"/>
              </w:rPr>
              <w:t xml:space="preserve">36.885 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DB0E2" w14:textId="377DA34F" w:rsidR="00345D1C" w:rsidRPr="00037CCB" w:rsidRDefault="00345D1C" w:rsidP="00345D1C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sz w:val="18"/>
                <w:szCs w:val="18"/>
              </w:rPr>
              <w:t xml:space="preserve">18,8 </w:t>
            </w:r>
          </w:p>
        </w:tc>
      </w:tr>
      <w:tr w:rsidR="00345D1C" w:rsidRPr="0061476A" w14:paraId="25FFFD13" w14:textId="77777777" w:rsidTr="00EF45E6">
        <w:trPr>
          <w:trHeight w:val="300"/>
        </w:trPr>
        <w:tc>
          <w:tcPr>
            <w:tcW w:w="9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7D32E" w14:textId="45F56345" w:rsidR="00345D1C" w:rsidRPr="00037CCB" w:rsidRDefault="00345D1C" w:rsidP="00345D1C">
            <w:pPr>
              <w:spacing w:before="40" w:beforeAutospacing="0" w:after="40" w:afterAutospacing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 w:rsidRPr="00037CCB"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Acumulado do Ano</w:t>
            </w: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D8133" w14:textId="0DA585C4" w:rsidR="00345D1C" w:rsidRPr="00037CCB" w:rsidRDefault="00345D1C" w:rsidP="00345D1C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sz w:val="18"/>
                <w:szCs w:val="18"/>
              </w:rPr>
              <w:t xml:space="preserve">209.878 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2542C" w14:textId="5C19C934" w:rsidR="00345D1C" w:rsidRPr="00037CCB" w:rsidRDefault="00345D1C" w:rsidP="00345D1C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color w:val="FF0000"/>
                <w:sz w:val="18"/>
                <w:szCs w:val="18"/>
              </w:rPr>
              <w:t xml:space="preserve">-6,9 </w:t>
            </w: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4033B" w14:textId="52F1D91D" w:rsidR="00345D1C" w:rsidRPr="00037CCB" w:rsidRDefault="00345D1C" w:rsidP="00345D1C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sz w:val="18"/>
                <w:szCs w:val="18"/>
              </w:rPr>
              <w:t xml:space="preserve">158.937 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CFA2C" w14:textId="126019BB" w:rsidR="00345D1C" w:rsidRPr="00037CCB" w:rsidRDefault="00345D1C" w:rsidP="00345D1C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color w:val="FF0000"/>
                <w:sz w:val="18"/>
                <w:szCs w:val="18"/>
              </w:rPr>
              <w:t xml:space="preserve">-10,4 </w:t>
            </w: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6610B" w14:textId="0C29799A" w:rsidR="00345D1C" w:rsidRPr="00037CCB" w:rsidRDefault="00345D1C" w:rsidP="00345D1C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sz w:val="18"/>
                <w:szCs w:val="18"/>
              </w:rPr>
              <w:t xml:space="preserve">50.941 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5D4F7" w14:textId="3B6E0BAC" w:rsidR="00345D1C" w:rsidRPr="00037CCB" w:rsidRDefault="00345D1C" w:rsidP="00345D1C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sz w:val="18"/>
                <w:szCs w:val="18"/>
              </w:rPr>
              <w:t xml:space="preserve">6,0 </w:t>
            </w: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7C5C6" w14:textId="4CD7CDD2" w:rsidR="00345D1C" w:rsidRPr="00037CCB" w:rsidRDefault="00345D1C" w:rsidP="00345D1C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sz w:val="18"/>
                <w:szCs w:val="18"/>
              </w:rPr>
              <w:t xml:space="preserve">368.816 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FFB1" w14:textId="295CDFF2" w:rsidR="00345D1C" w:rsidRPr="00037CCB" w:rsidRDefault="00345D1C" w:rsidP="00345D1C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color w:val="FF0000"/>
                <w:sz w:val="18"/>
                <w:szCs w:val="18"/>
              </w:rPr>
              <w:t xml:space="preserve">-8,4 </w:t>
            </w:r>
          </w:p>
        </w:tc>
      </w:tr>
      <w:tr w:rsidR="00345D1C" w:rsidRPr="0061476A" w14:paraId="27C0971B" w14:textId="77777777" w:rsidTr="00EF45E6">
        <w:trPr>
          <w:trHeight w:val="300"/>
        </w:trPr>
        <w:tc>
          <w:tcPr>
            <w:tcW w:w="9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C7839" w14:textId="6AF5983C" w:rsidR="00345D1C" w:rsidRPr="00037CCB" w:rsidRDefault="00345D1C" w:rsidP="00345D1C">
            <w:pPr>
              <w:spacing w:before="40" w:beforeAutospacing="0" w:after="40" w:afterAutospacing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 w:rsidRPr="00037CCB"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Acumulado 12 meses</w:t>
            </w: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D16FF" w14:textId="30538F81" w:rsidR="00345D1C" w:rsidRPr="00037CCB" w:rsidRDefault="00345D1C" w:rsidP="00345D1C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sz w:val="18"/>
                <w:szCs w:val="18"/>
              </w:rPr>
              <w:t xml:space="preserve">209.878 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80AE1" w14:textId="0E2B9B77" w:rsidR="00345D1C" w:rsidRPr="00037CCB" w:rsidRDefault="00345D1C" w:rsidP="00345D1C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color w:val="FF0000"/>
                <w:sz w:val="18"/>
                <w:szCs w:val="18"/>
              </w:rPr>
              <w:t xml:space="preserve">-6,9 </w:t>
            </w: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63633" w14:textId="74B085B3" w:rsidR="00345D1C" w:rsidRPr="00037CCB" w:rsidRDefault="00345D1C" w:rsidP="00345D1C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sz w:val="18"/>
                <w:szCs w:val="18"/>
              </w:rPr>
              <w:t xml:space="preserve">158.937 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A21E9" w14:textId="0A3924C2" w:rsidR="00345D1C" w:rsidRPr="00037CCB" w:rsidRDefault="00345D1C" w:rsidP="00345D1C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color w:val="FF0000"/>
                <w:sz w:val="18"/>
                <w:szCs w:val="18"/>
              </w:rPr>
              <w:t xml:space="preserve">-10,4 </w:t>
            </w: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3CA40" w14:textId="3F499499" w:rsidR="00345D1C" w:rsidRPr="00037CCB" w:rsidRDefault="00345D1C" w:rsidP="00345D1C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sz w:val="18"/>
                <w:szCs w:val="18"/>
              </w:rPr>
              <w:t xml:space="preserve">50.941 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2D497" w14:textId="3425B1A0" w:rsidR="00345D1C" w:rsidRPr="00037CCB" w:rsidRDefault="00345D1C" w:rsidP="00345D1C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sz w:val="18"/>
                <w:szCs w:val="18"/>
              </w:rPr>
              <w:t xml:space="preserve">6,0 </w:t>
            </w: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26872" w14:textId="417768EE" w:rsidR="00345D1C" w:rsidRPr="00037CCB" w:rsidRDefault="00345D1C" w:rsidP="00345D1C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sz w:val="18"/>
                <w:szCs w:val="18"/>
              </w:rPr>
              <w:t xml:space="preserve">368.816 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D8ABE" w14:textId="570C89CE" w:rsidR="00345D1C" w:rsidRPr="00037CCB" w:rsidRDefault="00345D1C" w:rsidP="00345D1C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color w:val="FF0000"/>
                <w:sz w:val="18"/>
                <w:szCs w:val="18"/>
              </w:rPr>
              <w:t xml:space="preserve">-8,4 </w:t>
            </w:r>
          </w:p>
        </w:tc>
      </w:tr>
      <w:tr w:rsidR="00B70AC4" w:rsidRPr="0061476A" w14:paraId="2D77A472" w14:textId="77777777" w:rsidTr="00EF45E6">
        <w:trPr>
          <w:trHeight w:val="300"/>
        </w:trPr>
        <w:tc>
          <w:tcPr>
            <w:tcW w:w="97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71B8DB" w14:textId="77777777" w:rsidR="00B70AC4" w:rsidRPr="00037CCB" w:rsidRDefault="00B70AC4" w:rsidP="00B70AC4">
            <w:pPr>
              <w:spacing w:before="0" w:beforeAutospacing="0" w:after="0" w:afterAutospacing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037CC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  <w:t>Nordeste</w:t>
            </w:r>
          </w:p>
        </w:tc>
        <w:tc>
          <w:tcPr>
            <w:tcW w:w="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CD7F6C" w14:textId="48E317E9" w:rsidR="00B70AC4" w:rsidRPr="00037CCB" w:rsidRDefault="00B70AC4" w:rsidP="00B70AC4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3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9E5896" w14:textId="1C417C16" w:rsidR="00B70AC4" w:rsidRPr="00037CCB" w:rsidRDefault="00B70AC4" w:rsidP="00B70AC4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B919D5" w14:textId="5D233C3A" w:rsidR="00B70AC4" w:rsidRPr="00037CCB" w:rsidRDefault="00B70AC4" w:rsidP="00B70AC4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20C1B7" w14:textId="104C0E17" w:rsidR="00B70AC4" w:rsidRPr="00037CCB" w:rsidRDefault="00B70AC4" w:rsidP="00B70AC4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B4724E" w14:textId="3B051B7F" w:rsidR="00B70AC4" w:rsidRPr="00037CCB" w:rsidRDefault="00B70AC4" w:rsidP="00B70AC4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91F898" w14:textId="737CE8B6" w:rsidR="00B70AC4" w:rsidRPr="00037CCB" w:rsidRDefault="00B70AC4" w:rsidP="00B70AC4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FACC64" w14:textId="6ECC394B" w:rsidR="00B70AC4" w:rsidRPr="00037CCB" w:rsidRDefault="00B70AC4" w:rsidP="00B70AC4">
            <w:pPr>
              <w:spacing w:before="0" w:beforeAutospacing="0"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3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7FE4C2" w14:textId="5531B113" w:rsidR="00B70AC4" w:rsidRPr="00037CCB" w:rsidRDefault="00B70AC4" w:rsidP="00B70AC4">
            <w:pPr>
              <w:spacing w:before="0" w:beforeAutospacing="0"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1E5C21" w:rsidRPr="0061476A" w14:paraId="521508FA" w14:textId="77777777" w:rsidTr="00EF45E6">
        <w:trPr>
          <w:trHeight w:val="300"/>
        </w:trPr>
        <w:tc>
          <w:tcPr>
            <w:tcW w:w="9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C6535" w14:textId="44E09C6D" w:rsidR="001E5C21" w:rsidRPr="00037CCB" w:rsidRDefault="001E5C21" w:rsidP="001E5C21">
            <w:pPr>
              <w:spacing w:before="40" w:beforeAutospacing="0" w:after="40" w:afterAutospacing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Dez</w:t>
            </w:r>
            <w:r w:rsidRPr="00564B49"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 xml:space="preserve">. 2020/ 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dez</w:t>
            </w:r>
            <w:r w:rsidRPr="00564B49"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. 2019</w:t>
            </w: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37A25" w14:textId="79571642" w:rsidR="001E5C21" w:rsidRPr="00037CCB" w:rsidRDefault="001E5C21" w:rsidP="001E5C21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sz w:val="18"/>
                <w:szCs w:val="18"/>
              </w:rPr>
              <w:t xml:space="preserve">854 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1B9C1" w14:textId="53310C94" w:rsidR="001E5C21" w:rsidRPr="00037CCB" w:rsidRDefault="001E5C21" w:rsidP="001E5C21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sz w:val="18"/>
                <w:szCs w:val="18"/>
              </w:rPr>
              <w:t xml:space="preserve">22,4 </w:t>
            </w: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FF290" w14:textId="24F86679" w:rsidR="001E5C21" w:rsidRPr="00037CCB" w:rsidRDefault="001E5C21" w:rsidP="001E5C21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sz w:val="18"/>
                <w:szCs w:val="18"/>
              </w:rPr>
              <w:t xml:space="preserve">980 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942CB" w14:textId="1260D028" w:rsidR="001E5C21" w:rsidRPr="00037CCB" w:rsidRDefault="001E5C21" w:rsidP="001E5C21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sz w:val="18"/>
                <w:szCs w:val="18"/>
              </w:rPr>
              <w:t xml:space="preserve">9,9 </w:t>
            </w: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466B4" w14:textId="4F7AF107" w:rsidR="001E5C21" w:rsidRPr="00037CCB" w:rsidRDefault="001E5C21" w:rsidP="001E5C21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color w:val="FF0000"/>
                <w:sz w:val="18"/>
                <w:szCs w:val="18"/>
              </w:rPr>
              <w:t xml:space="preserve">-125 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4ABBC" w14:textId="78F9F132" w:rsidR="001E5C21" w:rsidRPr="00037CCB" w:rsidRDefault="001E5C21" w:rsidP="001E5C21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color w:val="FF0000"/>
                <w:sz w:val="18"/>
                <w:szCs w:val="18"/>
              </w:rPr>
              <w:t xml:space="preserve">-35,1 </w:t>
            </w: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D0271" w14:textId="4AF96E86" w:rsidR="001E5C21" w:rsidRPr="00037CCB" w:rsidRDefault="001E5C21" w:rsidP="001E5C21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sz w:val="18"/>
                <w:szCs w:val="18"/>
              </w:rPr>
              <w:t xml:space="preserve">1.834 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39D43" w14:textId="6F47B62F" w:rsidR="001E5C21" w:rsidRPr="00037CCB" w:rsidRDefault="001E5C21" w:rsidP="001E5C21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sz w:val="18"/>
                <w:szCs w:val="18"/>
              </w:rPr>
              <w:t xml:space="preserve">15,4 </w:t>
            </w:r>
          </w:p>
        </w:tc>
      </w:tr>
      <w:tr w:rsidR="001E5C21" w:rsidRPr="0061476A" w14:paraId="575BA3DF" w14:textId="77777777" w:rsidTr="00EF45E6">
        <w:trPr>
          <w:trHeight w:val="300"/>
        </w:trPr>
        <w:tc>
          <w:tcPr>
            <w:tcW w:w="9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63F68" w14:textId="46BB2786" w:rsidR="001E5C21" w:rsidRPr="00037CCB" w:rsidRDefault="001E5C21" w:rsidP="001E5C21">
            <w:pPr>
              <w:spacing w:before="40" w:beforeAutospacing="0" w:after="40" w:afterAutospacing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 w:rsidRPr="00037CCB"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lastRenderedPageBreak/>
              <w:t>Acumulado do Ano</w:t>
            </w: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B316D" w14:textId="049C46C1" w:rsidR="001E5C21" w:rsidRPr="00037CCB" w:rsidRDefault="001E5C21" w:rsidP="001E5C21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sz w:val="18"/>
                <w:szCs w:val="18"/>
              </w:rPr>
              <w:t xml:space="preserve">8.272 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408BA" w14:textId="6059BEB9" w:rsidR="001E5C21" w:rsidRPr="00037CCB" w:rsidRDefault="001E5C21" w:rsidP="001E5C21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color w:val="FF0000"/>
                <w:sz w:val="18"/>
                <w:szCs w:val="18"/>
              </w:rPr>
              <w:t xml:space="preserve">-4,6 </w:t>
            </w: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F9127" w14:textId="2A655B7F" w:rsidR="001E5C21" w:rsidRPr="00037CCB" w:rsidRDefault="001E5C21" w:rsidP="001E5C21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sz w:val="18"/>
                <w:szCs w:val="18"/>
              </w:rPr>
              <w:t xml:space="preserve">9.499 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046E2" w14:textId="30B49DBD" w:rsidR="001E5C21" w:rsidRPr="00037CCB" w:rsidRDefault="001E5C21" w:rsidP="001E5C21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color w:val="FF0000"/>
                <w:sz w:val="18"/>
                <w:szCs w:val="18"/>
              </w:rPr>
              <w:t xml:space="preserve">-25,2 </w:t>
            </w: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C0B0A" w14:textId="4DE80616" w:rsidR="001E5C21" w:rsidRPr="00037CCB" w:rsidRDefault="001E5C21" w:rsidP="001E5C21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color w:val="FF0000"/>
                <w:sz w:val="18"/>
                <w:szCs w:val="18"/>
              </w:rPr>
              <w:t xml:space="preserve">-1.228 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06EA7" w14:textId="478A5F65" w:rsidR="001E5C21" w:rsidRPr="00037CCB" w:rsidRDefault="001E5C21" w:rsidP="001E5C21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color w:val="FF0000"/>
                <w:sz w:val="18"/>
                <w:szCs w:val="18"/>
              </w:rPr>
              <w:t xml:space="preserve">-69,5 </w:t>
            </w: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C56D" w14:textId="512D8E0F" w:rsidR="001E5C21" w:rsidRPr="00037CCB" w:rsidRDefault="001E5C21" w:rsidP="001E5C21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sz w:val="18"/>
                <w:szCs w:val="18"/>
              </w:rPr>
              <w:t xml:space="preserve">17.771 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A862" w14:textId="7FC765D3" w:rsidR="001E5C21" w:rsidRPr="00037CCB" w:rsidRDefault="001E5C21" w:rsidP="001E5C21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color w:val="FF0000"/>
                <w:sz w:val="18"/>
                <w:szCs w:val="18"/>
              </w:rPr>
              <w:t xml:space="preserve">-16,8 </w:t>
            </w:r>
          </w:p>
        </w:tc>
      </w:tr>
      <w:tr w:rsidR="001E5C21" w:rsidRPr="0061476A" w14:paraId="0D8B892D" w14:textId="77777777" w:rsidTr="00EF45E6">
        <w:trPr>
          <w:trHeight w:val="300"/>
        </w:trPr>
        <w:tc>
          <w:tcPr>
            <w:tcW w:w="9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A8DFB" w14:textId="764AAEF2" w:rsidR="001E5C21" w:rsidRPr="00037CCB" w:rsidRDefault="001E5C21" w:rsidP="001E5C21">
            <w:pPr>
              <w:spacing w:before="40" w:beforeAutospacing="0" w:after="40" w:afterAutospacing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 w:rsidRPr="00037CCB"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Acumulado 12 meses</w:t>
            </w: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5CC92" w14:textId="7DA01A2F" w:rsidR="001E5C21" w:rsidRPr="00037CCB" w:rsidRDefault="001E5C21" w:rsidP="001E5C21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sz w:val="18"/>
                <w:szCs w:val="18"/>
              </w:rPr>
              <w:t xml:space="preserve">8.272 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5D694" w14:textId="2369E6B0" w:rsidR="001E5C21" w:rsidRPr="00037CCB" w:rsidRDefault="001E5C21" w:rsidP="001E5C21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color w:val="FF0000"/>
                <w:sz w:val="18"/>
                <w:szCs w:val="18"/>
              </w:rPr>
              <w:t xml:space="preserve">-4,6 </w:t>
            </w: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5C7EE" w14:textId="5E5BCDEE" w:rsidR="001E5C21" w:rsidRPr="00037CCB" w:rsidRDefault="001E5C21" w:rsidP="001E5C21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sz w:val="18"/>
                <w:szCs w:val="18"/>
              </w:rPr>
              <w:t xml:space="preserve">9.499 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3B8F9" w14:textId="7E6CC843" w:rsidR="001E5C21" w:rsidRPr="00037CCB" w:rsidRDefault="001E5C21" w:rsidP="001E5C21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color w:val="FF0000"/>
                <w:sz w:val="18"/>
                <w:szCs w:val="18"/>
              </w:rPr>
              <w:t xml:space="preserve">-25,2 </w:t>
            </w: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BF52F" w14:textId="2907A76E" w:rsidR="001E5C21" w:rsidRPr="00037CCB" w:rsidRDefault="001E5C21" w:rsidP="001E5C21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color w:val="FF0000"/>
                <w:sz w:val="18"/>
                <w:szCs w:val="18"/>
              </w:rPr>
              <w:t xml:space="preserve">-1.228 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9E5EA" w14:textId="458DAC58" w:rsidR="001E5C21" w:rsidRPr="00037CCB" w:rsidRDefault="001E5C21" w:rsidP="001E5C21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color w:val="FF0000"/>
                <w:sz w:val="18"/>
                <w:szCs w:val="18"/>
              </w:rPr>
              <w:t xml:space="preserve">-69,5 </w:t>
            </w: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613AF" w14:textId="581E1428" w:rsidR="001E5C21" w:rsidRPr="00037CCB" w:rsidRDefault="001E5C21" w:rsidP="001E5C21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sz w:val="18"/>
                <w:szCs w:val="18"/>
              </w:rPr>
              <w:t xml:space="preserve">17.771 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DD39A" w14:textId="0E81CD62" w:rsidR="001E5C21" w:rsidRPr="00037CCB" w:rsidRDefault="001E5C21" w:rsidP="001E5C21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color w:val="FF0000"/>
                <w:sz w:val="18"/>
                <w:szCs w:val="18"/>
              </w:rPr>
              <w:t xml:space="preserve">-16,8 </w:t>
            </w:r>
          </w:p>
        </w:tc>
      </w:tr>
      <w:tr w:rsidR="00B70AC4" w:rsidRPr="0061476A" w14:paraId="335F3854" w14:textId="77777777" w:rsidTr="00EF45E6">
        <w:trPr>
          <w:trHeight w:val="300"/>
        </w:trPr>
        <w:tc>
          <w:tcPr>
            <w:tcW w:w="97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1A28BD" w14:textId="77777777" w:rsidR="00B70AC4" w:rsidRPr="00037CCB" w:rsidRDefault="00B70AC4" w:rsidP="00B70AC4">
            <w:pPr>
              <w:spacing w:before="0" w:beforeAutospacing="0" w:after="0" w:afterAutospacing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037CC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  <w:t>Ceará</w:t>
            </w:r>
          </w:p>
        </w:tc>
        <w:tc>
          <w:tcPr>
            <w:tcW w:w="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99A6A4" w14:textId="7E6C9379" w:rsidR="00B70AC4" w:rsidRPr="00037CCB" w:rsidRDefault="00B70AC4" w:rsidP="00B70AC4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3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9A9C19" w14:textId="29F8E0E4" w:rsidR="00B70AC4" w:rsidRPr="00037CCB" w:rsidRDefault="00B70AC4" w:rsidP="00B70AC4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633F9A" w14:textId="427920E5" w:rsidR="00B70AC4" w:rsidRPr="00037CCB" w:rsidRDefault="00B70AC4" w:rsidP="00B70AC4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8BCC97" w14:textId="79C29E46" w:rsidR="00B70AC4" w:rsidRPr="00037CCB" w:rsidRDefault="00B70AC4" w:rsidP="00B70AC4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3487EF" w14:textId="174B4B39" w:rsidR="00B70AC4" w:rsidRPr="00037CCB" w:rsidRDefault="00B70AC4" w:rsidP="00B70AC4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4FB5D1" w14:textId="6FD2565B" w:rsidR="00B70AC4" w:rsidRPr="00037CCB" w:rsidRDefault="00B70AC4" w:rsidP="00B70AC4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FECC2D" w14:textId="2307ADA6" w:rsidR="00B70AC4" w:rsidRPr="00037CCB" w:rsidRDefault="00B70AC4" w:rsidP="00B70AC4">
            <w:pPr>
              <w:spacing w:before="0" w:beforeAutospacing="0"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3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EB8522" w14:textId="4E795741" w:rsidR="00B70AC4" w:rsidRPr="00037CCB" w:rsidRDefault="00B70AC4" w:rsidP="00B70AC4">
            <w:pPr>
              <w:spacing w:before="0" w:beforeAutospacing="0"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1E5C21" w:rsidRPr="0061476A" w14:paraId="137FF30C" w14:textId="77777777" w:rsidTr="00EF45E6">
        <w:trPr>
          <w:trHeight w:val="300"/>
        </w:trPr>
        <w:tc>
          <w:tcPr>
            <w:tcW w:w="9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0B339" w14:textId="130A8274" w:rsidR="001E5C21" w:rsidRPr="00037CCB" w:rsidRDefault="001E5C21" w:rsidP="001E5C21">
            <w:pPr>
              <w:spacing w:before="40" w:beforeAutospacing="0" w:after="40" w:afterAutospacing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Dez</w:t>
            </w:r>
            <w:r w:rsidRPr="00564B49"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 xml:space="preserve">. 2020/ 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dez</w:t>
            </w:r>
            <w:r w:rsidRPr="00564B49"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. 2019</w:t>
            </w: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8134" w14:textId="2E6C23F7" w:rsidR="001E5C21" w:rsidRPr="00037CCB" w:rsidRDefault="001E5C21" w:rsidP="001E5C21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sz w:val="18"/>
                <w:szCs w:val="18"/>
              </w:rPr>
              <w:t xml:space="preserve">153 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16629" w14:textId="4570FD61" w:rsidR="001E5C21" w:rsidRPr="00037CCB" w:rsidRDefault="001E5C21" w:rsidP="001E5C21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color w:val="FF0000"/>
                <w:sz w:val="18"/>
                <w:szCs w:val="18"/>
              </w:rPr>
              <w:t xml:space="preserve">-15,6 </w:t>
            </w: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8E433" w14:textId="38D285D3" w:rsidR="001E5C21" w:rsidRPr="00037CCB" w:rsidRDefault="001E5C21" w:rsidP="001E5C21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sz w:val="18"/>
                <w:szCs w:val="18"/>
              </w:rPr>
              <w:t xml:space="preserve">209 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73FEE" w14:textId="59089324" w:rsidR="001E5C21" w:rsidRPr="00037CCB" w:rsidRDefault="001E5C21" w:rsidP="001E5C21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sz w:val="18"/>
                <w:szCs w:val="18"/>
              </w:rPr>
              <w:t xml:space="preserve">22,4 </w:t>
            </w: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91A2" w14:textId="12A55340" w:rsidR="001E5C21" w:rsidRPr="00037CCB" w:rsidRDefault="001E5C21" w:rsidP="001E5C21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color w:val="FF0000"/>
                <w:sz w:val="18"/>
                <w:szCs w:val="18"/>
              </w:rPr>
              <w:t xml:space="preserve">-56 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BDD93" w14:textId="5EF40E05" w:rsidR="001E5C21" w:rsidRPr="00AC539F" w:rsidRDefault="001E5C21" w:rsidP="001E5C21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color w:val="FF0000"/>
                <w:sz w:val="18"/>
                <w:szCs w:val="18"/>
                <w:lang w:eastAsia="pt-BR"/>
              </w:rPr>
            </w:pPr>
            <w:r>
              <w:rPr>
                <w:color w:val="FF0000"/>
                <w:sz w:val="18"/>
                <w:szCs w:val="18"/>
              </w:rPr>
              <w:t xml:space="preserve">-646,3 </w:t>
            </w: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0358F" w14:textId="224B8B7F" w:rsidR="001E5C21" w:rsidRPr="00037CCB" w:rsidRDefault="001E5C21" w:rsidP="001E5C21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sz w:val="18"/>
                <w:szCs w:val="18"/>
              </w:rPr>
              <w:t xml:space="preserve">362 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36AAB" w14:textId="1824F39E" w:rsidR="001E5C21" w:rsidRPr="00037CCB" w:rsidRDefault="001E5C21" w:rsidP="001E5C21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sz w:val="18"/>
                <w:szCs w:val="18"/>
              </w:rPr>
              <w:t xml:space="preserve">2,8 </w:t>
            </w:r>
          </w:p>
        </w:tc>
      </w:tr>
      <w:tr w:rsidR="001E5C21" w:rsidRPr="0061476A" w14:paraId="1D70AC52" w14:textId="77777777" w:rsidTr="00EF45E6">
        <w:trPr>
          <w:trHeight w:val="300"/>
        </w:trPr>
        <w:tc>
          <w:tcPr>
            <w:tcW w:w="9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BCD6E" w14:textId="31F4EBE0" w:rsidR="001E5C21" w:rsidRPr="00037CCB" w:rsidRDefault="001E5C21" w:rsidP="001E5C21">
            <w:pPr>
              <w:spacing w:before="40" w:beforeAutospacing="0" w:after="40" w:afterAutospacing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 w:rsidRPr="00037CCB"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Acumulado do Ano</w:t>
            </w: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4C609" w14:textId="685C7F0B" w:rsidR="001E5C21" w:rsidRPr="00037CCB" w:rsidRDefault="001E5C21" w:rsidP="001E5C21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sz w:val="18"/>
                <w:szCs w:val="18"/>
              </w:rPr>
              <w:t xml:space="preserve">1.853 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E0F46" w14:textId="14B5DA80" w:rsidR="001E5C21" w:rsidRPr="00037CCB" w:rsidRDefault="001E5C21" w:rsidP="001E5C21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color w:val="FF0000"/>
                <w:sz w:val="18"/>
                <w:szCs w:val="18"/>
              </w:rPr>
              <w:t xml:space="preserve">-18,5 </w:t>
            </w: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CDF9F" w14:textId="5BD03086" w:rsidR="001E5C21" w:rsidRPr="00037CCB" w:rsidRDefault="001E5C21" w:rsidP="001E5C21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sz w:val="18"/>
                <w:szCs w:val="18"/>
              </w:rPr>
              <w:t xml:space="preserve">2.413 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BC5E1" w14:textId="78306DDC" w:rsidR="001E5C21" w:rsidRPr="00037CCB" w:rsidRDefault="001E5C21" w:rsidP="001E5C21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sz w:val="18"/>
                <w:szCs w:val="18"/>
              </w:rPr>
              <w:t xml:space="preserve">2,4 </w:t>
            </w: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330F7" w14:textId="3B6FF446" w:rsidR="001E5C21" w:rsidRPr="00037CCB" w:rsidRDefault="001E5C21" w:rsidP="001E5C21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color w:val="FF0000"/>
                <w:sz w:val="18"/>
                <w:szCs w:val="18"/>
              </w:rPr>
              <w:t xml:space="preserve">-560 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A40AE" w14:textId="4763D94A" w:rsidR="001E5C21" w:rsidRPr="00C639FC" w:rsidRDefault="001E5C21" w:rsidP="001E5C21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color w:val="FF0000"/>
                <w:sz w:val="18"/>
                <w:szCs w:val="18"/>
                <w:lang w:eastAsia="pt-BR"/>
              </w:rPr>
            </w:pPr>
            <w:r>
              <w:rPr>
                <w:sz w:val="18"/>
                <w:szCs w:val="18"/>
              </w:rPr>
              <w:t xml:space="preserve">586,4 </w:t>
            </w: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041F5" w14:textId="2DAD4984" w:rsidR="001E5C21" w:rsidRPr="00037CCB" w:rsidRDefault="001E5C21" w:rsidP="001E5C21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sz w:val="18"/>
                <w:szCs w:val="18"/>
              </w:rPr>
              <w:t xml:space="preserve">4.267 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F1977" w14:textId="0F581D02" w:rsidR="001E5C21" w:rsidRPr="00037CCB" w:rsidRDefault="001E5C21" w:rsidP="001E5C21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color w:val="FF0000"/>
                <w:sz w:val="18"/>
                <w:szCs w:val="18"/>
              </w:rPr>
              <w:t xml:space="preserve">-16,8 </w:t>
            </w:r>
          </w:p>
        </w:tc>
      </w:tr>
      <w:tr w:rsidR="001E5C21" w:rsidRPr="0061476A" w14:paraId="2661FF2A" w14:textId="77777777" w:rsidTr="00EF45E6">
        <w:trPr>
          <w:trHeight w:val="300"/>
        </w:trPr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8F8136" w14:textId="66CA856D" w:rsidR="001E5C21" w:rsidRPr="00037CCB" w:rsidRDefault="001E5C21" w:rsidP="001E5C21">
            <w:pPr>
              <w:spacing w:before="40" w:beforeAutospacing="0" w:after="40" w:afterAutospacing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 w:rsidRPr="00037CCB"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Acumulado 12 meses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5CA9AB" w14:textId="1CDAB9BC" w:rsidR="001E5C21" w:rsidRPr="00037CCB" w:rsidRDefault="001E5C21" w:rsidP="001E5C21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sz w:val="18"/>
                <w:szCs w:val="18"/>
              </w:rPr>
              <w:t xml:space="preserve">1.853 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E5CFAC" w14:textId="32DE0812" w:rsidR="001E5C21" w:rsidRPr="00037CCB" w:rsidRDefault="001E5C21" w:rsidP="001E5C21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color w:val="FF0000"/>
                <w:sz w:val="18"/>
                <w:szCs w:val="18"/>
              </w:rPr>
              <w:t xml:space="preserve">-18,5 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5CEF6D" w14:textId="0F16A955" w:rsidR="001E5C21" w:rsidRPr="00037CCB" w:rsidRDefault="001E5C21" w:rsidP="001E5C21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sz w:val="18"/>
                <w:szCs w:val="18"/>
              </w:rPr>
              <w:t xml:space="preserve">2.413 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59D854" w14:textId="65CF86FC" w:rsidR="001E5C21" w:rsidRPr="00037CCB" w:rsidRDefault="001E5C21" w:rsidP="001E5C21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sz w:val="18"/>
                <w:szCs w:val="18"/>
              </w:rPr>
              <w:t xml:space="preserve">2,4 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CCDD0A" w14:textId="23EF357F" w:rsidR="001E5C21" w:rsidRPr="00037CCB" w:rsidRDefault="001E5C21" w:rsidP="001E5C21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color w:val="FF0000"/>
                <w:sz w:val="18"/>
                <w:szCs w:val="18"/>
              </w:rPr>
              <w:t xml:space="preserve">-560 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48B043" w14:textId="08561997" w:rsidR="001E5C21" w:rsidRPr="00C2632A" w:rsidRDefault="001E5C21" w:rsidP="001E5C21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color w:val="FF0000"/>
                <w:sz w:val="18"/>
                <w:szCs w:val="18"/>
                <w:lang w:eastAsia="pt-BR"/>
              </w:rPr>
            </w:pPr>
            <w:r>
              <w:rPr>
                <w:sz w:val="18"/>
                <w:szCs w:val="18"/>
              </w:rPr>
              <w:t xml:space="preserve">586,4 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9EB5E8" w14:textId="7705C41A" w:rsidR="001E5C21" w:rsidRPr="00037CCB" w:rsidRDefault="001E5C21" w:rsidP="001E5C21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sz w:val="18"/>
                <w:szCs w:val="18"/>
              </w:rPr>
              <w:t xml:space="preserve">4.267 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B56EA2" w14:textId="62009861" w:rsidR="001E5C21" w:rsidRPr="00037CCB" w:rsidRDefault="001E5C21" w:rsidP="001E5C21">
            <w:pPr>
              <w:spacing w:before="40" w:beforeAutospacing="0" w:after="40" w:afterAutospacing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color w:val="FF0000"/>
                <w:sz w:val="18"/>
                <w:szCs w:val="18"/>
              </w:rPr>
              <w:t xml:space="preserve">-7,9 </w:t>
            </w:r>
          </w:p>
        </w:tc>
      </w:tr>
    </w:tbl>
    <w:p w14:paraId="257E8D09" w14:textId="430C3761" w:rsidR="008F72CF" w:rsidRDefault="001B63B9" w:rsidP="00420AE9">
      <w:pPr>
        <w:pStyle w:val="captiontabela"/>
        <w:spacing w:after="40" w:afterAutospacing="0"/>
      </w:pPr>
      <w:r>
        <w:t xml:space="preserve">Fonte: </w:t>
      </w:r>
      <w:r w:rsidRPr="001B63B9">
        <w:t>MDIC/SECEX. Elaboração: NUPE/UNIFOR</w:t>
      </w:r>
      <w:r>
        <w:t>.</w:t>
      </w:r>
    </w:p>
    <w:p w14:paraId="5F79DA9B" w14:textId="0DE45F71" w:rsidR="00ED1636" w:rsidRPr="00ED1636" w:rsidRDefault="00420AE9" w:rsidP="00AD3E4E">
      <w:pPr>
        <w:pStyle w:val="captiontabela"/>
      </w:pPr>
      <w:r w:rsidRPr="00420AE9">
        <w:t>Nota: (*)</w:t>
      </w:r>
      <w:r>
        <w:t xml:space="preserve">: </w:t>
      </w:r>
      <w:r w:rsidRPr="00420AE9">
        <w:t xml:space="preserve">Variação do acumulado de janeiro/2020 a </w:t>
      </w:r>
      <w:r w:rsidR="00B95CC1">
        <w:t>dezembro</w:t>
      </w:r>
      <w:r w:rsidRPr="00420AE9">
        <w:t>/2020 em comparação com o acumulado para o mesmo período de 2019.</w:t>
      </w:r>
    </w:p>
    <w:p w14:paraId="01A5F6A3" w14:textId="78891117" w:rsidR="007861A5" w:rsidRDefault="009F1F48" w:rsidP="009F1F48">
      <w:pPr>
        <w:pStyle w:val="Ttulo1"/>
      </w:pPr>
      <w:r w:rsidRPr="009F1F48">
        <w:t>ÍNDICE DE AÇÕES CEARENSES (IAC)</w:t>
      </w:r>
    </w:p>
    <w:p w14:paraId="3D619B36" w14:textId="20BCCE74" w:rsidR="009E580F" w:rsidRPr="009E580F" w:rsidRDefault="009E580F" w:rsidP="009E580F">
      <w:r>
        <w:t xml:space="preserve">As empresas cearenses registradas em bolsas de valores </w:t>
      </w:r>
      <w:r w:rsidR="002E167F">
        <w:t>apresentaram declínio de</w:t>
      </w:r>
      <w:r w:rsidR="002A1C8F">
        <w:t xml:space="preserve"> 4,31%</w:t>
      </w:r>
      <w:r w:rsidR="003A721A">
        <w:t xml:space="preserve"> em fevereiro</w:t>
      </w:r>
      <w:r w:rsidR="009A1EFC">
        <w:t xml:space="preserve"> de 2020</w:t>
      </w:r>
      <w:r w:rsidR="003A721A">
        <w:t xml:space="preserve">, </w:t>
      </w:r>
      <w:r w:rsidR="006D3522">
        <w:t>variação negativa quando comparada com o mês anterior</w:t>
      </w:r>
      <w:r w:rsidR="00FD4434">
        <w:t>,</w:t>
      </w:r>
      <w:r w:rsidR="00F27A77">
        <w:t xml:space="preserve"> conforme destaca o Índice de Ações Cearenses (IAC)</w:t>
      </w:r>
      <w:r w:rsidR="00964DD6">
        <w:t>.</w:t>
      </w:r>
      <w:r w:rsidR="006D3522">
        <w:t xml:space="preserve"> No acumulado do ano, o IAC </w:t>
      </w:r>
      <w:r w:rsidR="00560444">
        <w:t xml:space="preserve">registra queda de 1,61% enquanto o Ibovespa </w:t>
      </w:r>
      <w:r w:rsidR="00F12AD3">
        <w:t xml:space="preserve">apresenta declínio de 7,55% </w:t>
      </w:r>
      <w:r w:rsidR="00DB3BEE">
        <w:t>(</w:t>
      </w:r>
      <w:r w:rsidR="00F12AD3">
        <w:t>Gráfico 2</w:t>
      </w:r>
      <w:r w:rsidR="00DB3BEE">
        <w:t>)</w:t>
      </w:r>
      <w:r w:rsidR="00F12AD3">
        <w:t>.</w:t>
      </w:r>
      <w:r w:rsidR="00ED1636">
        <w:t xml:space="preserve"> Em contrapartida, no acumulado dos últimos 12 meses, </w:t>
      </w:r>
      <w:r w:rsidR="009B2DF3">
        <w:t xml:space="preserve">o Ibovespa </w:t>
      </w:r>
      <w:r w:rsidR="00FD6F5D">
        <w:t>registra taxa superior ao IAC com valorização</w:t>
      </w:r>
      <w:r w:rsidR="0087111C">
        <w:t xml:space="preserve"> de 5,63%</w:t>
      </w:r>
      <w:r w:rsidR="00FD6F5D">
        <w:t xml:space="preserve">, </w:t>
      </w:r>
      <w:r w:rsidR="00296F39">
        <w:t xml:space="preserve">percentual acima </w:t>
      </w:r>
      <w:r w:rsidR="00BE0B41">
        <w:t xml:space="preserve">ao apurado </w:t>
      </w:r>
      <w:r w:rsidR="00296F39">
        <w:t xml:space="preserve">em </w:t>
      </w:r>
      <w:r w:rsidR="00234158">
        <w:t xml:space="preserve">fevereiro de 2020, quando havia registrado taxa de </w:t>
      </w:r>
      <w:r w:rsidR="00921F70">
        <w:t>8,98%</w:t>
      </w:r>
      <w:r w:rsidR="00A926B6">
        <w:t xml:space="preserve">. </w:t>
      </w:r>
      <w:r w:rsidR="00931949">
        <w:t xml:space="preserve">O IAC apresentou </w:t>
      </w:r>
      <w:r w:rsidR="00BD73E8">
        <w:t>retorno</w:t>
      </w:r>
      <w:r w:rsidR="00931949">
        <w:t xml:space="preserve"> acumulado de 4,87% nos últimos 12 meses, </w:t>
      </w:r>
      <w:r w:rsidR="00B61110">
        <w:t>taxa inferior aos 65,59% registrados em fevereiro do ano anterior.</w:t>
      </w:r>
    </w:p>
    <w:p w14:paraId="0E5E6B4F" w14:textId="1F1B1F4B" w:rsidR="00BF5EF0" w:rsidRDefault="00BF5EF0" w:rsidP="00BF5EF0">
      <w:pPr>
        <w:pStyle w:val="Legenda"/>
      </w:pPr>
      <w:r>
        <w:t xml:space="preserve">Gráfico </w:t>
      </w:r>
      <w:r w:rsidR="00946C8B">
        <w:t>2</w:t>
      </w:r>
      <w:r>
        <w:t xml:space="preserve"> - </w:t>
      </w:r>
      <w:r w:rsidRPr="007364F2">
        <w:t xml:space="preserve">Retorno diário do IAC e do Ibovespa – </w:t>
      </w:r>
      <w:r w:rsidR="002E7DD8">
        <w:t>F</w:t>
      </w:r>
      <w:r>
        <w:t>evereiro</w:t>
      </w:r>
      <w:r w:rsidRPr="007364F2">
        <w:t xml:space="preserve"> de 2021.</w:t>
      </w:r>
    </w:p>
    <w:p w14:paraId="342E3035" w14:textId="544FDE27" w:rsidR="009F1F48" w:rsidRDefault="00D66AA4" w:rsidP="00BF5EF0">
      <w:pPr>
        <w:spacing w:before="0" w:beforeAutospacing="0" w:after="0" w:afterAutospacing="0"/>
        <w:ind w:firstLine="0"/>
      </w:pPr>
      <w:r>
        <w:rPr>
          <w:noProof/>
        </w:rPr>
        <w:drawing>
          <wp:inline distT="0" distB="0" distL="0" distR="0" wp14:anchorId="1C61C9A6" wp14:editId="65440F80">
            <wp:extent cx="5760000" cy="2880000"/>
            <wp:effectExtent l="0" t="0" r="12700" b="15875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4CA30382-0D1A-40D7-95E9-031070A00B8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5269C26" w14:textId="0A0E7006" w:rsidR="00AA4EB0" w:rsidRDefault="00AA4EB0" w:rsidP="00AA4EB0">
      <w:pPr>
        <w:pStyle w:val="Legenda1"/>
      </w:pPr>
      <w:r>
        <w:t xml:space="preserve">Fonte: Yahoo </w:t>
      </w:r>
      <w:proofErr w:type="spellStart"/>
      <w:r w:rsidRPr="00677CC4">
        <w:rPr>
          <w:i/>
          <w:iCs/>
        </w:rPr>
        <w:t>Finance</w:t>
      </w:r>
      <w:proofErr w:type="spellEnd"/>
      <w:r>
        <w:t xml:space="preserve">. Elaboração: </w:t>
      </w:r>
      <w:proofErr w:type="spellStart"/>
      <w:r>
        <w:t>Nupe</w:t>
      </w:r>
      <w:proofErr w:type="spellEnd"/>
      <w:r>
        <w:t xml:space="preserve">/Unifor. </w:t>
      </w:r>
    </w:p>
    <w:p w14:paraId="66EC4FA6" w14:textId="0082BD09" w:rsidR="00E6798E" w:rsidRPr="00E6798E" w:rsidRDefault="00E6798E" w:rsidP="00E6798E">
      <w:r>
        <w:t>Observando as empresas pertencentes ao IAC, em fevereiro</w:t>
      </w:r>
      <w:r w:rsidR="007D0D3F">
        <w:t xml:space="preserve"> de 2020</w:t>
      </w:r>
      <w:r>
        <w:t xml:space="preserve">, apenas a Arco </w:t>
      </w:r>
      <w:r w:rsidR="00651EAF">
        <w:t xml:space="preserve">Educação (ARCE) registrou </w:t>
      </w:r>
      <w:r w:rsidR="00270EF0">
        <w:t>retorno positivo (</w:t>
      </w:r>
      <w:r w:rsidR="001E4728">
        <w:t>+</w:t>
      </w:r>
      <w:r w:rsidR="00270EF0">
        <w:t>13,11%), com participação</w:t>
      </w:r>
      <w:r w:rsidR="009D530D">
        <w:t xml:space="preserve"> de</w:t>
      </w:r>
      <w:r w:rsidR="00270EF0">
        <w:t xml:space="preserve"> 28,64%</w:t>
      </w:r>
      <w:r w:rsidR="007D0D3F">
        <w:t xml:space="preserve"> no índice. </w:t>
      </w:r>
      <w:r w:rsidR="004A66D3">
        <w:t xml:space="preserve">Em contrapartida, </w:t>
      </w:r>
      <w:r w:rsidR="001634A2">
        <w:t xml:space="preserve">na variação acumulada do ano, </w:t>
      </w:r>
      <w:r w:rsidR="00F3782E">
        <w:t xml:space="preserve">quatro empresas </w:t>
      </w:r>
      <w:r w:rsidR="004602A6">
        <w:t>obt</w:t>
      </w:r>
      <w:r w:rsidR="00096CE2">
        <w:t>iveram</w:t>
      </w:r>
      <w:r w:rsidR="001634A2">
        <w:t xml:space="preserve"> </w:t>
      </w:r>
      <w:r w:rsidR="00EA40DF">
        <w:lastRenderedPageBreak/>
        <w:t>desempenho positivo, são estas: Pague menos (+9,76%</w:t>
      </w:r>
      <w:r w:rsidR="005E6D13">
        <w:t xml:space="preserve"> com participação de 4,14%</w:t>
      </w:r>
      <w:r w:rsidR="00EA40DF">
        <w:t xml:space="preserve">), </w:t>
      </w:r>
      <w:r w:rsidR="005E6D13">
        <w:t>Arco Educação (+6,45% com participação de 28,64%)</w:t>
      </w:r>
      <w:r w:rsidR="008E5E92">
        <w:t xml:space="preserve">, </w:t>
      </w:r>
      <w:proofErr w:type="spellStart"/>
      <w:r w:rsidR="008E5E92">
        <w:t>Aeris</w:t>
      </w:r>
      <w:proofErr w:type="spellEnd"/>
      <w:r w:rsidR="008E5E92">
        <w:t xml:space="preserve"> (+5,34%</w:t>
      </w:r>
      <w:r w:rsidR="00474E1B">
        <w:t xml:space="preserve"> com participação de 5,34%</w:t>
      </w:r>
      <w:r w:rsidR="008E5E92">
        <w:t xml:space="preserve">) e </w:t>
      </w:r>
      <w:proofErr w:type="spellStart"/>
      <w:r w:rsidR="008E5E92">
        <w:t>Hapvida</w:t>
      </w:r>
      <w:proofErr w:type="spellEnd"/>
      <w:r w:rsidR="008E5E92">
        <w:t xml:space="preserve"> (+0,26% com participação de 42,11%)</w:t>
      </w:r>
      <w:r w:rsidR="00474E1B">
        <w:t>.</w:t>
      </w:r>
      <w:r w:rsidR="00914761">
        <w:t xml:space="preserve"> As demais empresas registram retornos negativos, em </w:t>
      </w:r>
      <w:r w:rsidR="008F7BA1">
        <w:t>destaque para</w:t>
      </w:r>
      <w:r w:rsidR="00914761">
        <w:t xml:space="preserve"> o Banco do Nordeste e M. Dias Brancos, que acumulam</w:t>
      </w:r>
      <w:r w:rsidR="00775041">
        <w:t xml:space="preserve"> perdas de 34,74% e 30,02%, respectivamente</w:t>
      </w:r>
      <w:r w:rsidR="008F7BA1">
        <w:t>, no acumulado dos últimos 12 meses</w:t>
      </w:r>
      <w:r w:rsidR="00775041">
        <w:t xml:space="preserve">. </w:t>
      </w:r>
    </w:p>
    <w:p w14:paraId="655BEE2B" w14:textId="0F570A5C" w:rsidR="00337237" w:rsidRDefault="00337237" w:rsidP="00337237">
      <w:pPr>
        <w:pStyle w:val="Legenda"/>
      </w:pPr>
      <w:r>
        <w:t xml:space="preserve">Tabela </w:t>
      </w:r>
      <w:r w:rsidR="00AE5D78">
        <w:t>8</w:t>
      </w:r>
      <w:r>
        <w:t xml:space="preserve"> - Retornos do Ibovespa e das empresas contidas no IAC</w:t>
      </w:r>
      <w:r w:rsidR="002E7DD8">
        <w:t xml:space="preserve"> – Fevereiro de 2021</w:t>
      </w:r>
      <w:r>
        <w:t>.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1"/>
        <w:gridCol w:w="1731"/>
        <w:gridCol w:w="2239"/>
        <w:gridCol w:w="2565"/>
        <w:gridCol w:w="1415"/>
      </w:tblGrid>
      <w:tr w:rsidR="00337237" w:rsidRPr="007D446D" w14:paraId="77F8BF23" w14:textId="77777777" w:rsidTr="00337237">
        <w:trPr>
          <w:trHeight w:val="600"/>
        </w:trPr>
        <w:tc>
          <w:tcPr>
            <w:tcW w:w="61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2CCC49C" w14:textId="77777777" w:rsidR="00337237" w:rsidRPr="007D446D" w:rsidRDefault="00337237" w:rsidP="00CC71F2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pt-BR"/>
              </w:rPr>
            </w:pPr>
            <w:proofErr w:type="spellStart"/>
            <w:r w:rsidRPr="007D446D">
              <w:rPr>
                <w:rFonts w:eastAsia="Times New Roman" w:cs="Times New Roman"/>
                <w:b/>
                <w:bCs/>
                <w:color w:val="000000"/>
                <w:sz w:val="22"/>
                <w:lang w:eastAsia="pt-BR"/>
              </w:rPr>
              <w:t>Tickers</w:t>
            </w:r>
            <w:proofErr w:type="spellEnd"/>
          </w:p>
        </w:tc>
        <w:tc>
          <w:tcPr>
            <w:tcW w:w="95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49F581B" w14:textId="77777777" w:rsidR="00337237" w:rsidRPr="007D446D" w:rsidRDefault="00337237" w:rsidP="00CC71F2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pt-BR"/>
              </w:rPr>
            </w:pPr>
            <w:r w:rsidRPr="007D446D">
              <w:rPr>
                <w:rFonts w:eastAsia="Times New Roman" w:cs="Times New Roman"/>
                <w:b/>
                <w:bCs/>
                <w:color w:val="000000"/>
                <w:sz w:val="22"/>
                <w:lang w:eastAsia="pt-BR"/>
              </w:rPr>
              <w:t>Retorno mensal (%)</w:t>
            </w:r>
          </w:p>
        </w:tc>
        <w:tc>
          <w:tcPr>
            <w:tcW w:w="123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003EFEF" w14:textId="77777777" w:rsidR="00337237" w:rsidRPr="007D446D" w:rsidRDefault="00337237" w:rsidP="00CC71F2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pt-BR"/>
              </w:rPr>
            </w:pPr>
            <w:r w:rsidRPr="007D446D">
              <w:rPr>
                <w:rFonts w:eastAsia="Times New Roman" w:cs="Times New Roman"/>
                <w:b/>
                <w:bCs/>
                <w:color w:val="000000"/>
                <w:sz w:val="22"/>
                <w:lang w:eastAsia="pt-BR"/>
              </w:rPr>
              <w:t>Retorno acumulada no ano (%)</w:t>
            </w:r>
          </w:p>
        </w:tc>
        <w:tc>
          <w:tcPr>
            <w:tcW w:w="141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2185B6C" w14:textId="77777777" w:rsidR="00337237" w:rsidRPr="007D446D" w:rsidRDefault="00337237" w:rsidP="00CC71F2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pt-BR"/>
              </w:rPr>
            </w:pPr>
            <w:r w:rsidRPr="007D446D">
              <w:rPr>
                <w:rFonts w:eastAsia="Times New Roman" w:cs="Times New Roman"/>
                <w:b/>
                <w:bCs/>
                <w:color w:val="000000"/>
                <w:sz w:val="22"/>
                <w:lang w:eastAsia="pt-BR"/>
              </w:rPr>
              <w:t>Retorno acumulado dos últimos 12 meses (%)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B780F88" w14:textId="77777777" w:rsidR="00337237" w:rsidRPr="007D446D" w:rsidRDefault="00337237" w:rsidP="00CC71F2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pt-BR"/>
              </w:rPr>
            </w:pPr>
            <w:r w:rsidRPr="007D446D">
              <w:rPr>
                <w:rFonts w:eastAsia="Times New Roman" w:cs="Times New Roman"/>
                <w:b/>
                <w:bCs/>
                <w:color w:val="000000"/>
                <w:sz w:val="22"/>
                <w:lang w:eastAsia="pt-BR"/>
              </w:rPr>
              <w:t>Participação mensal (%)</w:t>
            </w:r>
          </w:p>
        </w:tc>
      </w:tr>
      <w:tr w:rsidR="008F125F" w:rsidRPr="007D446D" w14:paraId="65F88EE3" w14:textId="77777777" w:rsidTr="008F125F">
        <w:trPr>
          <w:trHeight w:val="300"/>
        </w:trPr>
        <w:tc>
          <w:tcPr>
            <w:tcW w:w="6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9AB83" w14:textId="77777777" w:rsidR="008F125F" w:rsidRPr="007D446D" w:rsidRDefault="008F125F" w:rsidP="008F125F">
            <w:pPr>
              <w:spacing w:before="0" w:beforeAutospacing="0" w:after="0" w:afterAutospacing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7D446D">
              <w:rPr>
                <w:rFonts w:eastAsia="Times New Roman" w:cs="Times New Roman"/>
                <w:color w:val="000000"/>
                <w:sz w:val="22"/>
                <w:lang w:eastAsia="pt-BR"/>
              </w:rPr>
              <w:t>Ibovespa</w:t>
            </w:r>
          </w:p>
        </w:tc>
        <w:tc>
          <w:tcPr>
            <w:tcW w:w="9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57590" w14:textId="374C8E03" w:rsidR="008F125F" w:rsidRPr="007D446D" w:rsidRDefault="008F125F" w:rsidP="008F125F">
            <w:pPr>
              <w:spacing w:before="0" w:beforeAutospacing="0" w:after="0" w:afterAutospacing="0" w:line="240" w:lineRule="auto"/>
              <w:ind w:firstLine="0"/>
              <w:jc w:val="right"/>
              <w:rPr>
                <w:rFonts w:eastAsia="Times New Roman" w:cs="Times New Roman"/>
                <w:color w:val="FF0000"/>
                <w:sz w:val="22"/>
                <w:lang w:eastAsia="pt-BR"/>
              </w:rPr>
            </w:pPr>
            <w:r>
              <w:rPr>
                <w:color w:val="FF0000"/>
                <w:sz w:val="22"/>
              </w:rPr>
              <w:t>-4,3</w:t>
            </w:r>
            <w:r w:rsidR="001C612C">
              <w:rPr>
                <w:color w:val="FF0000"/>
                <w:sz w:val="22"/>
              </w:rPr>
              <w:t>7</w:t>
            </w:r>
            <w:r>
              <w:rPr>
                <w:color w:val="FF0000"/>
                <w:sz w:val="22"/>
              </w:rPr>
              <w:t>%</w:t>
            </w:r>
          </w:p>
        </w:tc>
        <w:tc>
          <w:tcPr>
            <w:tcW w:w="12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BFF43" w14:textId="305D858F" w:rsidR="008F125F" w:rsidRPr="007D446D" w:rsidRDefault="008F125F" w:rsidP="008F125F">
            <w:pPr>
              <w:spacing w:before="0" w:beforeAutospacing="0" w:after="0" w:afterAutospacing="0" w:line="240" w:lineRule="auto"/>
              <w:ind w:firstLine="0"/>
              <w:jc w:val="right"/>
              <w:rPr>
                <w:rFonts w:eastAsia="Times New Roman" w:cs="Times New Roman"/>
                <w:color w:val="FF0000"/>
                <w:sz w:val="22"/>
                <w:lang w:eastAsia="pt-BR"/>
              </w:rPr>
            </w:pPr>
            <w:r>
              <w:rPr>
                <w:color w:val="FF0000"/>
                <w:sz w:val="22"/>
              </w:rPr>
              <w:t>-</w:t>
            </w:r>
            <w:r w:rsidR="001C612C">
              <w:rPr>
                <w:color w:val="FF0000"/>
                <w:sz w:val="22"/>
              </w:rPr>
              <w:t>7</w:t>
            </w:r>
            <w:r>
              <w:rPr>
                <w:color w:val="FF0000"/>
                <w:sz w:val="22"/>
              </w:rPr>
              <w:t>,</w:t>
            </w:r>
            <w:r w:rsidR="001C612C">
              <w:rPr>
                <w:color w:val="FF0000"/>
                <w:sz w:val="22"/>
              </w:rPr>
              <w:t>55</w:t>
            </w:r>
            <w:r>
              <w:rPr>
                <w:color w:val="FF0000"/>
                <w:sz w:val="22"/>
              </w:rPr>
              <w:t>%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BC812E" w14:textId="5BBCAD33" w:rsidR="008F125F" w:rsidRPr="007D446D" w:rsidRDefault="00056B19" w:rsidP="008F125F">
            <w:pPr>
              <w:spacing w:before="0" w:beforeAutospacing="0" w:after="0" w:afterAutospacing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056B19">
              <w:rPr>
                <w:rFonts w:cs="Times New Roman"/>
                <w:color w:val="000000"/>
                <w:sz w:val="22"/>
              </w:rPr>
              <w:t>5,63%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B4CBBA" w14:textId="77777777" w:rsidR="008F125F" w:rsidRPr="007D446D" w:rsidRDefault="008F125F" w:rsidP="008F125F">
            <w:pPr>
              <w:spacing w:before="0" w:beforeAutospacing="0" w:after="0" w:afterAutospacing="0" w:line="240" w:lineRule="auto"/>
              <w:ind w:firstLine="0"/>
              <w:jc w:val="right"/>
              <w:rPr>
                <w:rFonts w:eastAsia="Times New Roman" w:cs="Times New Roman"/>
                <w:sz w:val="22"/>
                <w:lang w:eastAsia="pt-BR"/>
              </w:rPr>
            </w:pPr>
            <w:r w:rsidRPr="007D446D">
              <w:rPr>
                <w:rFonts w:eastAsia="Times New Roman" w:cs="Times New Roman"/>
                <w:sz w:val="22"/>
                <w:lang w:eastAsia="pt-BR"/>
              </w:rPr>
              <w:t>-</w:t>
            </w:r>
          </w:p>
        </w:tc>
      </w:tr>
      <w:tr w:rsidR="008F125F" w:rsidRPr="007D446D" w14:paraId="79CD28B4" w14:textId="77777777" w:rsidTr="008F125F">
        <w:trPr>
          <w:trHeight w:val="300"/>
        </w:trPr>
        <w:tc>
          <w:tcPr>
            <w:tcW w:w="61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8E7F06" w14:textId="56953B79" w:rsidR="008F125F" w:rsidRPr="001C612C" w:rsidRDefault="008F125F" w:rsidP="008F125F">
            <w:pPr>
              <w:spacing w:before="0" w:beforeAutospacing="0" w:after="0" w:afterAutospacing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pt-BR"/>
              </w:rPr>
            </w:pPr>
            <w:r w:rsidRPr="001C612C">
              <w:rPr>
                <w:rFonts w:eastAsia="Times New Roman" w:cs="Times New Roman"/>
                <w:b/>
                <w:bCs/>
                <w:color w:val="000000"/>
                <w:sz w:val="22"/>
                <w:lang w:eastAsia="pt-BR"/>
              </w:rPr>
              <w:t>IAC</w:t>
            </w:r>
          </w:p>
        </w:tc>
        <w:tc>
          <w:tcPr>
            <w:tcW w:w="95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ABB383" w14:textId="4CFE05A3" w:rsidR="008F125F" w:rsidRPr="001C612C" w:rsidRDefault="008F125F" w:rsidP="008F125F">
            <w:pPr>
              <w:spacing w:before="0" w:beforeAutospacing="0" w:after="0" w:afterAutospacing="0" w:line="240" w:lineRule="auto"/>
              <w:ind w:firstLine="0"/>
              <w:jc w:val="right"/>
              <w:rPr>
                <w:rFonts w:eastAsia="Times New Roman" w:cs="Times New Roman"/>
                <w:b/>
                <w:bCs/>
                <w:sz w:val="22"/>
                <w:lang w:eastAsia="pt-BR"/>
              </w:rPr>
            </w:pPr>
            <w:r w:rsidRPr="001C612C">
              <w:rPr>
                <w:b/>
                <w:bCs/>
                <w:color w:val="FF0000"/>
                <w:sz w:val="22"/>
              </w:rPr>
              <w:t>-4,3</w:t>
            </w:r>
            <w:r w:rsidR="001C612C" w:rsidRPr="001C612C">
              <w:rPr>
                <w:b/>
                <w:bCs/>
                <w:color w:val="FF0000"/>
                <w:sz w:val="22"/>
              </w:rPr>
              <w:t>1</w:t>
            </w:r>
            <w:r w:rsidRPr="001C612C">
              <w:rPr>
                <w:b/>
                <w:bCs/>
                <w:color w:val="FF0000"/>
                <w:sz w:val="22"/>
              </w:rPr>
              <w:t>%</w:t>
            </w:r>
          </w:p>
        </w:tc>
        <w:tc>
          <w:tcPr>
            <w:tcW w:w="123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129A7A" w14:textId="5494941D" w:rsidR="008F125F" w:rsidRPr="001C612C" w:rsidRDefault="008F125F" w:rsidP="008F125F">
            <w:pPr>
              <w:spacing w:before="0" w:beforeAutospacing="0" w:after="0" w:afterAutospacing="0" w:line="240" w:lineRule="auto"/>
              <w:ind w:firstLine="0"/>
              <w:jc w:val="right"/>
              <w:rPr>
                <w:rFonts w:eastAsia="Times New Roman" w:cs="Times New Roman"/>
                <w:b/>
                <w:bCs/>
                <w:sz w:val="22"/>
                <w:lang w:eastAsia="pt-BR"/>
              </w:rPr>
            </w:pPr>
            <w:r w:rsidRPr="001C612C">
              <w:rPr>
                <w:b/>
                <w:bCs/>
                <w:color w:val="FF0000"/>
                <w:sz w:val="22"/>
              </w:rPr>
              <w:t>-</w:t>
            </w:r>
            <w:r w:rsidR="001C612C" w:rsidRPr="001C612C">
              <w:rPr>
                <w:b/>
                <w:bCs/>
                <w:color w:val="FF0000"/>
                <w:sz w:val="22"/>
              </w:rPr>
              <w:t>1</w:t>
            </w:r>
            <w:r w:rsidRPr="001C612C">
              <w:rPr>
                <w:b/>
                <w:bCs/>
                <w:color w:val="FF0000"/>
                <w:sz w:val="22"/>
              </w:rPr>
              <w:t>,</w:t>
            </w:r>
            <w:r w:rsidR="001C612C" w:rsidRPr="001C612C">
              <w:rPr>
                <w:b/>
                <w:bCs/>
                <w:color w:val="FF0000"/>
                <w:sz w:val="22"/>
              </w:rPr>
              <w:t>61</w:t>
            </w:r>
            <w:r w:rsidRPr="001C612C">
              <w:rPr>
                <w:b/>
                <w:bCs/>
                <w:color w:val="FF0000"/>
                <w:sz w:val="22"/>
              </w:rPr>
              <w:t>%</w:t>
            </w:r>
          </w:p>
        </w:tc>
        <w:tc>
          <w:tcPr>
            <w:tcW w:w="141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6BD3E1F" w14:textId="4CF6BAE2" w:rsidR="008F125F" w:rsidRPr="001C612C" w:rsidRDefault="008B449D" w:rsidP="008F125F">
            <w:pPr>
              <w:spacing w:before="0" w:beforeAutospacing="0" w:after="0" w:afterAutospacing="0" w:line="240" w:lineRule="auto"/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sz w:val="22"/>
                <w:lang w:eastAsia="pt-BR"/>
              </w:rPr>
            </w:pPr>
            <w:r w:rsidRPr="001C612C">
              <w:rPr>
                <w:rFonts w:cs="Times New Roman"/>
                <w:b/>
                <w:bCs/>
                <w:color w:val="000000"/>
                <w:sz w:val="22"/>
              </w:rPr>
              <w:t>4,87%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504F239" w14:textId="77777777" w:rsidR="008F125F" w:rsidRPr="001C612C" w:rsidRDefault="008F125F" w:rsidP="008F125F">
            <w:pPr>
              <w:spacing w:before="0" w:beforeAutospacing="0" w:after="0" w:afterAutospacing="0" w:line="240" w:lineRule="auto"/>
              <w:ind w:firstLine="0"/>
              <w:jc w:val="right"/>
              <w:rPr>
                <w:rFonts w:eastAsia="Times New Roman" w:cs="Times New Roman"/>
                <w:b/>
                <w:bCs/>
                <w:sz w:val="22"/>
                <w:lang w:eastAsia="pt-BR"/>
              </w:rPr>
            </w:pPr>
            <w:r w:rsidRPr="001C612C">
              <w:rPr>
                <w:rFonts w:eastAsia="Times New Roman" w:cs="Times New Roman"/>
                <w:b/>
                <w:bCs/>
                <w:sz w:val="22"/>
                <w:lang w:eastAsia="pt-BR"/>
              </w:rPr>
              <w:t>100,00%</w:t>
            </w:r>
          </w:p>
        </w:tc>
      </w:tr>
      <w:tr w:rsidR="00FC7F9A" w:rsidRPr="007D446D" w14:paraId="7A1F3D48" w14:textId="77777777" w:rsidTr="008F125F">
        <w:trPr>
          <w:trHeight w:val="300"/>
        </w:trPr>
        <w:tc>
          <w:tcPr>
            <w:tcW w:w="6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F83D7" w14:textId="66B32E3E" w:rsidR="00FC7F9A" w:rsidRPr="007D446D" w:rsidRDefault="00FC7F9A" w:rsidP="00FC7F9A">
            <w:pPr>
              <w:spacing w:before="0" w:beforeAutospacing="0" w:after="0" w:afterAutospacing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>
              <w:rPr>
                <w:color w:val="000000"/>
                <w:sz w:val="22"/>
              </w:rPr>
              <w:t xml:space="preserve">   PGMN3</w:t>
            </w:r>
          </w:p>
        </w:tc>
        <w:tc>
          <w:tcPr>
            <w:tcW w:w="9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1B216" w14:textId="47232F32" w:rsidR="00FC7F9A" w:rsidRPr="007D446D" w:rsidRDefault="00FC7F9A" w:rsidP="00FC7F9A">
            <w:pPr>
              <w:spacing w:before="0" w:beforeAutospacing="0" w:after="0" w:afterAutospacing="0" w:line="240" w:lineRule="auto"/>
              <w:ind w:firstLine="0"/>
              <w:jc w:val="right"/>
              <w:rPr>
                <w:rFonts w:eastAsia="Times New Roman" w:cs="Times New Roman"/>
                <w:color w:val="FF0000"/>
                <w:sz w:val="22"/>
                <w:lang w:eastAsia="pt-BR"/>
              </w:rPr>
            </w:pPr>
            <w:r>
              <w:rPr>
                <w:color w:val="FF0000"/>
                <w:sz w:val="22"/>
              </w:rPr>
              <w:t>-2,46%</w:t>
            </w:r>
          </w:p>
        </w:tc>
        <w:tc>
          <w:tcPr>
            <w:tcW w:w="12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9CDCE" w14:textId="5997D0C5" w:rsidR="00FC7F9A" w:rsidRPr="007D446D" w:rsidRDefault="00FC7F9A" w:rsidP="00FC7F9A">
            <w:pPr>
              <w:spacing w:before="0" w:beforeAutospacing="0" w:after="0" w:afterAutospacing="0" w:line="240" w:lineRule="auto"/>
              <w:ind w:firstLine="0"/>
              <w:jc w:val="right"/>
              <w:rPr>
                <w:rFonts w:eastAsia="Times New Roman" w:cs="Times New Roman"/>
                <w:color w:val="FF0000"/>
                <w:sz w:val="22"/>
                <w:lang w:eastAsia="pt-BR"/>
              </w:rPr>
            </w:pPr>
            <w:r>
              <w:rPr>
                <w:color w:val="000000"/>
                <w:sz w:val="22"/>
              </w:rPr>
              <w:t>9,76%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09538B" w14:textId="77777777" w:rsidR="00FC7F9A" w:rsidRPr="007D446D" w:rsidRDefault="00FC7F9A" w:rsidP="00FC7F9A">
            <w:pPr>
              <w:spacing w:before="0" w:beforeAutospacing="0" w:after="0" w:afterAutospacing="0" w:line="240" w:lineRule="auto"/>
              <w:ind w:firstLine="0"/>
              <w:jc w:val="right"/>
              <w:rPr>
                <w:rFonts w:cs="Times New Roman"/>
                <w:color w:val="000000"/>
                <w:sz w:val="22"/>
              </w:rPr>
            </w:pPr>
            <w:r>
              <w:rPr>
                <w:rFonts w:cs="Times New Roman"/>
                <w:color w:val="000000"/>
                <w:sz w:val="22"/>
              </w:rPr>
              <w:t>-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D6D111" w14:textId="7B2C5151" w:rsidR="00FC7F9A" w:rsidRPr="007D446D" w:rsidRDefault="00175F68" w:rsidP="00FC7F9A">
            <w:pPr>
              <w:spacing w:before="0" w:beforeAutospacing="0" w:after="0" w:afterAutospacing="0" w:line="240" w:lineRule="auto"/>
              <w:ind w:firstLine="0"/>
              <w:jc w:val="right"/>
              <w:rPr>
                <w:rFonts w:eastAsia="Times New Roman" w:cs="Times New Roman"/>
                <w:sz w:val="22"/>
                <w:lang w:eastAsia="pt-BR"/>
              </w:rPr>
            </w:pPr>
            <w:r w:rsidRPr="00175F68">
              <w:rPr>
                <w:rFonts w:cs="Times New Roman"/>
                <w:color w:val="000000"/>
                <w:sz w:val="22"/>
              </w:rPr>
              <w:t>4,14%</w:t>
            </w:r>
          </w:p>
        </w:tc>
      </w:tr>
      <w:tr w:rsidR="00FC7F9A" w:rsidRPr="007D446D" w14:paraId="4C748AA0" w14:textId="77777777" w:rsidTr="008F125F">
        <w:trPr>
          <w:trHeight w:val="300"/>
        </w:trPr>
        <w:tc>
          <w:tcPr>
            <w:tcW w:w="6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EF7A2" w14:textId="584C0147" w:rsidR="00FC7F9A" w:rsidRPr="007D446D" w:rsidRDefault="00FC7F9A" w:rsidP="00FC7F9A">
            <w:pPr>
              <w:spacing w:before="0" w:beforeAutospacing="0" w:after="0" w:afterAutospacing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>
              <w:rPr>
                <w:color w:val="000000"/>
                <w:sz w:val="22"/>
              </w:rPr>
              <w:t xml:space="preserve">   ARCE</w:t>
            </w:r>
          </w:p>
        </w:tc>
        <w:tc>
          <w:tcPr>
            <w:tcW w:w="9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EBAB8" w14:textId="6276C244" w:rsidR="00FC7F9A" w:rsidRPr="007D446D" w:rsidRDefault="00FC7F9A" w:rsidP="00FC7F9A">
            <w:pPr>
              <w:spacing w:before="0" w:beforeAutospacing="0" w:after="0" w:afterAutospacing="0" w:line="240" w:lineRule="auto"/>
              <w:ind w:firstLine="0"/>
              <w:jc w:val="right"/>
              <w:rPr>
                <w:rFonts w:eastAsia="Times New Roman" w:cs="Times New Roman"/>
                <w:color w:val="FF0000"/>
                <w:sz w:val="22"/>
                <w:lang w:eastAsia="pt-BR"/>
              </w:rPr>
            </w:pPr>
            <w:r>
              <w:rPr>
                <w:color w:val="000000"/>
                <w:sz w:val="22"/>
              </w:rPr>
              <w:t>13,11%</w:t>
            </w:r>
          </w:p>
        </w:tc>
        <w:tc>
          <w:tcPr>
            <w:tcW w:w="12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E1FE1" w14:textId="1DA1BE8D" w:rsidR="00FC7F9A" w:rsidRPr="007D446D" w:rsidRDefault="00FC7F9A" w:rsidP="00FC7F9A">
            <w:pPr>
              <w:spacing w:before="0" w:beforeAutospacing="0" w:after="0" w:afterAutospacing="0" w:line="240" w:lineRule="auto"/>
              <w:ind w:firstLine="0"/>
              <w:jc w:val="right"/>
              <w:rPr>
                <w:rFonts w:eastAsia="Times New Roman" w:cs="Times New Roman"/>
                <w:color w:val="FF0000"/>
                <w:sz w:val="22"/>
                <w:lang w:eastAsia="pt-BR"/>
              </w:rPr>
            </w:pPr>
            <w:r>
              <w:rPr>
                <w:color w:val="000000"/>
                <w:sz w:val="22"/>
              </w:rPr>
              <w:t>6,45%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99B81B" w14:textId="3E394A44" w:rsidR="00FC7F9A" w:rsidRPr="00720D9A" w:rsidRDefault="005D31EA" w:rsidP="005D31EA">
            <w:pPr>
              <w:spacing w:before="0" w:beforeAutospacing="0" w:after="0" w:afterAutospacing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</w:rPr>
            </w:pPr>
            <w:r>
              <w:rPr>
                <w:color w:val="FF0000"/>
                <w:sz w:val="22"/>
              </w:rPr>
              <w:t>-14,50%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38B494" w14:textId="2CFB85FA" w:rsidR="00FC7F9A" w:rsidRPr="007D446D" w:rsidRDefault="00056B19" w:rsidP="00FC7F9A">
            <w:pPr>
              <w:spacing w:before="0" w:beforeAutospacing="0" w:after="0" w:afterAutospacing="0" w:line="240" w:lineRule="auto"/>
              <w:ind w:firstLine="0"/>
              <w:jc w:val="right"/>
              <w:rPr>
                <w:rFonts w:eastAsia="Times New Roman" w:cs="Times New Roman"/>
                <w:sz w:val="22"/>
                <w:lang w:eastAsia="pt-BR"/>
              </w:rPr>
            </w:pPr>
            <w:r w:rsidRPr="00056B19">
              <w:rPr>
                <w:rFonts w:cs="Times New Roman"/>
                <w:color w:val="000000"/>
                <w:sz w:val="22"/>
              </w:rPr>
              <w:t>28,64%</w:t>
            </w:r>
          </w:p>
        </w:tc>
      </w:tr>
      <w:tr w:rsidR="00FC7F9A" w:rsidRPr="007D446D" w14:paraId="0E420E1D" w14:textId="77777777" w:rsidTr="008F125F">
        <w:trPr>
          <w:trHeight w:val="300"/>
        </w:trPr>
        <w:tc>
          <w:tcPr>
            <w:tcW w:w="6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6F571" w14:textId="5F5ED97A" w:rsidR="00FC7F9A" w:rsidRPr="007D446D" w:rsidRDefault="00FC7F9A" w:rsidP="00FC7F9A">
            <w:pPr>
              <w:spacing w:before="0" w:beforeAutospacing="0" w:after="0" w:afterAutospacing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>
              <w:rPr>
                <w:color w:val="000000"/>
                <w:sz w:val="22"/>
              </w:rPr>
              <w:t xml:space="preserve">   AERI3</w:t>
            </w:r>
          </w:p>
        </w:tc>
        <w:tc>
          <w:tcPr>
            <w:tcW w:w="9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2B74E" w14:textId="6DDCE34A" w:rsidR="00FC7F9A" w:rsidRPr="007D446D" w:rsidRDefault="00FC7F9A" w:rsidP="00FC7F9A">
            <w:pPr>
              <w:spacing w:before="0" w:beforeAutospacing="0" w:after="0" w:afterAutospacing="0" w:line="240" w:lineRule="auto"/>
              <w:ind w:firstLine="0"/>
              <w:jc w:val="right"/>
              <w:rPr>
                <w:rFonts w:eastAsia="Times New Roman" w:cs="Times New Roman"/>
                <w:color w:val="FF0000"/>
                <w:sz w:val="22"/>
                <w:lang w:eastAsia="pt-BR"/>
              </w:rPr>
            </w:pPr>
            <w:r>
              <w:rPr>
                <w:color w:val="FF0000"/>
                <w:sz w:val="22"/>
              </w:rPr>
              <w:t>-13,34%</w:t>
            </w:r>
          </w:p>
        </w:tc>
        <w:tc>
          <w:tcPr>
            <w:tcW w:w="12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F2193" w14:textId="378227B6" w:rsidR="00FC7F9A" w:rsidRPr="007D446D" w:rsidRDefault="00FC7F9A" w:rsidP="00FC7F9A">
            <w:pPr>
              <w:spacing w:before="0" w:beforeAutospacing="0" w:after="0" w:afterAutospacing="0" w:line="240" w:lineRule="auto"/>
              <w:ind w:firstLine="0"/>
              <w:jc w:val="right"/>
              <w:rPr>
                <w:rFonts w:eastAsia="Times New Roman" w:cs="Times New Roman"/>
                <w:color w:val="FF0000"/>
                <w:sz w:val="22"/>
                <w:lang w:eastAsia="pt-BR"/>
              </w:rPr>
            </w:pPr>
            <w:r>
              <w:rPr>
                <w:color w:val="000000"/>
                <w:sz w:val="22"/>
              </w:rPr>
              <w:t>2,60%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A7D027" w14:textId="77777777" w:rsidR="00FC7F9A" w:rsidRPr="007D446D" w:rsidRDefault="00FC7F9A" w:rsidP="00FC7F9A">
            <w:pPr>
              <w:spacing w:before="0" w:beforeAutospacing="0" w:after="0" w:afterAutospacing="0" w:line="240" w:lineRule="auto"/>
              <w:ind w:firstLine="0"/>
              <w:jc w:val="right"/>
              <w:rPr>
                <w:rFonts w:cs="Times New Roman"/>
                <w:color w:val="000000"/>
                <w:sz w:val="22"/>
              </w:rPr>
            </w:pPr>
            <w:r>
              <w:rPr>
                <w:rFonts w:cs="Times New Roman"/>
                <w:color w:val="000000"/>
                <w:sz w:val="22"/>
              </w:rPr>
              <w:t>-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E95A82" w14:textId="48417854" w:rsidR="00FC7F9A" w:rsidRPr="007D446D" w:rsidRDefault="00175F68" w:rsidP="00FC7F9A">
            <w:pPr>
              <w:spacing w:before="0" w:beforeAutospacing="0" w:after="0" w:afterAutospacing="0" w:line="240" w:lineRule="auto"/>
              <w:ind w:firstLine="0"/>
              <w:jc w:val="right"/>
              <w:rPr>
                <w:rFonts w:eastAsia="Times New Roman" w:cs="Times New Roman"/>
                <w:sz w:val="22"/>
                <w:lang w:eastAsia="pt-BR"/>
              </w:rPr>
            </w:pPr>
            <w:r w:rsidRPr="00175F68">
              <w:rPr>
                <w:rFonts w:cs="Times New Roman"/>
                <w:color w:val="000000"/>
                <w:sz w:val="22"/>
              </w:rPr>
              <w:t>5,34%</w:t>
            </w:r>
          </w:p>
        </w:tc>
      </w:tr>
      <w:tr w:rsidR="00FC7F9A" w:rsidRPr="007D446D" w14:paraId="1F77176D" w14:textId="77777777" w:rsidTr="008F125F">
        <w:trPr>
          <w:trHeight w:val="300"/>
        </w:trPr>
        <w:tc>
          <w:tcPr>
            <w:tcW w:w="6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41CB2" w14:textId="776551EC" w:rsidR="00FC7F9A" w:rsidRPr="007D446D" w:rsidRDefault="00FC7F9A" w:rsidP="00FC7F9A">
            <w:pPr>
              <w:spacing w:before="0" w:beforeAutospacing="0" w:after="0" w:afterAutospacing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>
              <w:rPr>
                <w:color w:val="000000"/>
                <w:sz w:val="22"/>
              </w:rPr>
              <w:t xml:space="preserve">   HAPV3</w:t>
            </w:r>
          </w:p>
        </w:tc>
        <w:tc>
          <w:tcPr>
            <w:tcW w:w="9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D87F1" w14:textId="3046A29A" w:rsidR="00FC7F9A" w:rsidRPr="007D446D" w:rsidRDefault="00FC7F9A" w:rsidP="00FC7F9A">
            <w:pPr>
              <w:spacing w:before="0" w:beforeAutospacing="0" w:after="0" w:afterAutospacing="0" w:line="240" w:lineRule="auto"/>
              <w:ind w:firstLine="0"/>
              <w:jc w:val="right"/>
              <w:rPr>
                <w:rFonts w:eastAsia="Times New Roman" w:cs="Times New Roman"/>
                <w:color w:val="FF0000"/>
                <w:sz w:val="22"/>
                <w:lang w:eastAsia="pt-BR"/>
              </w:rPr>
            </w:pPr>
            <w:r>
              <w:rPr>
                <w:color w:val="FF0000"/>
                <w:sz w:val="22"/>
              </w:rPr>
              <w:t>-10,89%</w:t>
            </w:r>
          </w:p>
        </w:tc>
        <w:tc>
          <w:tcPr>
            <w:tcW w:w="12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519FF" w14:textId="36A924E0" w:rsidR="00FC7F9A" w:rsidRPr="007D446D" w:rsidRDefault="00FC7F9A" w:rsidP="00FC7F9A">
            <w:pPr>
              <w:spacing w:before="0" w:beforeAutospacing="0" w:after="0" w:afterAutospacing="0" w:line="240" w:lineRule="auto"/>
              <w:ind w:firstLine="0"/>
              <w:jc w:val="right"/>
              <w:rPr>
                <w:rFonts w:eastAsia="Times New Roman" w:cs="Times New Roman"/>
                <w:color w:val="FF0000"/>
                <w:sz w:val="22"/>
                <w:lang w:eastAsia="pt-BR"/>
              </w:rPr>
            </w:pPr>
            <w:r>
              <w:rPr>
                <w:color w:val="000000"/>
                <w:sz w:val="22"/>
              </w:rPr>
              <w:t>0,26%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C2FF43" w14:textId="1C86F0E6" w:rsidR="00FC7F9A" w:rsidRPr="00720D9A" w:rsidRDefault="005D31EA" w:rsidP="005D31EA">
            <w:pPr>
              <w:spacing w:before="0" w:beforeAutospacing="0" w:after="0" w:afterAutospacing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38,59%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C78CF3" w14:textId="7DBFF41B" w:rsidR="00FC7F9A" w:rsidRPr="007D446D" w:rsidRDefault="00056B19" w:rsidP="00FC7F9A">
            <w:pPr>
              <w:spacing w:before="0" w:beforeAutospacing="0" w:after="0" w:afterAutospacing="0" w:line="240" w:lineRule="auto"/>
              <w:ind w:firstLine="0"/>
              <w:jc w:val="right"/>
              <w:rPr>
                <w:rFonts w:eastAsia="Times New Roman" w:cs="Times New Roman"/>
                <w:sz w:val="22"/>
                <w:lang w:eastAsia="pt-BR"/>
              </w:rPr>
            </w:pPr>
            <w:r w:rsidRPr="00056B19">
              <w:rPr>
                <w:rFonts w:cs="Times New Roman"/>
                <w:color w:val="000000"/>
                <w:sz w:val="22"/>
              </w:rPr>
              <w:t>42,11%</w:t>
            </w:r>
          </w:p>
        </w:tc>
      </w:tr>
      <w:tr w:rsidR="00FC7F9A" w:rsidRPr="007D446D" w14:paraId="5ABC7942" w14:textId="77777777" w:rsidTr="008F125F">
        <w:trPr>
          <w:trHeight w:val="300"/>
        </w:trPr>
        <w:tc>
          <w:tcPr>
            <w:tcW w:w="6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A7F93" w14:textId="5F7F0A6F" w:rsidR="00FC7F9A" w:rsidRPr="007D446D" w:rsidRDefault="00FC7F9A" w:rsidP="00FC7F9A">
            <w:pPr>
              <w:spacing w:before="0" w:beforeAutospacing="0" w:after="0" w:afterAutospacing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>
              <w:rPr>
                <w:color w:val="000000"/>
                <w:sz w:val="22"/>
              </w:rPr>
              <w:t xml:space="preserve">   BNBR3</w:t>
            </w:r>
          </w:p>
        </w:tc>
        <w:tc>
          <w:tcPr>
            <w:tcW w:w="9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CEF1D" w14:textId="02FEEC22" w:rsidR="00FC7F9A" w:rsidRPr="007D446D" w:rsidRDefault="00FC7F9A" w:rsidP="00FC7F9A">
            <w:pPr>
              <w:spacing w:before="0" w:beforeAutospacing="0" w:after="0" w:afterAutospacing="0" w:line="240" w:lineRule="auto"/>
              <w:ind w:firstLine="0"/>
              <w:jc w:val="right"/>
              <w:rPr>
                <w:rFonts w:eastAsia="Times New Roman" w:cs="Times New Roman"/>
                <w:color w:val="FF0000"/>
                <w:sz w:val="22"/>
                <w:lang w:eastAsia="pt-BR"/>
              </w:rPr>
            </w:pPr>
            <w:r>
              <w:rPr>
                <w:color w:val="FF0000"/>
                <w:sz w:val="22"/>
              </w:rPr>
              <w:t>-4,99%</w:t>
            </w:r>
          </w:p>
        </w:tc>
        <w:tc>
          <w:tcPr>
            <w:tcW w:w="12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DF4AA" w14:textId="3805F7BC" w:rsidR="00FC7F9A" w:rsidRPr="007D446D" w:rsidRDefault="00FC7F9A" w:rsidP="00FC7F9A">
            <w:pPr>
              <w:spacing w:before="0" w:beforeAutospacing="0" w:after="0" w:afterAutospacing="0" w:line="240" w:lineRule="auto"/>
              <w:ind w:firstLine="0"/>
              <w:jc w:val="right"/>
              <w:rPr>
                <w:rFonts w:eastAsia="Times New Roman" w:cs="Times New Roman"/>
                <w:color w:val="FF0000"/>
                <w:sz w:val="22"/>
                <w:lang w:eastAsia="pt-BR"/>
              </w:rPr>
            </w:pPr>
            <w:r>
              <w:rPr>
                <w:color w:val="FF0000"/>
                <w:sz w:val="22"/>
              </w:rPr>
              <w:t>-9,87%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600264" w14:textId="797F775D" w:rsidR="00FC7F9A" w:rsidRPr="00FD4B1A" w:rsidRDefault="009F0096" w:rsidP="009F0096">
            <w:pPr>
              <w:spacing w:before="0" w:beforeAutospacing="0" w:after="0" w:afterAutospacing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</w:rPr>
            </w:pPr>
            <w:r>
              <w:rPr>
                <w:color w:val="FF0000"/>
                <w:sz w:val="22"/>
              </w:rPr>
              <w:t>-34,74%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4867A2" w14:textId="66185693" w:rsidR="00FC7F9A" w:rsidRPr="007D446D" w:rsidRDefault="000D0443" w:rsidP="00FC7F9A">
            <w:pPr>
              <w:spacing w:before="0" w:beforeAutospacing="0" w:after="0" w:afterAutospacing="0" w:line="240" w:lineRule="auto"/>
              <w:ind w:firstLine="0"/>
              <w:jc w:val="right"/>
              <w:rPr>
                <w:rFonts w:eastAsia="Times New Roman" w:cs="Times New Roman"/>
                <w:sz w:val="22"/>
                <w:lang w:eastAsia="pt-BR"/>
              </w:rPr>
            </w:pPr>
            <w:r w:rsidRPr="000D0443">
              <w:rPr>
                <w:rFonts w:cs="Times New Roman"/>
                <w:color w:val="000000"/>
                <w:sz w:val="22"/>
              </w:rPr>
              <w:t>3,36%</w:t>
            </w:r>
          </w:p>
        </w:tc>
      </w:tr>
      <w:tr w:rsidR="00FC7F9A" w:rsidRPr="007D446D" w14:paraId="6F4DAA50" w14:textId="77777777" w:rsidTr="008F125F">
        <w:trPr>
          <w:trHeight w:val="300"/>
        </w:trPr>
        <w:tc>
          <w:tcPr>
            <w:tcW w:w="6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4B6CA" w14:textId="0D89D514" w:rsidR="00FC7F9A" w:rsidRPr="007D446D" w:rsidRDefault="00FC7F9A" w:rsidP="00FC7F9A">
            <w:pPr>
              <w:spacing w:before="0" w:beforeAutospacing="0" w:after="0" w:afterAutospacing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>
              <w:rPr>
                <w:color w:val="000000"/>
                <w:sz w:val="22"/>
              </w:rPr>
              <w:t xml:space="preserve">   GRND3</w:t>
            </w:r>
          </w:p>
        </w:tc>
        <w:tc>
          <w:tcPr>
            <w:tcW w:w="9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26BD" w14:textId="38F8BEA4" w:rsidR="00FC7F9A" w:rsidRPr="007D446D" w:rsidRDefault="00FC7F9A" w:rsidP="00FC7F9A">
            <w:pPr>
              <w:spacing w:before="0" w:beforeAutospacing="0" w:after="0" w:afterAutospacing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>
              <w:rPr>
                <w:color w:val="FF0000"/>
                <w:sz w:val="22"/>
              </w:rPr>
              <w:t>-7,13%</w:t>
            </w:r>
          </w:p>
        </w:tc>
        <w:tc>
          <w:tcPr>
            <w:tcW w:w="12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C2C2E" w14:textId="24C4C095" w:rsidR="00FC7F9A" w:rsidRPr="007D446D" w:rsidRDefault="00FC7F9A" w:rsidP="00FC7F9A">
            <w:pPr>
              <w:spacing w:before="0" w:beforeAutospacing="0" w:after="0" w:afterAutospacing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>
              <w:rPr>
                <w:color w:val="FF0000"/>
                <w:sz w:val="22"/>
              </w:rPr>
              <w:t>-14,56%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879C95" w14:textId="3A7A4B49" w:rsidR="00FC7F9A" w:rsidRPr="00164A9B" w:rsidRDefault="00074783" w:rsidP="00074783">
            <w:pPr>
              <w:spacing w:before="0" w:beforeAutospacing="0" w:after="0" w:afterAutospacing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</w:rPr>
            </w:pPr>
            <w:r>
              <w:rPr>
                <w:color w:val="FF0000"/>
                <w:sz w:val="22"/>
              </w:rPr>
              <w:t>-26,19%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8EB8A0" w14:textId="5F310753" w:rsidR="00FC7F9A" w:rsidRPr="007D446D" w:rsidRDefault="00175F68" w:rsidP="00FC7F9A">
            <w:pPr>
              <w:spacing w:before="0" w:beforeAutospacing="0" w:after="0" w:afterAutospacing="0" w:line="240" w:lineRule="auto"/>
              <w:ind w:firstLine="0"/>
              <w:jc w:val="right"/>
              <w:rPr>
                <w:rFonts w:eastAsia="Times New Roman" w:cs="Times New Roman"/>
                <w:sz w:val="22"/>
                <w:lang w:eastAsia="pt-BR"/>
              </w:rPr>
            </w:pPr>
            <w:r w:rsidRPr="00175F68">
              <w:rPr>
                <w:rFonts w:cs="Times New Roman"/>
                <w:color w:val="000000"/>
                <w:sz w:val="22"/>
              </w:rPr>
              <w:t>5,07%</w:t>
            </w:r>
          </w:p>
        </w:tc>
      </w:tr>
      <w:tr w:rsidR="00FC7F9A" w:rsidRPr="007D446D" w14:paraId="3DABFFF8" w14:textId="77777777" w:rsidTr="008F125F">
        <w:trPr>
          <w:trHeight w:val="300"/>
        </w:trPr>
        <w:tc>
          <w:tcPr>
            <w:tcW w:w="6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BB740" w14:textId="26D06230" w:rsidR="00FC7F9A" w:rsidRPr="007D446D" w:rsidRDefault="00FC7F9A" w:rsidP="00FC7F9A">
            <w:pPr>
              <w:spacing w:before="0" w:beforeAutospacing="0" w:after="0" w:afterAutospacing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>
              <w:rPr>
                <w:color w:val="000000"/>
                <w:sz w:val="22"/>
              </w:rPr>
              <w:t xml:space="preserve">   MDIA3</w:t>
            </w:r>
          </w:p>
        </w:tc>
        <w:tc>
          <w:tcPr>
            <w:tcW w:w="9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1D337" w14:textId="0E8EE408" w:rsidR="00FC7F9A" w:rsidRPr="007D446D" w:rsidRDefault="00FC7F9A" w:rsidP="00FC7F9A">
            <w:pPr>
              <w:spacing w:before="0" w:beforeAutospacing="0" w:after="0" w:afterAutospacing="0" w:line="240" w:lineRule="auto"/>
              <w:ind w:firstLine="0"/>
              <w:jc w:val="right"/>
              <w:rPr>
                <w:rFonts w:eastAsia="Times New Roman" w:cs="Times New Roman"/>
                <w:color w:val="FF0000"/>
                <w:sz w:val="22"/>
                <w:lang w:eastAsia="pt-BR"/>
              </w:rPr>
            </w:pPr>
            <w:r>
              <w:rPr>
                <w:color w:val="FF0000"/>
                <w:sz w:val="22"/>
              </w:rPr>
              <w:t>-4,81%</w:t>
            </w:r>
          </w:p>
        </w:tc>
        <w:tc>
          <w:tcPr>
            <w:tcW w:w="12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0AAF7" w14:textId="05E2A985" w:rsidR="00FC7F9A" w:rsidRPr="007D446D" w:rsidRDefault="00FC7F9A" w:rsidP="00FC7F9A">
            <w:pPr>
              <w:spacing w:before="0" w:beforeAutospacing="0" w:after="0" w:afterAutospacing="0" w:line="240" w:lineRule="auto"/>
              <w:ind w:firstLine="0"/>
              <w:jc w:val="right"/>
              <w:rPr>
                <w:rFonts w:eastAsia="Times New Roman" w:cs="Times New Roman"/>
                <w:color w:val="FF0000"/>
                <w:sz w:val="22"/>
                <w:lang w:eastAsia="pt-BR"/>
              </w:rPr>
            </w:pPr>
            <w:r>
              <w:rPr>
                <w:color w:val="FF0000"/>
                <w:sz w:val="22"/>
              </w:rPr>
              <w:t>-15,77%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7B923B" w14:textId="32459AB3" w:rsidR="00FC7F9A" w:rsidRPr="00164A9B" w:rsidRDefault="00074783" w:rsidP="00074783">
            <w:pPr>
              <w:spacing w:before="0" w:beforeAutospacing="0" w:after="0" w:afterAutospacing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</w:rPr>
            </w:pPr>
            <w:r>
              <w:rPr>
                <w:color w:val="FF0000"/>
                <w:sz w:val="22"/>
              </w:rPr>
              <w:t>-30,02%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A5CCBB" w14:textId="51ACA067" w:rsidR="00FC7F9A" w:rsidRPr="007D446D" w:rsidRDefault="00175F68" w:rsidP="00FC7F9A">
            <w:pPr>
              <w:spacing w:before="0" w:beforeAutospacing="0" w:after="0" w:afterAutospacing="0" w:line="240" w:lineRule="auto"/>
              <w:ind w:firstLine="0"/>
              <w:jc w:val="right"/>
              <w:rPr>
                <w:rFonts w:eastAsia="Times New Roman" w:cs="Times New Roman"/>
                <w:sz w:val="22"/>
                <w:lang w:eastAsia="pt-BR"/>
              </w:rPr>
            </w:pPr>
            <w:r w:rsidRPr="00175F68">
              <w:rPr>
                <w:rFonts w:cs="Times New Roman"/>
                <w:color w:val="000000"/>
                <w:sz w:val="22"/>
              </w:rPr>
              <w:t>6,30%</w:t>
            </w:r>
          </w:p>
        </w:tc>
      </w:tr>
      <w:tr w:rsidR="00FC7F9A" w:rsidRPr="007D446D" w14:paraId="709A6719" w14:textId="77777777" w:rsidTr="008F125F">
        <w:trPr>
          <w:trHeight w:val="300"/>
        </w:trPr>
        <w:tc>
          <w:tcPr>
            <w:tcW w:w="6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7A55D" w14:textId="322A0AA1" w:rsidR="00FC7F9A" w:rsidRPr="007D446D" w:rsidRDefault="00FC7F9A" w:rsidP="00FC7F9A">
            <w:pPr>
              <w:spacing w:before="0" w:beforeAutospacing="0" w:after="0" w:afterAutospacing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>
              <w:rPr>
                <w:color w:val="000000"/>
                <w:sz w:val="22"/>
              </w:rPr>
              <w:t xml:space="preserve">   COCE5</w:t>
            </w:r>
          </w:p>
        </w:tc>
        <w:tc>
          <w:tcPr>
            <w:tcW w:w="9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F9337" w14:textId="5D538CA3" w:rsidR="00FC7F9A" w:rsidRPr="007D446D" w:rsidRDefault="00FC7F9A" w:rsidP="00FC7F9A">
            <w:pPr>
              <w:spacing w:before="0" w:beforeAutospacing="0" w:after="0" w:afterAutospacing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>
              <w:rPr>
                <w:color w:val="FF0000"/>
                <w:sz w:val="22"/>
              </w:rPr>
              <w:t>-9,35%</w:t>
            </w:r>
          </w:p>
        </w:tc>
        <w:tc>
          <w:tcPr>
            <w:tcW w:w="12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F61D2" w14:textId="6B8585D2" w:rsidR="00FC7F9A" w:rsidRPr="007D446D" w:rsidRDefault="00FC7F9A" w:rsidP="00FC7F9A">
            <w:pPr>
              <w:spacing w:before="0" w:beforeAutospacing="0" w:after="0" w:afterAutospacing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>
              <w:rPr>
                <w:color w:val="FF0000"/>
                <w:sz w:val="22"/>
              </w:rPr>
              <w:t>-16,47%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F8A203" w14:textId="769C0B18" w:rsidR="00FC7F9A" w:rsidRPr="00164A9B" w:rsidRDefault="00074783" w:rsidP="00074783">
            <w:pPr>
              <w:spacing w:before="0" w:beforeAutospacing="0" w:after="0" w:afterAutospacing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</w:rPr>
            </w:pPr>
            <w:r>
              <w:rPr>
                <w:color w:val="FF0000"/>
                <w:sz w:val="22"/>
              </w:rPr>
              <w:t>-20,18%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6C1624" w14:textId="3074FA1B" w:rsidR="00FC7F9A" w:rsidRPr="007D446D" w:rsidRDefault="000D0443" w:rsidP="00FC7F9A">
            <w:pPr>
              <w:spacing w:before="0" w:beforeAutospacing="0" w:after="0" w:afterAutospacing="0" w:line="240" w:lineRule="auto"/>
              <w:ind w:firstLine="0"/>
              <w:jc w:val="right"/>
              <w:rPr>
                <w:rFonts w:eastAsia="Times New Roman" w:cs="Times New Roman"/>
                <w:sz w:val="22"/>
                <w:lang w:eastAsia="pt-BR"/>
              </w:rPr>
            </w:pPr>
            <w:r w:rsidRPr="000D0443">
              <w:rPr>
                <w:rFonts w:cs="Times New Roman"/>
                <w:color w:val="000000"/>
                <w:sz w:val="22"/>
              </w:rPr>
              <w:t>2,52%</w:t>
            </w:r>
          </w:p>
        </w:tc>
      </w:tr>
      <w:tr w:rsidR="00FC7F9A" w:rsidRPr="007D446D" w14:paraId="2FD52F8A" w14:textId="77777777" w:rsidTr="008F125F">
        <w:trPr>
          <w:trHeight w:val="300"/>
        </w:trPr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722C61" w14:textId="1B5447DC" w:rsidR="00FC7F9A" w:rsidRPr="007D446D" w:rsidRDefault="00FC7F9A" w:rsidP="00FC7F9A">
            <w:pPr>
              <w:spacing w:before="0" w:beforeAutospacing="0" w:after="0" w:afterAutospacing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>
              <w:rPr>
                <w:color w:val="000000"/>
                <w:sz w:val="22"/>
              </w:rPr>
              <w:t xml:space="preserve">   COCE3</w:t>
            </w:r>
          </w:p>
        </w:tc>
        <w:tc>
          <w:tcPr>
            <w:tcW w:w="9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1D80A6" w14:textId="4CE186BF" w:rsidR="00FC7F9A" w:rsidRPr="007D446D" w:rsidRDefault="00FC7F9A" w:rsidP="00FC7F9A">
            <w:pPr>
              <w:spacing w:before="0" w:beforeAutospacing="0" w:after="0" w:afterAutospacing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>
              <w:rPr>
                <w:color w:val="FF0000"/>
                <w:sz w:val="22"/>
              </w:rPr>
              <w:t>-19,37%</w:t>
            </w:r>
          </w:p>
        </w:tc>
        <w:tc>
          <w:tcPr>
            <w:tcW w:w="12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DD1A13" w14:textId="780B6E84" w:rsidR="00FC7F9A" w:rsidRPr="007D446D" w:rsidRDefault="00FC7F9A" w:rsidP="00FC7F9A">
            <w:pPr>
              <w:spacing w:before="0" w:beforeAutospacing="0" w:after="0" w:afterAutospacing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>
              <w:rPr>
                <w:color w:val="FF0000"/>
                <w:sz w:val="22"/>
              </w:rPr>
              <w:t>-29,42%</w:t>
            </w:r>
          </w:p>
        </w:tc>
        <w:tc>
          <w:tcPr>
            <w:tcW w:w="141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03E2677" w14:textId="4D7BD571" w:rsidR="00FC7F9A" w:rsidRPr="00164A9B" w:rsidRDefault="00074783" w:rsidP="00074783">
            <w:pPr>
              <w:spacing w:before="0" w:beforeAutospacing="0" w:after="0" w:afterAutospacing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</w:rPr>
            </w:pPr>
            <w:r>
              <w:rPr>
                <w:color w:val="FF0000"/>
                <w:sz w:val="22"/>
              </w:rPr>
              <w:t>-1,46%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B567BB9" w14:textId="4E5E9085" w:rsidR="00FC7F9A" w:rsidRPr="007D446D" w:rsidRDefault="000D0443" w:rsidP="00FC7F9A">
            <w:pPr>
              <w:spacing w:before="0" w:beforeAutospacing="0" w:after="0" w:afterAutospacing="0" w:line="240" w:lineRule="auto"/>
              <w:ind w:firstLine="0"/>
              <w:jc w:val="right"/>
              <w:rPr>
                <w:rFonts w:eastAsia="Times New Roman" w:cs="Times New Roman"/>
                <w:sz w:val="22"/>
                <w:lang w:eastAsia="pt-BR"/>
              </w:rPr>
            </w:pPr>
            <w:r w:rsidRPr="000D0443">
              <w:rPr>
                <w:rFonts w:cs="Times New Roman"/>
                <w:color w:val="000000"/>
                <w:sz w:val="22"/>
              </w:rPr>
              <w:t>2,52%</w:t>
            </w:r>
          </w:p>
        </w:tc>
      </w:tr>
    </w:tbl>
    <w:p w14:paraId="208D97FA" w14:textId="77777777" w:rsidR="00337237" w:rsidRDefault="00337237" w:rsidP="00337237">
      <w:pPr>
        <w:pStyle w:val="Legenda1"/>
        <w:spacing w:after="0" w:afterAutospacing="0"/>
        <w:rPr>
          <w:lang w:eastAsia="pt-BR"/>
        </w:rPr>
      </w:pPr>
      <w:r w:rsidRPr="003347CB">
        <w:rPr>
          <w:lang w:eastAsia="pt-BR"/>
        </w:rPr>
        <w:t xml:space="preserve">Fonte: Yahoo </w:t>
      </w:r>
      <w:proofErr w:type="spellStart"/>
      <w:r w:rsidRPr="00907480">
        <w:rPr>
          <w:i/>
          <w:iCs/>
          <w:lang w:eastAsia="pt-BR"/>
        </w:rPr>
        <w:t>Finance</w:t>
      </w:r>
      <w:proofErr w:type="spellEnd"/>
      <w:r w:rsidRPr="003347CB">
        <w:rPr>
          <w:lang w:eastAsia="pt-BR"/>
        </w:rPr>
        <w:t xml:space="preserve">. Elaboração: </w:t>
      </w:r>
      <w:proofErr w:type="spellStart"/>
      <w:r w:rsidRPr="003347CB">
        <w:rPr>
          <w:lang w:eastAsia="pt-BR"/>
        </w:rPr>
        <w:t>Nupe</w:t>
      </w:r>
      <w:proofErr w:type="spellEnd"/>
      <w:r w:rsidRPr="003347CB">
        <w:rPr>
          <w:lang w:eastAsia="pt-BR"/>
        </w:rPr>
        <w:t>/UNIFOR.</w:t>
      </w:r>
    </w:p>
    <w:p w14:paraId="730C194D" w14:textId="04CB75B6" w:rsidR="00337237" w:rsidRPr="003347CB" w:rsidRDefault="00337237" w:rsidP="00337237">
      <w:pPr>
        <w:pStyle w:val="Legenda1"/>
        <w:spacing w:before="80" w:after="0" w:afterAutospacing="0"/>
        <w:rPr>
          <w:lang w:eastAsia="pt-BR"/>
        </w:rPr>
      </w:pPr>
      <w:r w:rsidRPr="003347CB">
        <w:rPr>
          <w:lang w:eastAsia="pt-BR"/>
        </w:rPr>
        <w:t>*</w:t>
      </w:r>
      <w:r>
        <w:rPr>
          <w:lang w:eastAsia="pt-BR"/>
        </w:rPr>
        <w:t xml:space="preserve"> Data de referência: </w:t>
      </w:r>
      <w:r>
        <w:rPr>
          <w:b/>
          <w:bCs/>
          <w:lang w:eastAsia="pt-BR"/>
        </w:rPr>
        <w:t>2</w:t>
      </w:r>
      <w:r w:rsidR="002E7DD8">
        <w:rPr>
          <w:b/>
          <w:bCs/>
          <w:lang w:eastAsia="pt-BR"/>
        </w:rPr>
        <w:t>6</w:t>
      </w:r>
      <w:r w:rsidRPr="003347CB">
        <w:rPr>
          <w:b/>
          <w:bCs/>
          <w:lang w:eastAsia="pt-BR"/>
        </w:rPr>
        <w:t xml:space="preserve"> de </w:t>
      </w:r>
      <w:r w:rsidR="002E7DD8">
        <w:rPr>
          <w:b/>
          <w:bCs/>
          <w:lang w:eastAsia="pt-BR"/>
        </w:rPr>
        <w:t>fevereiro</w:t>
      </w:r>
      <w:r w:rsidRPr="003347CB">
        <w:rPr>
          <w:b/>
          <w:bCs/>
          <w:lang w:eastAsia="pt-BR"/>
        </w:rPr>
        <w:t xml:space="preserve"> de 202</w:t>
      </w:r>
      <w:r>
        <w:rPr>
          <w:b/>
          <w:bCs/>
          <w:lang w:eastAsia="pt-BR"/>
        </w:rPr>
        <w:t>1</w:t>
      </w:r>
      <w:r>
        <w:rPr>
          <w:lang w:eastAsia="pt-BR"/>
        </w:rPr>
        <w:t>.</w:t>
      </w:r>
    </w:p>
    <w:p w14:paraId="170A6738" w14:textId="54E4E9DB" w:rsidR="00AA4EB0" w:rsidRPr="009F1F48" w:rsidRDefault="00337237" w:rsidP="005E6D13">
      <w:pPr>
        <w:pStyle w:val="Legenda1"/>
        <w:spacing w:before="80"/>
      </w:pPr>
      <w:r w:rsidRPr="003347CB">
        <w:rPr>
          <w:lang w:eastAsia="pt-BR"/>
        </w:rPr>
        <w:t>*</w:t>
      </w:r>
      <w:r>
        <w:rPr>
          <w:lang w:eastAsia="pt-BR"/>
        </w:rPr>
        <w:t>* Retornos ajustados a dividendos e desdobramentos.</w:t>
      </w:r>
    </w:p>
    <w:sectPr w:rsidR="00AA4EB0" w:rsidRPr="009F1F48" w:rsidSect="00253FAF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2CB4A5" w14:textId="77777777" w:rsidR="006E5FFA" w:rsidRDefault="006E5FFA" w:rsidP="008F72CF">
      <w:pPr>
        <w:spacing w:before="0" w:after="0" w:line="240" w:lineRule="auto"/>
      </w:pPr>
      <w:r>
        <w:separator/>
      </w:r>
    </w:p>
  </w:endnote>
  <w:endnote w:type="continuationSeparator" w:id="0">
    <w:p w14:paraId="3F533FD7" w14:textId="77777777" w:rsidR="006E5FFA" w:rsidRDefault="006E5FFA" w:rsidP="008F72CF">
      <w:pPr>
        <w:spacing w:before="0" w:after="0" w:line="240" w:lineRule="auto"/>
      </w:pPr>
      <w:r>
        <w:continuationSeparator/>
      </w:r>
    </w:p>
  </w:endnote>
  <w:endnote w:type="continuationNotice" w:id="1">
    <w:p w14:paraId="5A0418F0" w14:textId="77777777" w:rsidR="006E5FFA" w:rsidRDefault="006E5FFA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TCFranklinGothicStd-Book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A8B925" w14:textId="77777777" w:rsidR="006E5FFA" w:rsidRDefault="006E5FFA" w:rsidP="008F72CF">
      <w:pPr>
        <w:spacing w:before="0" w:after="0" w:line="240" w:lineRule="auto"/>
      </w:pPr>
      <w:r>
        <w:separator/>
      </w:r>
    </w:p>
  </w:footnote>
  <w:footnote w:type="continuationSeparator" w:id="0">
    <w:p w14:paraId="76FD54DD" w14:textId="77777777" w:rsidR="006E5FFA" w:rsidRDefault="006E5FFA" w:rsidP="008F72CF">
      <w:pPr>
        <w:spacing w:before="0" w:after="0" w:line="240" w:lineRule="auto"/>
      </w:pPr>
      <w:r>
        <w:continuationSeparator/>
      </w:r>
    </w:p>
  </w:footnote>
  <w:footnote w:type="continuationNotice" w:id="1">
    <w:p w14:paraId="74BAD615" w14:textId="77777777" w:rsidR="006E5FFA" w:rsidRDefault="006E5FFA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B52A8"/>
    <w:multiLevelType w:val="hybridMultilevel"/>
    <w:tmpl w:val="F67C9324"/>
    <w:lvl w:ilvl="0" w:tplc="EA9E77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5550F"/>
    <w:multiLevelType w:val="hybridMultilevel"/>
    <w:tmpl w:val="7532A430"/>
    <w:lvl w:ilvl="0" w:tplc="E6A03D92">
      <w:start w:val="1"/>
      <w:numFmt w:val="upperRoman"/>
      <w:lvlText w:val="%1."/>
      <w:lvlJc w:val="righ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082D39"/>
    <w:multiLevelType w:val="multilevel"/>
    <w:tmpl w:val="F5185DF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78750B5"/>
    <w:multiLevelType w:val="multilevel"/>
    <w:tmpl w:val="8D36B5E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7C145D4"/>
    <w:multiLevelType w:val="hybridMultilevel"/>
    <w:tmpl w:val="81FAF89E"/>
    <w:lvl w:ilvl="0" w:tplc="D8F6EE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4226AF"/>
    <w:multiLevelType w:val="hybridMultilevel"/>
    <w:tmpl w:val="FF9820CE"/>
    <w:lvl w:ilvl="0" w:tplc="36582276">
      <w:start w:val="1"/>
      <w:numFmt w:val="decimal"/>
      <w:pStyle w:val="Lista1"/>
      <w:lvlText w:val="%1.1"/>
      <w:lvlJc w:val="left"/>
      <w:pPr>
        <w:ind w:left="720" w:hanging="36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5D2E38"/>
    <w:multiLevelType w:val="hybridMultilevel"/>
    <w:tmpl w:val="24308DA8"/>
    <w:lvl w:ilvl="0" w:tplc="9A02E3A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64170E"/>
    <w:multiLevelType w:val="hybridMultilevel"/>
    <w:tmpl w:val="6178C59E"/>
    <w:lvl w:ilvl="0" w:tplc="33D28A5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2F6C1F"/>
    <w:multiLevelType w:val="multilevel"/>
    <w:tmpl w:val="B5642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496574DD"/>
    <w:multiLevelType w:val="hybridMultilevel"/>
    <w:tmpl w:val="4FEC695E"/>
    <w:lvl w:ilvl="0" w:tplc="20A6021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E54069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  <w:b/>
        <w:bCs/>
        <w:i w:val="0"/>
        <w:iCs w:val="0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4FFA62A0"/>
    <w:multiLevelType w:val="singleLevel"/>
    <w:tmpl w:val="FDF4147C"/>
    <w:lvl w:ilvl="0">
      <w:start w:val="1"/>
      <w:numFmt w:val="upperRoman"/>
      <w:pStyle w:val="IntroduodoDocumento"/>
      <w:lvlText w:val="%1 –"/>
      <w:lvlJc w:val="right"/>
      <w:pPr>
        <w:ind w:left="360" w:hanging="360"/>
      </w:pPr>
      <w:rPr>
        <w:rFonts w:hint="default"/>
        <w:b/>
        <w:sz w:val="28"/>
      </w:rPr>
    </w:lvl>
  </w:abstractNum>
  <w:abstractNum w:abstractNumId="12" w15:restartNumberingAfterBreak="0">
    <w:nsid w:val="5206044A"/>
    <w:multiLevelType w:val="hybridMultilevel"/>
    <w:tmpl w:val="105E38A8"/>
    <w:lvl w:ilvl="0" w:tplc="9E1ABABC">
      <w:start w:val="1"/>
      <w:numFmt w:val="lowerLetter"/>
      <w:lvlText w:val="%1."/>
      <w:lvlJc w:val="left"/>
      <w:pPr>
        <w:ind w:left="720" w:hanging="360"/>
      </w:pPr>
      <w:rPr>
        <w:rFonts w:ascii="ITCFranklinGothicStd-Book" w:hAnsi="ITCFranklinGothicStd-Book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C23B05"/>
    <w:multiLevelType w:val="hybridMultilevel"/>
    <w:tmpl w:val="A2E241B0"/>
    <w:lvl w:ilvl="0" w:tplc="2C8AF69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12"/>
  </w:num>
  <w:num w:numId="5">
    <w:abstractNumId w:val="3"/>
  </w:num>
  <w:num w:numId="6">
    <w:abstractNumId w:val="3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8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"/>
  </w:num>
  <w:num w:numId="21">
    <w:abstractNumId w:val="11"/>
  </w:num>
  <w:num w:numId="22">
    <w:abstractNumId w:val="13"/>
  </w:num>
  <w:num w:numId="23">
    <w:abstractNumId w:val="4"/>
  </w:num>
  <w:num w:numId="24">
    <w:abstractNumId w:val="0"/>
  </w:num>
  <w:num w:numId="25">
    <w:abstractNumId w:val="9"/>
  </w:num>
  <w:num w:numId="26">
    <w:abstractNumId w:val="7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2CC"/>
    <w:rsid w:val="00000B08"/>
    <w:rsid w:val="000027D4"/>
    <w:rsid w:val="00004546"/>
    <w:rsid w:val="00020783"/>
    <w:rsid w:val="00021EF9"/>
    <w:rsid w:val="00023FE9"/>
    <w:rsid w:val="00034940"/>
    <w:rsid w:val="00037CCB"/>
    <w:rsid w:val="00042AFD"/>
    <w:rsid w:val="00043E8F"/>
    <w:rsid w:val="00047E4C"/>
    <w:rsid w:val="000549DD"/>
    <w:rsid w:val="00056B19"/>
    <w:rsid w:val="00064230"/>
    <w:rsid w:val="00065DC6"/>
    <w:rsid w:val="0006731E"/>
    <w:rsid w:val="00067D33"/>
    <w:rsid w:val="00071E3E"/>
    <w:rsid w:val="00074783"/>
    <w:rsid w:val="0007510A"/>
    <w:rsid w:val="0007673E"/>
    <w:rsid w:val="00076A9E"/>
    <w:rsid w:val="00076FAB"/>
    <w:rsid w:val="00077AFF"/>
    <w:rsid w:val="00083AE3"/>
    <w:rsid w:val="00083BD9"/>
    <w:rsid w:val="00083D5B"/>
    <w:rsid w:val="000861B2"/>
    <w:rsid w:val="00096CE2"/>
    <w:rsid w:val="000A7369"/>
    <w:rsid w:val="000C39FB"/>
    <w:rsid w:val="000D0443"/>
    <w:rsid w:val="000D2D2A"/>
    <w:rsid w:val="000E2248"/>
    <w:rsid w:val="000E2ED8"/>
    <w:rsid w:val="000F2011"/>
    <w:rsid w:val="001015C7"/>
    <w:rsid w:val="00103E23"/>
    <w:rsid w:val="00125DD4"/>
    <w:rsid w:val="001315BB"/>
    <w:rsid w:val="00132FEC"/>
    <w:rsid w:val="00134336"/>
    <w:rsid w:val="001379E5"/>
    <w:rsid w:val="00144F69"/>
    <w:rsid w:val="00145CCB"/>
    <w:rsid w:val="00147FD5"/>
    <w:rsid w:val="001536A1"/>
    <w:rsid w:val="00154C93"/>
    <w:rsid w:val="001570BD"/>
    <w:rsid w:val="001577B2"/>
    <w:rsid w:val="001634A2"/>
    <w:rsid w:val="00164A9B"/>
    <w:rsid w:val="00170F45"/>
    <w:rsid w:val="001742A5"/>
    <w:rsid w:val="00175F68"/>
    <w:rsid w:val="001769ED"/>
    <w:rsid w:val="00185272"/>
    <w:rsid w:val="0018774C"/>
    <w:rsid w:val="00190803"/>
    <w:rsid w:val="00196511"/>
    <w:rsid w:val="001A25B9"/>
    <w:rsid w:val="001A6B60"/>
    <w:rsid w:val="001A7DCE"/>
    <w:rsid w:val="001B0340"/>
    <w:rsid w:val="001B63B9"/>
    <w:rsid w:val="001B71C3"/>
    <w:rsid w:val="001C323F"/>
    <w:rsid w:val="001C4487"/>
    <w:rsid w:val="001C4E2C"/>
    <w:rsid w:val="001C612C"/>
    <w:rsid w:val="001D0023"/>
    <w:rsid w:val="001D1963"/>
    <w:rsid w:val="001D3DF2"/>
    <w:rsid w:val="001D6515"/>
    <w:rsid w:val="001E20ED"/>
    <w:rsid w:val="001E2AFC"/>
    <w:rsid w:val="001E4728"/>
    <w:rsid w:val="001E5C21"/>
    <w:rsid w:val="001F08B2"/>
    <w:rsid w:val="001F1A5E"/>
    <w:rsid w:val="001F4C8E"/>
    <w:rsid w:val="001F5769"/>
    <w:rsid w:val="0020078F"/>
    <w:rsid w:val="00201E91"/>
    <w:rsid w:val="00227966"/>
    <w:rsid w:val="00234158"/>
    <w:rsid w:val="00240485"/>
    <w:rsid w:val="00242C07"/>
    <w:rsid w:val="00246B6A"/>
    <w:rsid w:val="0025359F"/>
    <w:rsid w:val="00253FAF"/>
    <w:rsid w:val="0026668C"/>
    <w:rsid w:val="00270EF0"/>
    <w:rsid w:val="00277188"/>
    <w:rsid w:val="00290FCB"/>
    <w:rsid w:val="00296F39"/>
    <w:rsid w:val="002A1C8F"/>
    <w:rsid w:val="002C08EB"/>
    <w:rsid w:val="002C0B56"/>
    <w:rsid w:val="002C20A6"/>
    <w:rsid w:val="002D018B"/>
    <w:rsid w:val="002E1599"/>
    <w:rsid w:val="002E167F"/>
    <w:rsid w:val="002E4AE9"/>
    <w:rsid w:val="002E7DD8"/>
    <w:rsid w:val="002F1107"/>
    <w:rsid w:val="003063DF"/>
    <w:rsid w:val="003145C1"/>
    <w:rsid w:val="003303EA"/>
    <w:rsid w:val="003304A6"/>
    <w:rsid w:val="00334EC9"/>
    <w:rsid w:val="00337237"/>
    <w:rsid w:val="00345D1C"/>
    <w:rsid w:val="00351B03"/>
    <w:rsid w:val="00357AEB"/>
    <w:rsid w:val="003623D7"/>
    <w:rsid w:val="00362513"/>
    <w:rsid w:val="0036738E"/>
    <w:rsid w:val="0039676B"/>
    <w:rsid w:val="00396EA3"/>
    <w:rsid w:val="003A721A"/>
    <w:rsid w:val="003B43E8"/>
    <w:rsid w:val="003B7300"/>
    <w:rsid w:val="003D1649"/>
    <w:rsid w:val="003D4A6F"/>
    <w:rsid w:val="003D61E8"/>
    <w:rsid w:val="003E3111"/>
    <w:rsid w:val="003E42AE"/>
    <w:rsid w:val="003E5472"/>
    <w:rsid w:val="003E56A9"/>
    <w:rsid w:val="003F35DA"/>
    <w:rsid w:val="003F5291"/>
    <w:rsid w:val="003F7A5B"/>
    <w:rsid w:val="00420AE9"/>
    <w:rsid w:val="004232FF"/>
    <w:rsid w:val="0044129C"/>
    <w:rsid w:val="00445DBB"/>
    <w:rsid w:val="00447C98"/>
    <w:rsid w:val="004525D5"/>
    <w:rsid w:val="0046012C"/>
    <w:rsid w:val="004602A6"/>
    <w:rsid w:val="00470D21"/>
    <w:rsid w:val="00474507"/>
    <w:rsid w:val="00474E1B"/>
    <w:rsid w:val="004766AA"/>
    <w:rsid w:val="004921D5"/>
    <w:rsid w:val="00493B6E"/>
    <w:rsid w:val="004A38B8"/>
    <w:rsid w:val="004A468F"/>
    <w:rsid w:val="004A66D3"/>
    <w:rsid w:val="004C0E1B"/>
    <w:rsid w:val="004C384B"/>
    <w:rsid w:val="004C458F"/>
    <w:rsid w:val="004D2EE2"/>
    <w:rsid w:val="004D6191"/>
    <w:rsid w:val="004E3F5A"/>
    <w:rsid w:val="004F2524"/>
    <w:rsid w:val="004F4EF1"/>
    <w:rsid w:val="0050085F"/>
    <w:rsid w:val="00515A9E"/>
    <w:rsid w:val="00521EEA"/>
    <w:rsid w:val="005325A9"/>
    <w:rsid w:val="005348CA"/>
    <w:rsid w:val="00534A2B"/>
    <w:rsid w:val="00537B70"/>
    <w:rsid w:val="00545BC8"/>
    <w:rsid w:val="00551FE3"/>
    <w:rsid w:val="00554978"/>
    <w:rsid w:val="00557738"/>
    <w:rsid w:val="00560444"/>
    <w:rsid w:val="00564513"/>
    <w:rsid w:val="00564B49"/>
    <w:rsid w:val="005653B9"/>
    <w:rsid w:val="00572F9B"/>
    <w:rsid w:val="005805D8"/>
    <w:rsid w:val="0059418E"/>
    <w:rsid w:val="005952CC"/>
    <w:rsid w:val="005A108B"/>
    <w:rsid w:val="005D159F"/>
    <w:rsid w:val="005D31EA"/>
    <w:rsid w:val="005D423C"/>
    <w:rsid w:val="005E0974"/>
    <w:rsid w:val="005E6D13"/>
    <w:rsid w:val="005F51C7"/>
    <w:rsid w:val="00604703"/>
    <w:rsid w:val="00604D9F"/>
    <w:rsid w:val="006121E1"/>
    <w:rsid w:val="0061476A"/>
    <w:rsid w:val="006218AD"/>
    <w:rsid w:val="00621A86"/>
    <w:rsid w:val="00622DA9"/>
    <w:rsid w:val="0062564C"/>
    <w:rsid w:val="00626E01"/>
    <w:rsid w:val="00631519"/>
    <w:rsid w:val="00635D30"/>
    <w:rsid w:val="006407E4"/>
    <w:rsid w:val="00640981"/>
    <w:rsid w:val="00642997"/>
    <w:rsid w:val="006430A7"/>
    <w:rsid w:val="00651EAF"/>
    <w:rsid w:val="006565F1"/>
    <w:rsid w:val="00657451"/>
    <w:rsid w:val="0065745E"/>
    <w:rsid w:val="00667C09"/>
    <w:rsid w:val="00674169"/>
    <w:rsid w:val="00675AA6"/>
    <w:rsid w:val="006936FC"/>
    <w:rsid w:val="006A297C"/>
    <w:rsid w:val="006A6B37"/>
    <w:rsid w:val="006B0E88"/>
    <w:rsid w:val="006B4574"/>
    <w:rsid w:val="006B611A"/>
    <w:rsid w:val="006C40BF"/>
    <w:rsid w:val="006C55E1"/>
    <w:rsid w:val="006C60CC"/>
    <w:rsid w:val="006D21B3"/>
    <w:rsid w:val="006D2648"/>
    <w:rsid w:val="006D3522"/>
    <w:rsid w:val="006E5FFA"/>
    <w:rsid w:val="006F0600"/>
    <w:rsid w:val="006F79BA"/>
    <w:rsid w:val="0071247E"/>
    <w:rsid w:val="007142CE"/>
    <w:rsid w:val="00714441"/>
    <w:rsid w:val="0072071A"/>
    <w:rsid w:val="00720D9A"/>
    <w:rsid w:val="00736274"/>
    <w:rsid w:val="00736B9A"/>
    <w:rsid w:val="007404D6"/>
    <w:rsid w:val="00757C2D"/>
    <w:rsid w:val="00766CA9"/>
    <w:rsid w:val="00771C1E"/>
    <w:rsid w:val="00775041"/>
    <w:rsid w:val="00782AA4"/>
    <w:rsid w:val="007861A5"/>
    <w:rsid w:val="00787853"/>
    <w:rsid w:val="007A1368"/>
    <w:rsid w:val="007A2468"/>
    <w:rsid w:val="007B23CF"/>
    <w:rsid w:val="007C50C1"/>
    <w:rsid w:val="007D0AF2"/>
    <w:rsid w:val="007D0D3F"/>
    <w:rsid w:val="007D1C2D"/>
    <w:rsid w:val="007D7E3D"/>
    <w:rsid w:val="007E55D1"/>
    <w:rsid w:val="007F2072"/>
    <w:rsid w:val="007F2320"/>
    <w:rsid w:val="007F3A08"/>
    <w:rsid w:val="00800142"/>
    <w:rsid w:val="00803AEE"/>
    <w:rsid w:val="00804B3F"/>
    <w:rsid w:val="00806DDD"/>
    <w:rsid w:val="00811CED"/>
    <w:rsid w:val="00812DEB"/>
    <w:rsid w:val="00813930"/>
    <w:rsid w:val="008267D9"/>
    <w:rsid w:val="008329DB"/>
    <w:rsid w:val="00832E1B"/>
    <w:rsid w:val="00847A21"/>
    <w:rsid w:val="00853AB6"/>
    <w:rsid w:val="008601BE"/>
    <w:rsid w:val="0087111C"/>
    <w:rsid w:val="00885DED"/>
    <w:rsid w:val="0088777C"/>
    <w:rsid w:val="00894F0B"/>
    <w:rsid w:val="00897F19"/>
    <w:rsid w:val="008A3E71"/>
    <w:rsid w:val="008A7836"/>
    <w:rsid w:val="008B367C"/>
    <w:rsid w:val="008B449D"/>
    <w:rsid w:val="008B45BA"/>
    <w:rsid w:val="008C40E6"/>
    <w:rsid w:val="008D2D11"/>
    <w:rsid w:val="008D375F"/>
    <w:rsid w:val="008E5E92"/>
    <w:rsid w:val="008E61C3"/>
    <w:rsid w:val="008E7E52"/>
    <w:rsid w:val="008F01E0"/>
    <w:rsid w:val="008F022D"/>
    <w:rsid w:val="008F125F"/>
    <w:rsid w:val="008F1378"/>
    <w:rsid w:val="008F5F68"/>
    <w:rsid w:val="008F72CF"/>
    <w:rsid w:val="008F7BA1"/>
    <w:rsid w:val="009063D7"/>
    <w:rsid w:val="00906663"/>
    <w:rsid w:val="00907480"/>
    <w:rsid w:val="00914761"/>
    <w:rsid w:val="00914ED0"/>
    <w:rsid w:val="009159EE"/>
    <w:rsid w:val="00921F70"/>
    <w:rsid w:val="00922324"/>
    <w:rsid w:val="009231AE"/>
    <w:rsid w:val="00924079"/>
    <w:rsid w:val="00930666"/>
    <w:rsid w:val="009308B8"/>
    <w:rsid w:val="00931949"/>
    <w:rsid w:val="0093356A"/>
    <w:rsid w:val="00935ED9"/>
    <w:rsid w:val="00943381"/>
    <w:rsid w:val="009464B2"/>
    <w:rsid w:val="00946C8B"/>
    <w:rsid w:val="00954AC6"/>
    <w:rsid w:val="00961215"/>
    <w:rsid w:val="00961630"/>
    <w:rsid w:val="00962236"/>
    <w:rsid w:val="00964DD6"/>
    <w:rsid w:val="0096571E"/>
    <w:rsid w:val="00975D3C"/>
    <w:rsid w:val="00976836"/>
    <w:rsid w:val="00980844"/>
    <w:rsid w:val="00980B3B"/>
    <w:rsid w:val="00986811"/>
    <w:rsid w:val="00994DC6"/>
    <w:rsid w:val="0099537B"/>
    <w:rsid w:val="009A1EFC"/>
    <w:rsid w:val="009A3664"/>
    <w:rsid w:val="009B2DE0"/>
    <w:rsid w:val="009B2DF3"/>
    <w:rsid w:val="009C665C"/>
    <w:rsid w:val="009D1E17"/>
    <w:rsid w:val="009D530D"/>
    <w:rsid w:val="009E580F"/>
    <w:rsid w:val="009F0096"/>
    <w:rsid w:val="009F15F8"/>
    <w:rsid w:val="009F1771"/>
    <w:rsid w:val="009F1F48"/>
    <w:rsid w:val="00A1261F"/>
    <w:rsid w:val="00A243FD"/>
    <w:rsid w:val="00A2588D"/>
    <w:rsid w:val="00A276D0"/>
    <w:rsid w:val="00A27F59"/>
    <w:rsid w:val="00A30214"/>
    <w:rsid w:val="00A41F19"/>
    <w:rsid w:val="00A5066C"/>
    <w:rsid w:val="00A57910"/>
    <w:rsid w:val="00A6252B"/>
    <w:rsid w:val="00A62A00"/>
    <w:rsid w:val="00A72CA8"/>
    <w:rsid w:val="00A850DC"/>
    <w:rsid w:val="00A910EB"/>
    <w:rsid w:val="00A926B6"/>
    <w:rsid w:val="00A9355E"/>
    <w:rsid w:val="00AA15B5"/>
    <w:rsid w:val="00AA2F8B"/>
    <w:rsid w:val="00AA4EB0"/>
    <w:rsid w:val="00AC539F"/>
    <w:rsid w:val="00AC7F9B"/>
    <w:rsid w:val="00AD3E4E"/>
    <w:rsid w:val="00AD7F8B"/>
    <w:rsid w:val="00AE5D78"/>
    <w:rsid w:val="00AF2208"/>
    <w:rsid w:val="00AF3CEA"/>
    <w:rsid w:val="00B05372"/>
    <w:rsid w:val="00B100AC"/>
    <w:rsid w:val="00B106C3"/>
    <w:rsid w:val="00B114F3"/>
    <w:rsid w:val="00B1153B"/>
    <w:rsid w:val="00B17991"/>
    <w:rsid w:val="00B27C4D"/>
    <w:rsid w:val="00B308F0"/>
    <w:rsid w:val="00B363D7"/>
    <w:rsid w:val="00B375EE"/>
    <w:rsid w:val="00B41509"/>
    <w:rsid w:val="00B439A4"/>
    <w:rsid w:val="00B46F0B"/>
    <w:rsid w:val="00B47599"/>
    <w:rsid w:val="00B61110"/>
    <w:rsid w:val="00B703E5"/>
    <w:rsid w:val="00B70AC4"/>
    <w:rsid w:val="00B71A61"/>
    <w:rsid w:val="00B7573C"/>
    <w:rsid w:val="00B759C0"/>
    <w:rsid w:val="00B8339C"/>
    <w:rsid w:val="00B8700B"/>
    <w:rsid w:val="00B9143A"/>
    <w:rsid w:val="00B9550F"/>
    <w:rsid w:val="00B95CC1"/>
    <w:rsid w:val="00BA0108"/>
    <w:rsid w:val="00BA1C32"/>
    <w:rsid w:val="00BA5BBF"/>
    <w:rsid w:val="00BA5F4F"/>
    <w:rsid w:val="00BB2089"/>
    <w:rsid w:val="00BB43E1"/>
    <w:rsid w:val="00BC60AD"/>
    <w:rsid w:val="00BC729D"/>
    <w:rsid w:val="00BD73E8"/>
    <w:rsid w:val="00BE0B41"/>
    <w:rsid w:val="00BE0F20"/>
    <w:rsid w:val="00BF311F"/>
    <w:rsid w:val="00BF5EF0"/>
    <w:rsid w:val="00C00B31"/>
    <w:rsid w:val="00C0579C"/>
    <w:rsid w:val="00C1134C"/>
    <w:rsid w:val="00C11812"/>
    <w:rsid w:val="00C21FBE"/>
    <w:rsid w:val="00C24E24"/>
    <w:rsid w:val="00C2632A"/>
    <w:rsid w:val="00C32B01"/>
    <w:rsid w:val="00C34C1F"/>
    <w:rsid w:val="00C450D2"/>
    <w:rsid w:val="00C4610B"/>
    <w:rsid w:val="00C6060E"/>
    <w:rsid w:val="00C62811"/>
    <w:rsid w:val="00C6398E"/>
    <w:rsid w:val="00C639FC"/>
    <w:rsid w:val="00C6651D"/>
    <w:rsid w:val="00C71CD1"/>
    <w:rsid w:val="00C75E5A"/>
    <w:rsid w:val="00C7636D"/>
    <w:rsid w:val="00C76730"/>
    <w:rsid w:val="00C95EC7"/>
    <w:rsid w:val="00CA5A3F"/>
    <w:rsid w:val="00CB21CA"/>
    <w:rsid w:val="00CB24D7"/>
    <w:rsid w:val="00CB273B"/>
    <w:rsid w:val="00CC109E"/>
    <w:rsid w:val="00CC2284"/>
    <w:rsid w:val="00CC3C5F"/>
    <w:rsid w:val="00CC7F85"/>
    <w:rsid w:val="00CD05FF"/>
    <w:rsid w:val="00CD1130"/>
    <w:rsid w:val="00CD6F6C"/>
    <w:rsid w:val="00CE26D5"/>
    <w:rsid w:val="00CE2B62"/>
    <w:rsid w:val="00CE3A42"/>
    <w:rsid w:val="00CE3C39"/>
    <w:rsid w:val="00CF106A"/>
    <w:rsid w:val="00CF20A1"/>
    <w:rsid w:val="00CF3876"/>
    <w:rsid w:val="00D077E7"/>
    <w:rsid w:val="00D1248F"/>
    <w:rsid w:val="00D224F3"/>
    <w:rsid w:val="00D24D03"/>
    <w:rsid w:val="00D25572"/>
    <w:rsid w:val="00D360E2"/>
    <w:rsid w:val="00D44C13"/>
    <w:rsid w:val="00D50803"/>
    <w:rsid w:val="00D66A74"/>
    <w:rsid w:val="00D66AA4"/>
    <w:rsid w:val="00D74F8E"/>
    <w:rsid w:val="00D82C84"/>
    <w:rsid w:val="00D9545A"/>
    <w:rsid w:val="00DA6751"/>
    <w:rsid w:val="00DB0788"/>
    <w:rsid w:val="00DB217C"/>
    <w:rsid w:val="00DB3207"/>
    <w:rsid w:val="00DB3BEE"/>
    <w:rsid w:val="00DB499C"/>
    <w:rsid w:val="00DB6200"/>
    <w:rsid w:val="00DB639D"/>
    <w:rsid w:val="00DC3350"/>
    <w:rsid w:val="00DC6C77"/>
    <w:rsid w:val="00DD549F"/>
    <w:rsid w:val="00DE0C17"/>
    <w:rsid w:val="00DE0EB6"/>
    <w:rsid w:val="00E0257E"/>
    <w:rsid w:val="00E121DA"/>
    <w:rsid w:val="00E1703B"/>
    <w:rsid w:val="00E17402"/>
    <w:rsid w:val="00E22CD2"/>
    <w:rsid w:val="00E30919"/>
    <w:rsid w:val="00E3387C"/>
    <w:rsid w:val="00E34539"/>
    <w:rsid w:val="00E36D3E"/>
    <w:rsid w:val="00E539B9"/>
    <w:rsid w:val="00E6192E"/>
    <w:rsid w:val="00E6587C"/>
    <w:rsid w:val="00E6798E"/>
    <w:rsid w:val="00E7525D"/>
    <w:rsid w:val="00E76576"/>
    <w:rsid w:val="00E8622C"/>
    <w:rsid w:val="00E94268"/>
    <w:rsid w:val="00EA0210"/>
    <w:rsid w:val="00EA301E"/>
    <w:rsid w:val="00EA34C3"/>
    <w:rsid w:val="00EA40DF"/>
    <w:rsid w:val="00EB7DD5"/>
    <w:rsid w:val="00EB7E96"/>
    <w:rsid w:val="00EC0770"/>
    <w:rsid w:val="00EC46DF"/>
    <w:rsid w:val="00ED1636"/>
    <w:rsid w:val="00ED1937"/>
    <w:rsid w:val="00ED5F28"/>
    <w:rsid w:val="00EE3D02"/>
    <w:rsid w:val="00EE5D32"/>
    <w:rsid w:val="00EE799D"/>
    <w:rsid w:val="00EE7B42"/>
    <w:rsid w:val="00EF1121"/>
    <w:rsid w:val="00EF45E6"/>
    <w:rsid w:val="00EF5F05"/>
    <w:rsid w:val="00EF648B"/>
    <w:rsid w:val="00F12AD3"/>
    <w:rsid w:val="00F20DBA"/>
    <w:rsid w:val="00F27205"/>
    <w:rsid w:val="00F27A77"/>
    <w:rsid w:val="00F3782E"/>
    <w:rsid w:val="00F462FB"/>
    <w:rsid w:val="00F56222"/>
    <w:rsid w:val="00F60DC6"/>
    <w:rsid w:val="00F66200"/>
    <w:rsid w:val="00F67C82"/>
    <w:rsid w:val="00F70D59"/>
    <w:rsid w:val="00F729C7"/>
    <w:rsid w:val="00F74FE7"/>
    <w:rsid w:val="00F770E2"/>
    <w:rsid w:val="00F854DF"/>
    <w:rsid w:val="00F85606"/>
    <w:rsid w:val="00F87ABB"/>
    <w:rsid w:val="00F92C2D"/>
    <w:rsid w:val="00FA6494"/>
    <w:rsid w:val="00FA6BF7"/>
    <w:rsid w:val="00FA6CF2"/>
    <w:rsid w:val="00FB03B3"/>
    <w:rsid w:val="00FB1400"/>
    <w:rsid w:val="00FB2F53"/>
    <w:rsid w:val="00FC22CC"/>
    <w:rsid w:val="00FC4241"/>
    <w:rsid w:val="00FC7AC3"/>
    <w:rsid w:val="00FC7F9A"/>
    <w:rsid w:val="00FD39F2"/>
    <w:rsid w:val="00FD4434"/>
    <w:rsid w:val="00FD4B1A"/>
    <w:rsid w:val="00FD6F5D"/>
    <w:rsid w:val="00FE0582"/>
    <w:rsid w:val="00FF042F"/>
    <w:rsid w:val="00FF1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581C2"/>
  <w15:chartTrackingRefBased/>
  <w15:docId w15:val="{D344A178-CAB1-4B28-8E22-5050CC8E7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6AA"/>
    <w:pPr>
      <w:spacing w:before="100" w:beforeAutospacing="1" w:after="100" w:afterAutospacing="1" w:line="360" w:lineRule="auto"/>
      <w:ind w:firstLine="709"/>
      <w:jc w:val="both"/>
    </w:pPr>
    <w:rPr>
      <w:rFonts w:ascii="Times New Roman" w:eastAsiaTheme="minorEastAsia" w:hAnsi="Times New Roman"/>
      <w:sz w:val="24"/>
    </w:rPr>
  </w:style>
  <w:style w:type="paragraph" w:styleId="Ttulo1">
    <w:name w:val="heading 1"/>
    <w:next w:val="Normal"/>
    <w:link w:val="Ttulo1Char"/>
    <w:uiPriority w:val="9"/>
    <w:qFormat/>
    <w:rsid w:val="00C75E5A"/>
    <w:pPr>
      <w:numPr>
        <w:numId w:val="19"/>
      </w:numPr>
      <w:spacing w:before="100" w:beforeAutospacing="1" w:after="100" w:afterAutospacing="1" w:line="360" w:lineRule="auto"/>
      <w:outlineLvl w:val="0"/>
    </w:pPr>
    <w:rPr>
      <w:rFonts w:ascii="Times New Roman" w:hAnsi="Times New Roman"/>
      <w:b/>
      <w:bCs/>
      <w:caps/>
      <w:sz w:val="28"/>
    </w:rPr>
  </w:style>
  <w:style w:type="paragraph" w:styleId="Ttulo2">
    <w:name w:val="heading 2"/>
    <w:aliases w:val="Seção"/>
    <w:basedOn w:val="Ttulo1"/>
    <w:next w:val="Normal"/>
    <w:link w:val="Ttulo2Char"/>
    <w:uiPriority w:val="9"/>
    <w:unhideWhenUsed/>
    <w:qFormat/>
    <w:rsid w:val="00C75E5A"/>
    <w:pPr>
      <w:keepNext/>
      <w:keepLines/>
      <w:numPr>
        <w:ilvl w:val="1"/>
      </w:numPr>
      <w:jc w:val="both"/>
      <w:outlineLvl w:val="1"/>
    </w:pPr>
    <w:rPr>
      <w:rFonts w:eastAsiaTheme="majorEastAsia" w:cstheme="majorBidi"/>
      <w:bCs w:val="0"/>
      <w:caps w:val="0"/>
      <w:spacing w:val="-10"/>
      <w:kern w:val="28"/>
      <w:sz w:val="24"/>
      <w:szCs w:val="24"/>
      <w:lang w:eastAsia="ja-JP"/>
    </w:rPr>
  </w:style>
  <w:style w:type="paragraph" w:styleId="Ttulo3">
    <w:name w:val="heading 3"/>
    <w:aliases w:val="Subseção"/>
    <w:basedOn w:val="Normal"/>
    <w:next w:val="Normal"/>
    <w:link w:val="Ttulo3Char"/>
    <w:uiPriority w:val="9"/>
    <w:unhideWhenUsed/>
    <w:qFormat/>
    <w:rsid w:val="00C75E5A"/>
    <w:pPr>
      <w:keepNext/>
      <w:keepLines/>
      <w:numPr>
        <w:ilvl w:val="2"/>
        <w:numId w:val="19"/>
      </w:numPr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75E5A"/>
    <w:pPr>
      <w:keepNext/>
      <w:keepLines/>
      <w:numPr>
        <w:ilvl w:val="3"/>
        <w:numId w:val="19"/>
      </w:numPr>
      <w:spacing w:before="40" w:after="0"/>
      <w:outlineLvl w:val="3"/>
    </w:pPr>
    <w:rPr>
      <w:rFonts w:eastAsiaTheme="majorEastAsia" w:cstheme="majorBidi"/>
      <w:b/>
    </w:rPr>
  </w:style>
  <w:style w:type="paragraph" w:styleId="Ttulo5">
    <w:name w:val="heading 5"/>
    <w:aliases w:val="Subsubsubseção"/>
    <w:basedOn w:val="Normal"/>
    <w:next w:val="Normal"/>
    <w:link w:val="Ttulo5Char"/>
    <w:uiPriority w:val="9"/>
    <w:unhideWhenUsed/>
    <w:qFormat/>
    <w:rsid w:val="00736274"/>
    <w:pPr>
      <w:keepNext/>
      <w:keepLines/>
      <w:numPr>
        <w:ilvl w:val="4"/>
        <w:numId w:val="19"/>
      </w:numPr>
      <w:spacing w:before="40" w:after="0"/>
      <w:outlineLvl w:val="4"/>
    </w:pPr>
    <w:rPr>
      <w:rFonts w:eastAsiaTheme="majorEastAsia" w:cstheme="majorBidi"/>
      <w:b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C75E5A"/>
    <w:pPr>
      <w:keepNext/>
      <w:keepLines/>
      <w:numPr>
        <w:ilvl w:val="5"/>
        <w:numId w:val="12"/>
      </w:numPr>
      <w:spacing w:before="40" w:after="0"/>
      <w:outlineLvl w:val="5"/>
    </w:pPr>
    <w:rPr>
      <w:rFonts w:eastAsiaTheme="majorEastAsia" w:cstheme="majorBidi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nhideWhenUsed/>
    <w:qFormat/>
    <w:rsid w:val="004766AA"/>
    <w:pPr>
      <w:keepNext/>
      <w:spacing w:after="40" w:afterAutospacing="0" w:line="240" w:lineRule="auto"/>
      <w:ind w:firstLine="0"/>
    </w:pPr>
    <w:rPr>
      <w:iCs/>
      <w:szCs w:val="18"/>
      <w:lang w:eastAsia="ja-JP"/>
    </w:rPr>
  </w:style>
  <w:style w:type="paragraph" w:customStyle="1" w:styleId="Legenda1">
    <w:name w:val="Legenda1"/>
    <w:next w:val="Normal"/>
    <w:qFormat/>
    <w:rsid w:val="00812DEB"/>
    <w:pPr>
      <w:spacing w:after="100" w:afterAutospacing="1" w:line="240" w:lineRule="auto"/>
    </w:pPr>
    <w:rPr>
      <w:sz w:val="18"/>
      <w:szCs w:val="20"/>
    </w:rPr>
  </w:style>
  <w:style w:type="character" w:customStyle="1" w:styleId="captionChar">
    <w:name w:val="caption Char"/>
    <w:basedOn w:val="Fontepargpadro"/>
    <w:link w:val="Legenda2"/>
    <w:rsid w:val="00DB639D"/>
    <w:rPr>
      <w:rFonts w:cstheme="minorHAnsi"/>
      <w:sz w:val="18"/>
      <w:szCs w:val="16"/>
    </w:rPr>
  </w:style>
  <w:style w:type="paragraph" w:customStyle="1" w:styleId="captiontabela">
    <w:name w:val="caption tabela"/>
    <w:next w:val="Normal"/>
    <w:link w:val="captiontabelaChar"/>
    <w:qFormat/>
    <w:rsid w:val="0065745E"/>
    <w:pPr>
      <w:spacing w:before="40" w:after="100" w:afterAutospacing="1" w:line="240" w:lineRule="auto"/>
      <w:jc w:val="both"/>
    </w:pPr>
    <w:rPr>
      <w:rFonts w:ascii="Times New Roman" w:hAnsi="Times New Roman" w:cstheme="minorHAnsi"/>
      <w:sz w:val="18"/>
      <w:szCs w:val="16"/>
    </w:rPr>
  </w:style>
  <w:style w:type="character" w:customStyle="1" w:styleId="captiontabelaChar">
    <w:name w:val="caption tabela Char"/>
    <w:basedOn w:val="Fontepargpadro"/>
    <w:link w:val="captiontabela"/>
    <w:rsid w:val="0065745E"/>
    <w:rPr>
      <w:rFonts w:ascii="Times New Roman" w:hAnsi="Times New Roman" w:cstheme="minorHAnsi"/>
      <w:sz w:val="18"/>
      <w:szCs w:val="16"/>
    </w:rPr>
  </w:style>
  <w:style w:type="paragraph" w:customStyle="1" w:styleId="Legenda2">
    <w:name w:val="Legenda2"/>
    <w:link w:val="captionChar"/>
    <w:qFormat/>
    <w:rsid w:val="00DB639D"/>
    <w:pPr>
      <w:spacing w:after="240" w:line="240" w:lineRule="auto"/>
    </w:pPr>
    <w:rPr>
      <w:rFonts w:cstheme="minorHAnsi"/>
      <w:sz w:val="18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736274"/>
    <w:rPr>
      <w:rFonts w:ascii="Times New Roman" w:hAnsi="Times New Roman"/>
      <w:b/>
      <w:bCs/>
      <w:caps/>
      <w:sz w:val="28"/>
    </w:rPr>
  </w:style>
  <w:style w:type="paragraph" w:customStyle="1" w:styleId="Corpo-Tabela">
    <w:name w:val="Corpo - Tabela"/>
    <w:link w:val="Corpo-TabelaChar"/>
    <w:qFormat/>
    <w:rsid w:val="00DB639D"/>
    <w:pPr>
      <w:spacing w:after="0" w:line="240" w:lineRule="auto"/>
      <w:jc w:val="both"/>
    </w:pPr>
    <w:rPr>
      <w:rFonts w:eastAsia="Times New Roman" w:cstheme="minorHAnsi"/>
      <w:color w:val="000000"/>
    </w:rPr>
  </w:style>
  <w:style w:type="character" w:customStyle="1" w:styleId="Corpo-TabelaChar">
    <w:name w:val="Corpo - Tabela Char"/>
    <w:basedOn w:val="Fontepargpadro"/>
    <w:link w:val="Corpo-Tabela"/>
    <w:rsid w:val="00DB639D"/>
    <w:rPr>
      <w:rFonts w:eastAsia="Times New Roman" w:cstheme="minorHAnsi"/>
      <w:color w:val="000000"/>
    </w:rPr>
  </w:style>
  <w:style w:type="paragraph" w:customStyle="1" w:styleId="Cabealho-Tabela">
    <w:name w:val="Cabeçalho - Tabela"/>
    <w:basedOn w:val="Normal"/>
    <w:link w:val="Cabealho-TabelaChar"/>
    <w:qFormat/>
    <w:rsid w:val="00DB639D"/>
    <w:pPr>
      <w:spacing w:before="0" w:after="0" w:line="240" w:lineRule="auto"/>
      <w:ind w:left="709" w:hanging="709"/>
      <w:jc w:val="center"/>
    </w:pPr>
    <w:rPr>
      <w:rFonts w:asciiTheme="minorHAnsi" w:eastAsia="Times New Roman" w:hAnsiTheme="minorHAnsi" w:cstheme="minorHAnsi"/>
      <w:b/>
      <w:bCs/>
      <w:color w:val="FFFFFF"/>
      <w:sz w:val="22"/>
    </w:rPr>
  </w:style>
  <w:style w:type="character" w:customStyle="1" w:styleId="Cabealho-TabelaChar">
    <w:name w:val="Cabeçalho - Tabela Char"/>
    <w:basedOn w:val="Fontepargpadro"/>
    <w:link w:val="Cabealho-Tabela"/>
    <w:rsid w:val="00DB639D"/>
    <w:rPr>
      <w:rFonts w:eastAsia="Times New Roman" w:cstheme="minorHAnsi"/>
      <w:b/>
      <w:bCs/>
      <w:color w:val="FFFFFF"/>
    </w:rPr>
  </w:style>
  <w:style w:type="paragraph" w:customStyle="1" w:styleId="Sumrio-Tabelas">
    <w:name w:val="Sumário - Tabelas"/>
    <w:basedOn w:val="ndicedeilustraes"/>
    <w:qFormat/>
    <w:rsid w:val="007D0AF2"/>
    <w:pPr>
      <w:tabs>
        <w:tab w:val="right" w:leader="dot" w:pos="9061"/>
      </w:tabs>
    </w:pPr>
    <w:rPr>
      <w:b/>
      <w:bCs/>
      <w:noProof/>
    </w:rPr>
  </w:style>
  <w:style w:type="paragraph" w:styleId="ndicedeilustraes">
    <w:name w:val="table of figures"/>
    <w:basedOn w:val="Normal"/>
    <w:next w:val="Normal"/>
    <w:uiPriority w:val="99"/>
    <w:semiHidden/>
    <w:unhideWhenUsed/>
    <w:rsid w:val="00C75E5A"/>
    <w:pPr>
      <w:ind w:firstLine="0"/>
    </w:pPr>
  </w:style>
  <w:style w:type="paragraph" w:customStyle="1" w:styleId="TtuloReferncias">
    <w:name w:val="Título Referências"/>
    <w:link w:val="TtuloRefernciasChar"/>
    <w:qFormat/>
    <w:rsid w:val="0044129C"/>
    <w:pPr>
      <w:spacing w:after="1200" w:line="240" w:lineRule="auto"/>
      <w:jc w:val="center"/>
    </w:pPr>
    <w:rPr>
      <w:rFonts w:ascii="Times New Roman" w:hAnsi="Times New Roman" w:cs="Times New Roman"/>
      <w:b/>
      <w:bCs/>
      <w:noProof/>
      <w:sz w:val="28"/>
    </w:rPr>
  </w:style>
  <w:style w:type="character" w:customStyle="1" w:styleId="TtuloRefernciasChar">
    <w:name w:val="Título Referências Char"/>
    <w:basedOn w:val="Fontepargpadro"/>
    <w:link w:val="TtuloReferncias"/>
    <w:rsid w:val="0044129C"/>
    <w:rPr>
      <w:rFonts w:ascii="Times New Roman" w:hAnsi="Times New Roman" w:cs="Times New Roman"/>
      <w:b/>
      <w:bCs/>
      <w:noProof/>
      <w:sz w:val="28"/>
    </w:rPr>
  </w:style>
  <w:style w:type="paragraph" w:customStyle="1" w:styleId="Legendas">
    <w:name w:val="Legendas"/>
    <w:basedOn w:val="Legenda"/>
    <w:qFormat/>
    <w:rsid w:val="00FB03B3"/>
  </w:style>
  <w:style w:type="paragraph" w:customStyle="1" w:styleId="Legenda3">
    <w:name w:val="Legenda3"/>
    <w:next w:val="Normal"/>
    <w:link w:val="CaptionChar0"/>
    <w:qFormat/>
    <w:rsid w:val="00FB03B3"/>
    <w:pPr>
      <w:spacing w:after="100" w:afterAutospacing="1" w:line="240" w:lineRule="auto"/>
      <w:jc w:val="both"/>
    </w:pPr>
    <w:rPr>
      <w:rFonts w:ascii="Times New Roman" w:hAnsi="Times New Roman"/>
      <w:noProof/>
      <w:sz w:val="18"/>
    </w:rPr>
  </w:style>
  <w:style w:type="character" w:customStyle="1" w:styleId="CaptionChar0">
    <w:name w:val="Caption Char"/>
    <w:basedOn w:val="Fontepargpadro"/>
    <w:link w:val="Legenda3"/>
    <w:rsid w:val="00FB03B3"/>
    <w:rPr>
      <w:rFonts w:ascii="Times New Roman" w:hAnsi="Times New Roman"/>
      <w:noProof/>
      <w:sz w:val="18"/>
    </w:rPr>
  </w:style>
  <w:style w:type="paragraph" w:customStyle="1" w:styleId="ListadeIlustraes-Ttulo">
    <w:name w:val="Lista de Ilustrações - Título"/>
    <w:basedOn w:val="Ttulo1"/>
    <w:next w:val="Normal"/>
    <w:link w:val="ListadeIlustraes-TtuloChar"/>
    <w:qFormat/>
    <w:rsid w:val="000A7369"/>
    <w:pPr>
      <w:keepNext/>
      <w:keepLines/>
      <w:numPr>
        <w:numId w:val="0"/>
      </w:numPr>
      <w:spacing w:after="960" w:afterAutospacing="0"/>
      <w:jc w:val="center"/>
    </w:pPr>
    <w:rPr>
      <w:rFonts w:eastAsiaTheme="majorEastAsia" w:cs="Times New Roman"/>
      <w:caps w:val="0"/>
      <w:spacing w:val="-10"/>
      <w:kern w:val="28"/>
      <w:sz w:val="36"/>
      <w:szCs w:val="36"/>
    </w:rPr>
  </w:style>
  <w:style w:type="character" w:customStyle="1" w:styleId="ListadeIlustraes-TtuloChar">
    <w:name w:val="Lista de Ilustrações - Título Char"/>
    <w:basedOn w:val="Fontepargpadro"/>
    <w:link w:val="ListadeIlustraes-Ttulo"/>
    <w:rsid w:val="000A7369"/>
    <w:rPr>
      <w:rFonts w:ascii="Times New Roman" w:eastAsiaTheme="majorEastAsia" w:hAnsi="Times New Roman" w:cs="Times New Roman"/>
      <w:b/>
      <w:bCs/>
      <w:spacing w:val="-10"/>
      <w:kern w:val="28"/>
      <w:sz w:val="36"/>
      <w:szCs w:val="36"/>
    </w:rPr>
  </w:style>
  <w:style w:type="paragraph" w:customStyle="1" w:styleId="Listasprtextual">
    <w:name w:val="Listas prétextual"/>
    <w:basedOn w:val="ndicedeilustraes"/>
    <w:link w:val="ListasprtextualChar"/>
    <w:qFormat/>
    <w:rsid w:val="00FB03B3"/>
    <w:pPr>
      <w:tabs>
        <w:tab w:val="right" w:leader="dot" w:pos="9061"/>
      </w:tabs>
    </w:pPr>
    <w:rPr>
      <w:rFonts w:eastAsiaTheme="minorHAnsi"/>
    </w:rPr>
  </w:style>
  <w:style w:type="character" w:customStyle="1" w:styleId="ListasprtextualChar">
    <w:name w:val="Listas prétextual Char"/>
    <w:basedOn w:val="Fontepargpadro"/>
    <w:link w:val="Listasprtextual"/>
    <w:rsid w:val="00FB03B3"/>
    <w:rPr>
      <w:rFonts w:ascii="Times New Roman" w:hAnsi="Times New Roman"/>
      <w:sz w:val="24"/>
    </w:rPr>
  </w:style>
  <w:style w:type="paragraph" w:customStyle="1" w:styleId="TtuloBibliografia">
    <w:name w:val="Título Bibliografia"/>
    <w:next w:val="RefernciaBibliogrfica"/>
    <w:link w:val="TtuloBibliografiaChar"/>
    <w:qFormat/>
    <w:rsid w:val="0044129C"/>
    <w:pPr>
      <w:spacing w:before="100" w:beforeAutospacing="1" w:after="840" w:line="360" w:lineRule="auto"/>
      <w:jc w:val="center"/>
      <w:outlineLvl w:val="0"/>
      <w15:collapsed/>
    </w:pPr>
    <w:rPr>
      <w:rFonts w:ascii="Times New Roman" w:hAnsi="Times New Roman"/>
      <w:b/>
      <w:sz w:val="36"/>
    </w:rPr>
  </w:style>
  <w:style w:type="character" w:customStyle="1" w:styleId="TtuloBibliografiaChar">
    <w:name w:val="Título Bibliografia Char"/>
    <w:basedOn w:val="Fontepargpadro"/>
    <w:link w:val="TtuloBibliografia"/>
    <w:rsid w:val="0044129C"/>
    <w:rPr>
      <w:rFonts w:ascii="Times New Roman" w:hAnsi="Times New Roman"/>
      <w:b/>
      <w:sz w:val="36"/>
    </w:rPr>
  </w:style>
  <w:style w:type="character" w:customStyle="1" w:styleId="Ttulo2Char">
    <w:name w:val="Título 2 Char"/>
    <w:aliases w:val="Seção Char"/>
    <w:basedOn w:val="Fontepargpadro"/>
    <w:link w:val="Ttulo2"/>
    <w:uiPriority w:val="9"/>
    <w:rsid w:val="00736274"/>
    <w:rPr>
      <w:rFonts w:ascii="Times New Roman" w:eastAsiaTheme="majorEastAsia" w:hAnsi="Times New Roman" w:cstheme="majorBidi"/>
      <w:b/>
      <w:spacing w:val="-10"/>
      <w:kern w:val="28"/>
      <w:sz w:val="24"/>
      <w:szCs w:val="24"/>
      <w:lang w:eastAsia="ja-JP"/>
    </w:rPr>
  </w:style>
  <w:style w:type="paragraph" w:customStyle="1" w:styleId="Lista1">
    <w:name w:val="Lista1"/>
    <w:link w:val="Lista1Char"/>
    <w:qFormat/>
    <w:rsid w:val="00CD1130"/>
    <w:pPr>
      <w:numPr>
        <w:numId w:val="3"/>
      </w:numPr>
      <w:ind w:left="1620"/>
      <w:contextualSpacing/>
      <w:jc w:val="both"/>
    </w:pPr>
    <w:rPr>
      <w:rFonts w:ascii="Times New Roman" w:eastAsia="Calibri" w:hAnsi="Times New Roman" w:cs="Times New Roman"/>
      <w:color w:val="000000"/>
      <w:sz w:val="20"/>
      <w:szCs w:val="20"/>
    </w:rPr>
  </w:style>
  <w:style w:type="character" w:customStyle="1" w:styleId="Lista1Char">
    <w:name w:val="Lista1 Char"/>
    <w:basedOn w:val="Fontepargpadro"/>
    <w:link w:val="Lista1"/>
    <w:rsid w:val="00CD1130"/>
    <w:rPr>
      <w:rFonts w:ascii="Times New Roman" w:eastAsia="Calibri" w:hAnsi="Times New Roman" w:cs="Times New Roman"/>
      <w:color w:val="000000"/>
      <w:sz w:val="20"/>
      <w:szCs w:val="20"/>
    </w:rPr>
  </w:style>
  <w:style w:type="paragraph" w:customStyle="1" w:styleId="CabealhoTabela">
    <w:name w:val="Cabeçalho Tabela"/>
    <w:link w:val="CabealhoTabelaChar"/>
    <w:qFormat/>
    <w:rsid w:val="00CD1130"/>
    <w:pPr>
      <w:spacing w:after="0" w:line="240" w:lineRule="auto"/>
      <w:jc w:val="center"/>
    </w:pPr>
    <w:rPr>
      <w:rFonts w:ascii="Times New Roman" w:eastAsia="Times New Roman" w:hAnsi="Times New Roman" w:cs="Times New Roman"/>
      <w:b/>
      <w:color w:val="000000"/>
      <w:lang w:eastAsia="pt-BR"/>
    </w:rPr>
  </w:style>
  <w:style w:type="character" w:customStyle="1" w:styleId="CabealhoTabelaChar">
    <w:name w:val="Cabeçalho Tabela Char"/>
    <w:basedOn w:val="Fontepargpadro"/>
    <w:link w:val="CabealhoTabela"/>
    <w:rsid w:val="00CD1130"/>
    <w:rPr>
      <w:rFonts w:ascii="Times New Roman" w:eastAsia="Times New Roman" w:hAnsi="Times New Roman" w:cs="Times New Roman"/>
      <w:b/>
      <w:color w:val="000000"/>
      <w:lang w:eastAsia="pt-BR"/>
    </w:rPr>
  </w:style>
  <w:style w:type="paragraph" w:customStyle="1" w:styleId="ListasPretextuais">
    <w:name w:val="Listas Pretextuais"/>
    <w:basedOn w:val="ListadeIlustraes-Ttulo"/>
    <w:next w:val="Normal"/>
    <w:link w:val="ListasPretextuaisChar"/>
    <w:qFormat/>
    <w:rsid w:val="00E22CD2"/>
  </w:style>
  <w:style w:type="character" w:customStyle="1" w:styleId="ListasPretextuaisChar">
    <w:name w:val="Listas Pretextuais Char"/>
    <w:basedOn w:val="ListadeIlustraes-TtuloChar"/>
    <w:link w:val="ListasPretextuais"/>
    <w:rsid w:val="00E22CD2"/>
    <w:rPr>
      <w:rFonts w:ascii="Times New Roman" w:eastAsiaTheme="majorEastAsia" w:hAnsi="Times New Roman" w:cs="Times New Roman"/>
      <w:b/>
      <w:bCs/>
      <w:spacing w:val="-10"/>
      <w:kern w:val="28"/>
      <w:sz w:val="36"/>
      <w:szCs w:val="36"/>
    </w:rPr>
  </w:style>
  <w:style w:type="paragraph" w:customStyle="1" w:styleId="ListaPos-textual">
    <w:name w:val="Lista Pos-textual"/>
    <w:next w:val="Normal"/>
    <w:link w:val="ListaPos-textualChar"/>
    <w:qFormat/>
    <w:rsid w:val="005A108B"/>
    <w:pPr>
      <w:spacing w:after="840" w:line="240" w:lineRule="auto"/>
      <w:jc w:val="center"/>
      <w:outlineLvl w:val="0"/>
    </w:pPr>
    <w:rPr>
      <w:rFonts w:ascii="Times New Roman" w:eastAsiaTheme="majorEastAsia" w:hAnsi="Times New Roman" w:cs="Times New Roman"/>
      <w:b/>
      <w:bCs/>
      <w:spacing w:val="-10"/>
      <w:kern w:val="28"/>
      <w:sz w:val="36"/>
      <w:szCs w:val="36"/>
      <w:lang w:eastAsia="ja-JP"/>
    </w:rPr>
  </w:style>
  <w:style w:type="character" w:customStyle="1" w:styleId="ListaPos-textualChar">
    <w:name w:val="Lista Pos-textual Char"/>
    <w:basedOn w:val="Fontepargpadro"/>
    <w:link w:val="ListaPos-textual"/>
    <w:rsid w:val="005A108B"/>
    <w:rPr>
      <w:rFonts w:ascii="Times New Roman" w:eastAsiaTheme="majorEastAsia" w:hAnsi="Times New Roman" w:cs="Times New Roman"/>
      <w:b/>
      <w:bCs/>
      <w:spacing w:val="-10"/>
      <w:kern w:val="28"/>
      <w:sz w:val="36"/>
      <w:szCs w:val="36"/>
      <w:lang w:eastAsia="ja-JP"/>
    </w:rPr>
  </w:style>
  <w:style w:type="paragraph" w:customStyle="1" w:styleId="Bib">
    <w:name w:val="Bib"/>
    <w:next w:val="Normal"/>
    <w:link w:val="BibChar"/>
    <w:qFormat/>
    <w:rsid w:val="005A108B"/>
    <w:pPr>
      <w:shd w:val="clear" w:color="auto" w:fill="FFFFFF"/>
      <w:spacing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BibChar">
    <w:name w:val="Bib Char"/>
    <w:basedOn w:val="Fontepargpadro"/>
    <w:link w:val="Bib"/>
    <w:rsid w:val="005A108B"/>
    <w:rPr>
      <w:rFonts w:ascii="Times New Roman" w:eastAsia="Times New Roman" w:hAnsi="Times New Roman" w:cs="Times New Roman"/>
      <w:sz w:val="24"/>
      <w:szCs w:val="24"/>
      <w:shd w:val="clear" w:color="auto" w:fill="FFFFFF"/>
      <w:lang w:eastAsia="pt-BR"/>
    </w:rPr>
  </w:style>
  <w:style w:type="character" w:customStyle="1" w:styleId="Ttulo3Char">
    <w:name w:val="Título 3 Char"/>
    <w:aliases w:val="Subseção Char"/>
    <w:basedOn w:val="Fontepargpadro"/>
    <w:link w:val="Ttulo3"/>
    <w:uiPriority w:val="9"/>
    <w:rsid w:val="00FA6CF2"/>
    <w:rPr>
      <w:rFonts w:ascii="Times New Roman" w:eastAsiaTheme="majorEastAsia" w:hAnsi="Times New Roman" w:cstheme="majorBidi"/>
      <w:b/>
      <w:sz w:val="24"/>
      <w:szCs w:val="24"/>
    </w:rPr>
  </w:style>
  <w:style w:type="paragraph" w:customStyle="1" w:styleId="RefernciaBibliogrfica">
    <w:name w:val="Referência Bibliográfica"/>
    <w:link w:val="RefernciaBibliogrficaChar"/>
    <w:qFormat/>
    <w:rsid w:val="0044129C"/>
    <w:pPr>
      <w:spacing w:before="100" w:beforeAutospacing="1" w:after="100" w:afterAutospacing="1" w:line="240" w:lineRule="auto"/>
      <w:jc w:val="both"/>
    </w:pPr>
    <w:rPr>
      <w:rFonts w:ascii="Times New Roman" w:hAnsi="Times New Roman" w:cs="Times New Roman"/>
      <w:b/>
      <w:bCs/>
      <w:noProof/>
      <w:sz w:val="24"/>
    </w:rPr>
  </w:style>
  <w:style w:type="character" w:customStyle="1" w:styleId="RefernciaBibliogrficaChar">
    <w:name w:val="Referência Bibliográfica Char"/>
    <w:basedOn w:val="Fontepargpadro"/>
    <w:link w:val="RefernciaBibliogrfica"/>
    <w:rsid w:val="0044129C"/>
    <w:rPr>
      <w:rFonts w:ascii="Times New Roman" w:hAnsi="Times New Roman" w:cs="Times New Roman"/>
      <w:b/>
      <w:bCs/>
      <w:noProof/>
      <w:sz w:val="24"/>
    </w:rPr>
  </w:style>
  <w:style w:type="paragraph" w:styleId="Sumrio1">
    <w:name w:val="toc 1"/>
    <w:basedOn w:val="Normal"/>
    <w:next w:val="Normal"/>
    <w:autoRedefine/>
    <w:uiPriority w:val="39"/>
    <w:unhideWhenUsed/>
    <w:rsid w:val="0044129C"/>
    <w:pPr>
      <w:tabs>
        <w:tab w:val="left" w:pos="1200"/>
        <w:tab w:val="right" w:leader="dot" w:pos="9061"/>
      </w:tabs>
      <w:spacing w:line="240" w:lineRule="auto"/>
      <w:ind w:left="425" w:hanging="425"/>
    </w:pPr>
    <w:rPr>
      <w:rFonts w:eastAsiaTheme="minorHAnsi" w:cstheme="majorHAnsi"/>
      <w:b/>
      <w:bCs/>
      <w:caps/>
      <w:szCs w:val="24"/>
    </w:rPr>
  </w:style>
  <w:style w:type="paragraph" w:styleId="Citao">
    <w:name w:val="Quote"/>
    <w:basedOn w:val="Normal"/>
    <w:next w:val="Normal"/>
    <w:link w:val="CitaoChar"/>
    <w:uiPriority w:val="29"/>
    <w:qFormat/>
    <w:rsid w:val="001D3DF2"/>
    <w:pPr>
      <w:spacing w:line="240" w:lineRule="auto"/>
      <w:ind w:left="2268" w:firstLine="0"/>
    </w:pPr>
    <w:rPr>
      <w:iCs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1D3DF2"/>
    <w:rPr>
      <w:rFonts w:ascii="Times New Roman" w:eastAsiaTheme="minorEastAsia" w:hAnsi="Times New Roman"/>
      <w:iCs/>
      <w:sz w:val="20"/>
    </w:rPr>
  </w:style>
  <w:style w:type="character" w:customStyle="1" w:styleId="Ttulo4Char">
    <w:name w:val="Título 4 Char"/>
    <w:basedOn w:val="Fontepargpadro"/>
    <w:link w:val="Ttulo4"/>
    <w:uiPriority w:val="9"/>
    <w:rsid w:val="00736274"/>
    <w:rPr>
      <w:rFonts w:ascii="Times New Roman" w:eastAsiaTheme="majorEastAsia" w:hAnsi="Times New Roman" w:cstheme="majorBidi"/>
      <w:b/>
      <w:sz w:val="24"/>
    </w:rPr>
  </w:style>
  <w:style w:type="paragraph" w:customStyle="1" w:styleId="NotadeRodap">
    <w:name w:val="Nota de Rodapé"/>
    <w:link w:val="NotadeRodapChar"/>
    <w:qFormat/>
    <w:rsid w:val="00736274"/>
    <w:pPr>
      <w:spacing w:after="0" w:line="240" w:lineRule="auto"/>
      <w:jc w:val="both"/>
    </w:pPr>
    <w:rPr>
      <w:rFonts w:ascii="Times New Roman" w:eastAsiaTheme="minorEastAsia" w:hAnsi="Times New Roman"/>
      <w:sz w:val="20"/>
      <w:szCs w:val="20"/>
    </w:rPr>
  </w:style>
  <w:style w:type="character" w:customStyle="1" w:styleId="NotadeRodapChar">
    <w:name w:val="Nota de Rodapé Char"/>
    <w:basedOn w:val="Fontepargpadro"/>
    <w:link w:val="NotadeRodap"/>
    <w:rsid w:val="00736274"/>
    <w:rPr>
      <w:rFonts w:ascii="Times New Roman" w:eastAsiaTheme="minorEastAsia" w:hAnsi="Times New Roman"/>
      <w:sz w:val="20"/>
      <w:szCs w:val="20"/>
    </w:rPr>
  </w:style>
  <w:style w:type="character" w:customStyle="1" w:styleId="Ttulo5Char">
    <w:name w:val="Título 5 Char"/>
    <w:aliases w:val="Subsubsubseção Char"/>
    <w:basedOn w:val="Fontepargpadro"/>
    <w:link w:val="Ttulo5"/>
    <w:uiPriority w:val="9"/>
    <w:rsid w:val="00736274"/>
    <w:rPr>
      <w:rFonts w:ascii="Times New Roman" w:eastAsiaTheme="majorEastAsia" w:hAnsi="Times New Roman" w:cstheme="majorBidi"/>
      <w:b/>
      <w:sz w:val="24"/>
    </w:rPr>
  </w:style>
  <w:style w:type="character" w:customStyle="1" w:styleId="Ttulo6Char">
    <w:name w:val="Título 6 Char"/>
    <w:basedOn w:val="Fontepargpadro"/>
    <w:link w:val="Ttulo6"/>
    <w:uiPriority w:val="9"/>
    <w:rsid w:val="00C75E5A"/>
    <w:rPr>
      <w:rFonts w:ascii="Times New Roman" w:eastAsiaTheme="majorEastAsia" w:hAnsi="Times New Roman" w:cstheme="majorBidi"/>
      <w:b/>
      <w:sz w:val="24"/>
    </w:rPr>
  </w:style>
  <w:style w:type="paragraph" w:customStyle="1" w:styleId="TtulodoTrabalho">
    <w:name w:val="Título do Trabalho"/>
    <w:next w:val="SemFormatao"/>
    <w:link w:val="TtulodoTrabalhoChar"/>
    <w:qFormat/>
    <w:rsid w:val="00C75E5A"/>
    <w:pPr>
      <w:spacing w:before="100" w:beforeAutospacing="1" w:after="100" w:afterAutospacing="1" w:line="360" w:lineRule="auto"/>
      <w:jc w:val="center"/>
    </w:pPr>
    <w:rPr>
      <w:rFonts w:ascii="Times New Roman" w:eastAsiaTheme="minorEastAsia" w:hAnsi="Times New Roman"/>
      <w:b/>
      <w:sz w:val="24"/>
    </w:rPr>
  </w:style>
  <w:style w:type="character" w:customStyle="1" w:styleId="TtulodoTrabalhoChar">
    <w:name w:val="Título do Trabalho Char"/>
    <w:basedOn w:val="Fontepargpadro"/>
    <w:link w:val="TtulodoTrabalho"/>
    <w:rsid w:val="00C75E5A"/>
    <w:rPr>
      <w:rFonts w:ascii="Times New Roman" w:eastAsiaTheme="minorEastAsia" w:hAnsi="Times New Roman"/>
      <w:b/>
      <w:sz w:val="24"/>
    </w:rPr>
  </w:style>
  <w:style w:type="paragraph" w:customStyle="1" w:styleId="SemFormatao">
    <w:name w:val="Sem Formatação"/>
    <w:link w:val="SemFormataoChar"/>
    <w:qFormat/>
    <w:rsid w:val="00C75E5A"/>
    <w:pPr>
      <w:spacing w:line="240" w:lineRule="auto"/>
      <w:jc w:val="center"/>
    </w:pPr>
    <w:rPr>
      <w:rFonts w:ascii="Times New Roman" w:eastAsiaTheme="minorEastAsia" w:hAnsi="Times New Roman"/>
      <w:b/>
      <w:sz w:val="24"/>
    </w:rPr>
  </w:style>
  <w:style w:type="character" w:customStyle="1" w:styleId="SemFormataoChar">
    <w:name w:val="Sem Formatação Char"/>
    <w:basedOn w:val="Fontepargpadro"/>
    <w:link w:val="SemFormatao"/>
    <w:rsid w:val="00C75E5A"/>
    <w:rPr>
      <w:rFonts w:ascii="Times New Roman" w:eastAsiaTheme="minorEastAsia" w:hAnsi="Times New Roman"/>
      <w:b/>
      <w:sz w:val="24"/>
    </w:rPr>
  </w:style>
  <w:style w:type="paragraph" w:styleId="SemEspaamento">
    <w:name w:val="No Spacing"/>
    <w:link w:val="SemEspaamentoChar"/>
    <w:uiPriority w:val="1"/>
    <w:qFormat/>
    <w:rsid w:val="00C75E5A"/>
    <w:pPr>
      <w:spacing w:after="0" w:line="240" w:lineRule="auto"/>
    </w:pPr>
    <w:rPr>
      <w:rFonts w:ascii="Times New Roman" w:eastAsiaTheme="minorEastAsia" w:hAnsi="Times New Roman"/>
      <w:sz w:val="24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75E5A"/>
    <w:rPr>
      <w:rFonts w:ascii="Times New Roman" w:eastAsiaTheme="minorEastAsia" w:hAnsi="Times New Roman"/>
      <w:sz w:val="24"/>
      <w:lang w:eastAsia="pt-BR"/>
    </w:rPr>
  </w:style>
  <w:style w:type="paragraph" w:customStyle="1" w:styleId="IntroduodoDocumento">
    <w:name w:val="Introdução do Documento"/>
    <w:next w:val="Normal"/>
    <w:qFormat/>
    <w:rsid w:val="00C75E5A"/>
    <w:pPr>
      <w:numPr>
        <w:numId w:val="21"/>
      </w:numPr>
      <w:spacing w:before="100" w:beforeAutospacing="1" w:after="100" w:afterAutospacing="1" w:line="360" w:lineRule="auto"/>
      <w:outlineLvl w:val="0"/>
    </w:pPr>
    <w:rPr>
      <w:rFonts w:ascii="Times New Roman" w:eastAsiaTheme="minorEastAsia" w:hAnsi="Times New Roman"/>
      <w:b/>
      <w:sz w:val="28"/>
    </w:rPr>
  </w:style>
  <w:style w:type="paragraph" w:customStyle="1" w:styleId="PartesdoTrabalho">
    <w:name w:val="Partes do Trabalho"/>
    <w:link w:val="PartesdoTrabalhoChar"/>
    <w:qFormat/>
    <w:rsid w:val="00C75E5A"/>
    <w:pPr>
      <w:spacing w:before="100" w:beforeAutospacing="1" w:after="100" w:afterAutospacing="1" w:line="360" w:lineRule="auto"/>
      <w:jc w:val="center"/>
      <w:outlineLvl w:val="0"/>
      <w15:collapsed/>
    </w:pPr>
    <w:rPr>
      <w:rFonts w:ascii="Times New Roman" w:eastAsiaTheme="minorEastAsia" w:hAnsi="Times New Roman"/>
      <w:b/>
      <w:sz w:val="28"/>
      <w:szCs w:val="24"/>
    </w:rPr>
  </w:style>
  <w:style w:type="character" w:customStyle="1" w:styleId="PartesdoTrabalhoChar">
    <w:name w:val="Partes do Trabalho Char"/>
    <w:basedOn w:val="Fontepargpadro"/>
    <w:link w:val="PartesdoTrabalho"/>
    <w:rsid w:val="00C75E5A"/>
    <w:rPr>
      <w:rFonts w:ascii="Times New Roman" w:eastAsiaTheme="minorEastAsia" w:hAnsi="Times New Roman"/>
      <w:b/>
      <w:sz w:val="28"/>
      <w:szCs w:val="24"/>
    </w:rPr>
  </w:style>
  <w:style w:type="paragraph" w:customStyle="1" w:styleId="Sumrio">
    <w:name w:val="Sumário"/>
    <w:basedOn w:val="CabealhodoSumrio"/>
    <w:link w:val="SumrioChar"/>
    <w:qFormat/>
    <w:rsid w:val="000A7369"/>
    <w:pPr>
      <w:spacing w:before="100" w:after="100" w:line="240" w:lineRule="auto"/>
      <w:ind w:left="0" w:firstLine="0"/>
      <w:outlineLvl w:val="0"/>
    </w:pPr>
    <w:rPr>
      <w:rFonts w:ascii="Arial" w:hAnsi="Arial" w:cs="Arial"/>
      <w:b/>
      <w:color w:val="auto"/>
      <w:sz w:val="24"/>
      <w:szCs w:val="24"/>
      <w:lang w:eastAsia="pt-BR"/>
    </w:rPr>
  </w:style>
  <w:style w:type="character" w:customStyle="1" w:styleId="SumrioChar">
    <w:name w:val="Sumário Char"/>
    <w:basedOn w:val="Fontepargpadro"/>
    <w:link w:val="Sumrio"/>
    <w:rsid w:val="000A7369"/>
    <w:rPr>
      <w:rFonts w:ascii="Arial" w:eastAsiaTheme="majorEastAsia" w:hAnsi="Arial" w:cs="Arial"/>
      <w:b/>
      <w:sz w:val="24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A7369"/>
    <w:pPr>
      <w:keepNext/>
      <w:keepLines/>
      <w:numPr>
        <w:numId w:val="0"/>
      </w:numPr>
      <w:spacing w:before="240" w:after="0"/>
      <w:ind w:left="709" w:hanging="709"/>
      <w:jc w:val="both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sz w:val="32"/>
      <w:szCs w:val="32"/>
    </w:rPr>
  </w:style>
  <w:style w:type="paragraph" w:customStyle="1" w:styleId="letrarodap">
    <w:name w:val="letra rodapé"/>
    <w:link w:val="letrarodapChar"/>
    <w:qFormat/>
    <w:rsid w:val="00D74F8E"/>
    <w:pPr>
      <w:spacing w:after="0" w:line="240" w:lineRule="auto"/>
    </w:pPr>
    <w:rPr>
      <w:noProof/>
      <w:sz w:val="18"/>
    </w:rPr>
  </w:style>
  <w:style w:type="character" w:customStyle="1" w:styleId="letrarodapChar">
    <w:name w:val="letra rodapé Char"/>
    <w:basedOn w:val="Fontepargpadro"/>
    <w:link w:val="letrarodap"/>
    <w:rsid w:val="00D74F8E"/>
    <w:rPr>
      <w:noProof/>
      <w:sz w:val="18"/>
    </w:rPr>
  </w:style>
  <w:style w:type="character" w:styleId="TextodoEspaoReservado">
    <w:name w:val="Placeholder Text"/>
    <w:basedOn w:val="Fontepargpadro"/>
    <w:uiPriority w:val="99"/>
    <w:semiHidden/>
    <w:rsid w:val="007F2072"/>
    <w:rPr>
      <w:color w:val="808080"/>
    </w:rPr>
  </w:style>
  <w:style w:type="paragraph" w:customStyle="1" w:styleId="CorpoTabela">
    <w:name w:val="Corpo Tabela"/>
    <w:basedOn w:val="Normal"/>
    <w:link w:val="CorpoTabelaChar"/>
    <w:qFormat/>
    <w:rsid w:val="00657451"/>
    <w:pPr>
      <w:spacing w:before="0" w:beforeAutospacing="0" w:after="0" w:afterAutospacing="0" w:line="240" w:lineRule="auto"/>
      <w:ind w:firstLine="0"/>
      <w:jc w:val="center"/>
    </w:pPr>
    <w:rPr>
      <w:rFonts w:asciiTheme="minorHAnsi" w:eastAsiaTheme="minorHAnsi" w:hAnsiTheme="minorHAnsi"/>
      <w:sz w:val="16"/>
      <w:szCs w:val="16"/>
    </w:rPr>
  </w:style>
  <w:style w:type="paragraph" w:customStyle="1" w:styleId="LinhasTabela">
    <w:name w:val="Linhas Tabela"/>
    <w:basedOn w:val="Normal"/>
    <w:link w:val="LinhasTabelaChar"/>
    <w:qFormat/>
    <w:rsid w:val="00657451"/>
    <w:pPr>
      <w:spacing w:before="0" w:beforeAutospacing="0" w:after="0" w:afterAutospacing="0" w:line="240" w:lineRule="auto"/>
      <w:ind w:firstLine="0"/>
      <w:jc w:val="left"/>
    </w:pPr>
    <w:rPr>
      <w:rFonts w:asciiTheme="minorHAnsi" w:eastAsia="Times New Roman" w:hAnsiTheme="minorHAnsi" w:cstheme="minorHAnsi"/>
      <w:b/>
      <w:bCs/>
      <w:color w:val="000000"/>
      <w:sz w:val="16"/>
      <w:szCs w:val="16"/>
      <w:lang w:eastAsia="pt-BR"/>
    </w:rPr>
  </w:style>
  <w:style w:type="character" w:customStyle="1" w:styleId="CorpoTabelaChar">
    <w:name w:val="Corpo Tabela Char"/>
    <w:basedOn w:val="Fontepargpadro"/>
    <w:link w:val="CorpoTabela"/>
    <w:rsid w:val="00657451"/>
    <w:rPr>
      <w:sz w:val="16"/>
      <w:szCs w:val="16"/>
    </w:rPr>
  </w:style>
  <w:style w:type="character" w:customStyle="1" w:styleId="LinhasTabelaChar">
    <w:name w:val="Linhas Tabela Char"/>
    <w:basedOn w:val="Fontepargpadro"/>
    <w:link w:val="LinhasTabela"/>
    <w:rsid w:val="00657451"/>
    <w:rPr>
      <w:rFonts w:eastAsia="Times New Roman" w:cstheme="minorHAnsi"/>
      <w:b/>
      <w:bCs/>
      <w:color w:val="000000"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8F72CF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F72CF"/>
    <w:rPr>
      <w:rFonts w:ascii="Times New Roman" w:eastAsiaTheme="minorEastAsia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8F72CF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F72CF"/>
    <w:rPr>
      <w:rFonts w:ascii="Times New Roman" w:eastAsiaTheme="minorEastAsia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548da2118d25344/Alysson/Unifor/Monitoria/TPE/boletim_NUPE/bib/feitos/2021/2-fevereiro_2021/Boletim_10_NUPE_fevereiro_2021_Gr&#225;ficos%20e%20Tabela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548da2118d25344/Alysson/Unifor/Monitoria/TPE/boletim_NUPE/bib/feitos/2021/2-fevereiro_2021/Boletim_10_NUPE_fevereiro_2021_Gr&#225;ficos%20e%20Tabela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'[Boletim_10_NUPE_fevereiro_2021_Gráficos e Tabelas.xlsx]Tabela 2 - IBC'!$I$12</c:f>
              <c:strCache>
                <c:ptCount val="1"/>
                <c:pt idx="0">
                  <c:v>Brasil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A437-424D-8E3D-41C80A9F3134}"/>
                </c:ext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A437-424D-8E3D-41C80A9F3134}"/>
                </c:ext>
              </c:extLst>
            </c:dLbl>
            <c:dLbl>
              <c:idx val="2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A437-424D-8E3D-41C80A9F3134}"/>
                </c:ext>
              </c:extLst>
            </c:dLbl>
            <c:dLbl>
              <c:idx val="3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A437-424D-8E3D-41C80A9F3134}"/>
                </c:ext>
              </c:extLst>
            </c:dLbl>
            <c:dLbl>
              <c:idx val="4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A437-424D-8E3D-41C80A9F3134}"/>
                </c:ext>
              </c:extLst>
            </c:dLbl>
            <c:dLbl>
              <c:idx val="5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A437-424D-8E3D-41C80A9F3134}"/>
                </c:ext>
              </c:extLst>
            </c:dLbl>
            <c:dLbl>
              <c:idx val="6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A437-424D-8E3D-41C80A9F3134}"/>
                </c:ext>
              </c:extLst>
            </c:dLbl>
            <c:dLbl>
              <c:idx val="7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A437-424D-8E3D-41C80A9F3134}"/>
                </c:ext>
              </c:extLst>
            </c:dLbl>
            <c:dLbl>
              <c:idx val="8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A437-424D-8E3D-41C80A9F3134}"/>
                </c:ext>
              </c:extLst>
            </c:dLbl>
            <c:dLbl>
              <c:idx val="9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A437-424D-8E3D-41C80A9F3134}"/>
                </c:ext>
              </c:extLst>
            </c:dLbl>
            <c:dLbl>
              <c:idx val="1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A-A437-424D-8E3D-41C80A9F3134}"/>
                </c:ext>
              </c:extLst>
            </c:dLbl>
            <c:dLbl>
              <c:idx val="1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A437-424D-8E3D-41C80A9F3134}"/>
                </c:ext>
              </c:extLst>
            </c:dLbl>
            <c:dLbl>
              <c:idx val="12"/>
              <c:layout>
                <c:manualLayout>
                  <c:x val="-1.1476132424130698E-16"/>
                  <c:y val="-7.6066275487692639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C-A437-424D-8E3D-41C80A9F3134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pt-B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'[Boletim_10_NUPE_fevereiro_2021_Gráficos e Tabelas.xlsx]Tabela 2 - IBC'!$A$24:$A$36</c:f>
              <c:numCache>
                <c:formatCode>mmm\-yy</c:formatCode>
                <c:ptCount val="13"/>
                <c:pt idx="0">
                  <c:v>43800</c:v>
                </c:pt>
                <c:pt idx="1">
                  <c:v>43831</c:v>
                </c:pt>
                <c:pt idx="2">
                  <c:v>43862</c:v>
                </c:pt>
                <c:pt idx="3">
                  <c:v>43891</c:v>
                </c:pt>
                <c:pt idx="4">
                  <c:v>43922</c:v>
                </c:pt>
                <c:pt idx="5">
                  <c:v>43952</c:v>
                </c:pt>
                <c:pt idx="6">
                  <c:v>43983</c:v>
                </c:pt>
                <c:pt idx="7">
                  <c:v>44013</c:v>
                </c:pt>
                <c:pt idx="8">
                  <c:v>44044</c:v>
                </c:pt>
                <c:pt idx="9">
                  <c:v>44075</c:v>
                </c:pt>
                <c:pt idx="10">
                  <c:v>44105</c:v>
                </c:pt>
                <c:pt idx="11">
                  <c:v>44136</c:v>
                </c:pt>
                <c:pt idx="12">
                  <c:v>44166</c:v>
                </c:pt>
              </c:numCache>
            </c:numRef>
          </c:cat>
          <c:val>
            <c:numRef>
              <c:f>'[Boletim_10_NUPE_fevereiro_2021_Gráficos e Tabelas.xlsx]Tabela 2 - IBC'!$I$24:$I$36</c:f>
              <c:numCache>
                <c:formatCode>0.00</c:formatCode>
                <c:ptCount val="13"/>
                <c:pt idx="0">
                  <c:v>0.74019787467938247</c:v>
                </c:pt>
                <c:pt idx="1">
                  <c:v>0.18726591760298561</c:v>
                </c:pt>
                <c:pt idx="2">
                  <c:v>0.70185918016874016</c:v>
                </c:pt>
                <c:pt idx="3">
                  <c:v>-1.5658669731360431</c:v>
                </c:pt>
                <c:pt idx="4">
                  <c:v>-14.606017191977083</c:v>
                </c:pt>
                <c:pt idx="5">
                  <c:v>-13.936132041621807</c:v>
                </c:pt>
                <c:pt idx="6">
                  <c:v>-6.4948529956305956</c:v>
                </c:pt>
                <c:pt idx="7">
                  <c:v>-4.969900601987975</c:v>
                </c:pt>
                <c:pt idx="8">
                  <c:v>-4.4617013766325435</c:v>
                </c:pt>
                <c:pt idx="9">
                  <c:v>-1.0636758321273532</c:v>
                </c:pt>
                <c:pt idx="10">
                  <c:v>-2.5455820476858348</c:v>
                </c:pt>
                <c:pt idx="11">
                  <c:v>-0.80761465243727182</c:v>
                </c:pt>
                <c:pt idx="12">
                  <c:v>1.338571220718765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D-A437-424D-8E3D-41C80A9F3134}"/>
            </c:ext>
          </c:extLst>
        </c:ser>
        <c:ser>
          <c:idx val="1"/>
          <c:order val="1"/>
          <c:tx>
            <c:strRef>
              <c:f>'[Boletim_10_NUPE_fevereiro_2021_Gráficos e Tabelas.xlsx]Tabela 2 - IBC'!$J$12</c:f>
              <c:strCache>
                <c:ptCount val="1"/>
                <c:pt idx="0">
                  <c:v>Nordeste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E-A437-424D-8E3D-41C80A9F3134}"/>
                </c:ext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F-A437-424D-8E3D-41C80A9F3134}"/>
                </c:ext>
              </c:extLst>
            </c:dLbl>
            <c:dLbl>
              <c:idx val="2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0-A437-424D-8E3D-41C80A9F3134}"/>
                </c:ext>
              </c:extLst>
            </c:dLbl>
            <c:dLbl>
              <c:idx val="3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1-A437-424D-8E3D-41C80A9F3134}"/>
                </c:ext>
              </c:extLst>
            </c:dLbl>
            <c:dLbl>
              <c:idx val="4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2-A437-424D-8E3D-41C80A9F3134}"/>
                </c:ext>
              </c:extLst>
            </c:dLbl>
            <c:dLbl>
              <c:idx val="5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3-A437-424D-8E3D-41C80A9F3134}"/>
                </c:ext>
              </c:extLst>
            </c:dLbl>
            <c:dLbl>
              <c:idx val="6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4-A437-424D-8E3D-41C80A9F3134}"/>
                </c:ext>
              </c:extLst>
            </c:dLbl>
            <c:dLbl>
              <c:idx val="7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5-A437-424D-8E3D-41C80A9F3134}"/>
                </c:ext>
              </c:extLst>
            </c:dLbl>
            <c:dLbl>
              <c:idx val="8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6-A437-424D-8E3D-41C80A9F3134}"/>
                </c:ext>
              </c:extLst>
            </c:dLbl>
            <c:dLbl>
              <c:idx val="9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7-A437-424D-8E3D-41C80A9F3134}"/>
                </c:ext>
              </c:extLst>
            </c:dLbl>
            <c:dLbl>
              <c:idx val="1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8-A437-424D-8E3D-41C80A9F3134}"/>
                </c:ext>
              </c:extLst>
            </c:dLbl>
            <c:dLbl>
              <c:idx val="1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9-A437-424D-8E3D-41C80A9F3134}"/>
                </c:ext>
              </c:extLst>
            </c:dLbl>
            <c:dLbl>
              <c:idx val="12"/>
              <c:layout>
                <c:manualLayout>
                  <c:x val="-3.1298904538341159E-3"/>
                  <c:y val="5.433305391978042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A-A437-424D-8E3D-41C80A9F3134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pt-B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'[Boletim_10_NUPE_fevereiro_2021_Gráficos e Tabelas.xlsx]Tabela 2 - IBC'!$A$24:$A$36</c:f>
              <c:numCache>
                <c:formatCode>mmm\-yy</c:formatCode>
                <c:ptCount val="13"/>
                <c:pt idx="0">
                  <c:v>43800</c:v>
                </c:pt>
                <c:pt idx="1">
                  <c:v>43831</c:v>
                </c:pt>
                <c:pt idx="2">
                  <c:v>43862</c:v>
                </c:pt>
                <c:pt idx="3">
                  <c:v>43891</c:v>
                </c:pt>
                <c:pt idx="4">
                  <c:v>43922</c:v>
                </c:pt>
                <c:pt idx="5">
                  <c:v>43952</c:v>
                </c:pt>
                <c:pt idx="6">
                  <c:v>43983</c:v>
                </c:pt>
                <c:pt idx="7">
                  <c:v>44013</c:v>
                </c:pt>
                <c:pt idx="8">
                  <c:v>44044</c:v>
                </c:pt>
                <c:pt idx="9">
                  <c:v>44075</c:v>
                </c:pt>
                <c:pt idx="10">
                  <c:v>44105</c:v>
                </c:pt>
                <c:pt idx="11">
                  <c:v>44136</c:v>
                </c:pt>
                <c:pt idx="12">
                  <c:v>44166</c:v>
                </c:pt>
              </c:numCache>
            </c:numRef>
          </c:cat>
          <c:val>
            <c:numRef>
              <c:f>'[Boletim_10_NUPE_fevereiro_2021_Gráficos e Tabelas.xlsx]Tabela 2 - IBC'!$J$24:$J$36</c:f>
              <c:numCache>
                <c:formatCode>0.00</c:formatCode>
                <c:ptCount val="13"/>
                <c:pt idx="0">
                  <c:v>1.5010423905489789</c:v>
                </c:pt>
                <c:pt idx="1">
                  <c:v>1.4316860465116266</c:v>
                </c:pt>
                <c:pt idx="2">
                  <c:v>1.4576602299195995</c:v>
                </c:pt>
                <c:pt idx="3">
                  <c:v>-0.86786114221725219</c:v>
                </c:pt>
                <c:pt idx="4">
                  <c:v>-8.0060923117674321</c:v>
                </c:pt>
                <c:pt idx="5">
                  <c:v>-8.7990989722652397</c:v>
                </c:pt>
                <c:pt idx="6">
                  <c:v>-4.7159622723018106</c:v>
                </c:pt>
                <c:pt idx="7">
                  <c:v>-3.8313385610125095</c:v>
                </c:pt>
                <c:pt idx="8">
                  <c:v>-2.1119842829076751</c:v>
                </c:pt>
                <c:pt idx="9">
                  <c:v>-0.10633772862611579</c:v>
                </c:pt>
                <c:pt idx="10">
                  <c:v>-1.2152895648041229</c:v>
                </c:pt>
                <c:pt idx="11">
                  <c:v>0.53561491374514159</c:v>
                </c:pt>
                <c:pt idx="12">
                  <c:v>1.0475147199780821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B-A437-424D-8E3D-41C80A9F3134}"/>
            </c:ext>
          </c:extLst>
        </c:ser>
        <c:ser>
          <c:idx val="2"/>
          <c:order val="2"/>
          <c:tx>
            <c:strRef>
              <c:f>'[Boletim_10_NUPE_fevereiro_2021_Gráficos e Tabelas.xlsx]Tabela 2 - IBC'!$K$12</c:f>
              <c:strCache>
                <c:ptCount val="1"/>
                <c:pt idx="0">
                  <c:v>Ceará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Lbl>
              <c:idx val="12"/>
              <c:layout>
                <c:manualLayout>
                  <c:x val="1.5649452269170579E-3"/>
                  <c:y val="-3.2599832351868259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C-A437-424D-8E3D-41C80A9F3134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pt-BR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'[Boletim_10_NUPE_fevereiro_2021_Gráficos e Tabelas.xlsx]Tabela 2 - IBC'!$A$24:$A$36</c:f>
              <c:numCache>
                <c:formatCode>mmm\-yy</c:formatCode>
                <c:ptCount val="13"/>
                <c:pt idx="0">
                  <c:v>43800</c:v>
                </c:pt>
                <c:pt idx="1">
                  <c:v>43831</c:v>
                </c:pt>
                <c:pt idx="2">
                  <c:v>43862</c:v>
                </c:pt>
                <c:pt idx="3">
                  <c:v>43891</c:v>
                </c:pt>
                <c:pt idx="4">
                  <c:v>43922</c:v>
                </c:pt>
                <c:pt idx="5">
                  <c:v>43952</c:v>
                </c:pt>
                <c:pt idx="6">
                  <c:v>43983</c:v>
                </c:pt>
                <c:pt idx="7">
                  <c:v>44013</c:v>
                </c:pt>
                <c:pt idx="8">
                  <c:v>44044</c:v>
                </c:pt>
                <c:pt idx="9">
                  <c:v>44075</c:v>
                </c:pt>
                <c:pt idx="10">
                  <c:v>44105</c:v>
                </c:pt>
                <c:pt idx="11">
                  <c:v>44136</c:v>
                </c:pt>
                <c:pt idx="12">
                  <c:v>44166</c:v>
                </c:pt>
              </c:numCache>
            </c:numRef>
          </c:cat>
          <c:val>
            <c:numRef>
              <c:f>'[Boletim_10_NUPE_fevereiro_2021_Gráficos e Tabelas.xlsx]Tabela 2 - IBC'!$K$24:$K$36</c:f>
              <c:numCache>
                <c:formatCode>0.00</c:formatCode>
                <c:ptCount val="13"/>
                <c:pt idx="0">
                  <c:v>3.2484240319053059</c:v>
                </c:pt>
                <c:pt idx="1">
                  <c:v>2.6163371280207626</c:v>
                </c:pt>
                <c:pt idx="2">
                  <c:v>1.0502625656414022</c:v>
                </c:pt>
                <c:pt idx="3">
                  <c:v>-2.2647376960519217</c:v>
                </c:pt>
                <c:pt idx="4">
                  <c:v>-12.652377762893508</c:v>
                </c:pt>
                <c:pt idx="5">
                  <c:v>-12.910888546481758</c:v>
                </c:pt>
                <c:pt idx="6">
                  <c:v>-5.1991367471061363</c:v>
                </c:pt>
                <c:pt idx="7">
                  <c:v>-3.0214602711410965</c:v>
                </c:pt>
                <c:pt idx="8">
                  <c:v>-1.7757912539260623</c:v>
                </c:pt>
                <c:pt idx="9">
                  <c:v>-0.26448517652848391</c:v>
                </c:pt>
                <c:pt idx="10">
                  <c:v>-1.0449320794148287</c:v>
                </c:pt>
                <c:pt idx="11">
                  <c:v>0.28360748723768037</c:v>
                </c:pt>
                <c:pt idx="12">
                  <c:v>1.2584885676904856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D-A437-424D-8E3D-41C80A9F31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62307327"/>
        <c:axId val="1054965743"/>
      </c:lineChart>
      <c:dateAx>
        <c:axId val="1162307327"/>
        <c:scaling>
          <c:orientation val="minMax"/>
        </c:scaling>
        <c:delete val="0"/>
        <c:axPos val="b"/>
        <c:numFmt formatCode="mmm\-yy" sourceLinked="1"/>
        <c:majorTickMark val="none"/>
        <c:minorTickMark val="none"/>
        <c:tickLblPos val="none"/>
        <c:spPr>
          <a:noFill/>
          <a:ln w="9525" cap="flat" cmpd="sng" algn="ctr">
            <a:solidFill>
              <a:sysClr val="windowText" lastClr="000000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BR"/>
          </a:p>
        </c:txPr>
        <c:crossAx val="1054965743"/>
        <c:crosses val="autoZero"/>
        <c:auto val="1"/>
        <c:lblOffset val="100"/>
        <c:baseTimeUnit val="months"/>
      </c:dateAx>
      <c:valAx>
        <c:axId val="1054965743"/>
        <c:scaling>
          <c:orientation val="minMax"/>
        </c:scaling>
        <c:delete val="0"/>
        <c:axPos val="l"/>
        <c:numFmt formatCode="0.00" sourceLinked="1"/>
        <c:majorTickMark val="none"/>
        <c:minorTickMark val="none"/>
        <c:tickLblPos val="nextTo"/>
        <c:spPr>
          <a:noFill/>
          <a:ln>
            <a:solidFill>
              <a:sysClr val="windowText" lastClr="000000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BR"/>
          </a:p>
        </c:txPr>
        <c:crossAx val="1162307327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BR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>
          <a:solidFill>
            <a:sysClr val="windowText" lastClr="000000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'[Boletim_10_NUPE_fevereiro_2021_Gráficos e Tabelas.xlsx]Gráfico 2 - IAC'!$B$1</c:f>
              <c:strCache>
                <c:ptCount val="1"/>
                <c:pt idx="0">
                  <c:v>IAC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75000"/>
                </a:schemeClr>
              </a:solidFill>
              <a:ln w="9525">
                <a:solidFill>
                  <a:schemeClr val="accent5">
                    <a:lumMod val="75000"/>
                  </a:schemeClr>
                </a:solidFill>
              </a:ln>
              <a:effectLst/>
            </c:spPr>
          </c:marker>
          <c:dLbls>
            <c:dLbl>
              <c:idx val="35"/>
              <c:layout>
                <c:manualLayout>
                  <c:x val="-4.6976776272363213E-2"/>
                  <c:y val="-1.1083024691358096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D8AA-4D10-835C-07EE91798733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pt-BR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'[Boletim_10_NUPE_fevereiro_2021_Gráficos e Tabelas.xlsx]Gráfico 2 - IAC'!$A$3:$A$38</c:f>
              <c:numCache>
                <c:formatCode>m/d/yyyy</c:formatCode>
                <c:ptCount val="36"/>
                <c:pt idx="0">
                  <c:v>44200</c:v>
                </c:pt>
                <c:pt idx="1">
                  <c:v>44201</c:v>
                </c:pt>
                <c:pt idx="2">
                  <c:v>44202</c:v>
                </c:pt>
                <c:pt idx="3">
                  <c:v>44203</c:v>
                </c:pt>
                <c:pt idx="4">
                  <c:v>44204</c:v>
                </c:pt>
                <c:pt idx="5">
                  <c:v>44207</c:v>
                </c:pt>
                <c:pt idx="6">
                  <c:v>44208</c:v>
                </c:pt>
                <c:pt idx="7">
                  <c:v>44209</c:v>
                </c:pt>
                <c:pt idx="8">
                  <c:v>44210</c:v>
                </c:pt>
                <c:pt idx="9">
                  <c:v>44211</c:v>
                </c:pt>
                <c:pt idx="10">
                  <c:v>44214</c:v>
                </c:pt>
                <c:pt idx="11">
                  <c:v>44215</c:v>
                </c:pt>
                <c:pt idx="12">
                  <c:v>44216</c:v>
                </c:pt>
                <c:pt idx="13">
                  <c:v>44217</c:v>
                </c:pt>
                <c:pt idx="14">
                  <c:v>44218</c:v>
                </c:pt>
                <c:pt idx="15">
                  <c:v>44222</c:v>
                </c:pt>
                <c:pt idx="16">
                  <c:v>44223</c:v>
                </c:pt>
                <c:pt idx="17">
                  <c:v>44224</c:v>
                </c:pt>
                <c:pt idx="18">
                  <c:v>44225</c:v>
                </c:pt>
                <c:pt idx="19">
                  <c:v>44228</c:v>
                </c:pt>
                <c:pt idx="20">
                  <c:v>44229</c:v>
                </c:pt>
                <c:pt idx="21">
                  <c:v>44230</c:v>
                </c:pt>
                <c:pt idx="22">
                  <c:v>44231</c:v>
                </c:pt>
                <c:pt idx="23">
                  <c:v>44232</c:v>
                </c:pt>
                <c:pt idx="24">
                  <c:v>44235</c:v>
                </c:pt>
                <c:pt idx="25">
                  <c:v>44236</c:v>
                </c:pt>
                <c:pt idx="26">
                  <c:v>44237</c:v>
                </c:pt>
                <c:pt idx="27">
                  <c:v>44238</c:v>
                </c:pt>
                <c:pt idx="28">
                  <c:v>44239</c:v>
                </c:pt>
                <c:pt idx="29">
                  <c:v>44245</c:v>
                </c:pt>
                <c:pt idx="30">
                  <c:v>44246</c:v>
                </c:pt>
                <c:pt idx="31">
                  <c:v>44249</c:v>
                </c:pt>
                <c:pt idx="32">
                  <c:v>44250</c:v>
                </c:pt>
                <c:pt idx="33">
                  <c:v>44251</c:v>
                </c:pt>
                <c:pt idx="34">
                  <c:v>44252</c:v>
                </c:pt>
                <c:pt idx="35">
                  <c:v>44253</c:v>
                </c:pt>
              </c:numCache>
            </c:numRef>
          </c:cat>
          <c:val>
            <c:numRef>
              <c:f>'[Boletim_10_NUPE_fevereiro_2021_Gráficos e Tabelas.xlsx]Gráfico 2 - IAC'!$D$3:$D$38</c:f>
              <c:numCache>
                <c:formatCode>0.00%;[Red]\-0.00%</c:formatCode>
                <c:ptCount val="36"/>
                <c:pt idx="0">
                  <c:v>-1.3627680259156394E-2</c:v>
                </c:pt>
                <c:pt idx="1">
                  <c:v>-1.5935922667102864E-2</c:v>
                </c:pt>
                <c:pt idx="2">
                  <c:v>-3.9230070517698445E-2</c:v>
                </c:pt>
                <c:pt idx="3">
                  <c:v>-2.037769597340533E-2</c:v>
                </c:pt>
                <c:pt idx="4">
                  <c:v>6.120759543375498E-2</c:v>
                </c:pt>
                <c:pt idx="5">
                  <c:v>0.11359763882822715</c:v>
                </c:pt>
                <c:pt idx="6">
                  <c:v>9.1062548331637849E-2</c:v>
                </c:pt>
                <c:pt idx="7">
                  <c:v>6.8409877433355026E-2</c:v>
                </c:pt>
                <c:pt idx="8">
                  <c:v>8.3925220269413403E-2</c:v>
                </c:pt>
                <c:pt idx="9">
                  <c:v>8.9664703743212559E-2</c:v>
                </c:pt>
                <c:pt idx="10">
                  <c:v>0.10645002331841735</c:v>
                </c:pt>
                <c:pt idx="11">
                  <c:v>9.2465270276056E-2</c:v>
                </c:pt>
                <c:pt idx="12">
                  <c:v>9.9269217359915896E-2</c:v>
                </c:pt>
                <c:pt idx="13">
                  <c:v>9.1393989575144774E-2</c:v>
                </c:pt>
                <c:pt idx="14">
                  <c:v>7.2705859086691804E-2</c:v>
                </c:pt>
                <c:pt idx="15">
                  <c:v>8.0004772495856358E-2</c:v>
                </c:pt>
                <c:pt idx="16">
                  <c:v>4.9723371955364692E-2</c:v>
                </c:pt>
                <c:pt idx="17">
                  <c:v>6.7346094255211986E-2</c:v>
                </c:pt>
                <c:pt idx="18">
                  <c:v>2.8172138114782586E-2</c:v>
                </c:pt>
                <c:pt idx="19">
                  <c:v>5.7466492075268993E-2</c:v>
                </c:pt>
                <c:pt idx="20">
                  <c:v>6.9660922700619299E-2</c:v>
                </c:pt>
                <c:pt idx="21">
                  <c:v>6.878250219384241E-2</c:v>
                </c:pt>
                <c:pt idx="22">
                  <c:v>9.9349071221682683E-2</c:v>
                </c:pt>
                <c:pt idx="23">
                  <c:v>0.11187477828472825</c:v>
                </c:pt>
                <c:pt idx="24">
                  <c:v>9.3534901133783155E-2</c:v>
                </c:pt>
                <c:pt idx="25">
                  <c:v>9.5272073536347923E-2</c:v>
                </c:pt>
                <c:pt idx="26">
                  <c:v>6.81914564492061E-2</c:v>
                </c:pt>
                <c:pt idx="27">
                  <c:v>7.7051961921982492E-2</c:v>
                </c:pt>
                <c:pt idx="28">
                  <c:v>6.2131810485558825E-2</c:v>
                </c:pt>
                <c:pt idx="29">
                  <c:v>3.6419210237398802E-2</c:v>
                </c:pt>
                <c:pt idx="30">
                  <c:v>4.0061978381991548E-2</c:v>
                </c:pt>
                <c:pt idx="31">
                  <c:v>2.9698050041661928E-2</c:v>
                </c:pt>
                <c:pt idx="32">
                  <c:v>2.207327654717961E-2</c:v>
                </c:pt>
                <c:pt idx="33">
                  <c:v>1.9425086898207544E-2</c:v>
                </c:pt>
                <c:pt idx="34">
                  <c:v>1.1563927157632659E-2</c:v>
                </c:pt>
                <c:pt idx="35">
                  <c:v>-1.6122862716022146E-2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8AA-4D10-835C-07EE91798733}"/>
            </c:ext>
          </c:extLst>
        </c:ser>
        <c:ser>
          <c:idx val="1"/>
          <c:order val="1"/>
          <c:tx>
            <c:strRef>
              <c:f>'[Boletim_10_NUPE_fevereiro_2021_Gráficos e Tabelas.xlsx]Gráfico 2 - IAC'!$C$1</c:f>
              <c:strCache>
                <c:ptCount val="1"/>
                <c:pt idx="0">
                  <c:v>Ibovespa</c:v>
                </c:pt>
              </c:strCache>
            </c:strRef>
          </c:tx>
          <c:spPr>
            <a:ln w="28575" cap="rnd">
              <a:solidFill>
                <a:srgbClr val="92D05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92D050"/>
              </a:solidFill>
              <a:ln w="9525">
                <a:solidFill>
                  <a:srgbClr val="92D050"/>
                </a:solidFill>
              </a:ln>
              <a:effectLst/>
            </c:spPr>
          </c:marker>
          <c:dLbls>
            <c:dLbl>
              <c:idx val="35"/>
              <c:dLblPos val="b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D8AA-4D10-835C-07EE91798733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pt-BR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'[Boletim_10_NUPE_fevereiro_2021_Gráficos e Tabelas.xlsx]Gráfico 2 - IAC'!$A$3:$A$38</c:f>
              <c:numCache>
                <c:formatCode>m/d/yyyy</c:formatCode>
                <c:ptCount val="36"/>
                <c:pt idx="0">
                  <c:v>44200</c:v>
                </c:pt>
                <c:pt idx="1">
                  <c:v>44201</c:v>
                </c:pt>
                <c:pt idx="2">
                  <c:v>44202</c:v>
                </c:pt>
                <c:pt idx="3">
                  <c:v>44203</c:v>
                </c:pt>
                <c:pt idx="4">
                  <c:v>44204</c:v>
                </c:pt>
                <c:pt idx="5">
                  <c:v>44207</c:v>
                </c:pt>
                <c:pt idx="6">
                  <c:v>44208</c:v>
                </c:pt>
                <c:pt idx="7">
                  <c:v>44209</c:v>
                </c:pt>
                <c:pt idx="8">
                  <c:v>44210</c:v>
                </c:pt>
                <c:pt idx="9">
                  <c:v>44211</c:v>
                </c:pt>
                <c:pt idx="10">
                  <c:v>44214</c:v>
                </c:pt>
                <c:pt idx="11">
                  <c:v>44215</c:v>
                </c:pt>
                <c:pt idx="12">
                  <c:v>44216</c:v>
                </c:pt>
                <c:pt idx="13">
                  <c:v>44217</c:v>
                </c:pt>
                <c:pt idx="14">
                  <c:v>44218</c:v>
                </c:pt>
                <c:pt idx="15">
                  <c:v>44222</c:v>
                </c:pt>
                <c:pt idx="16">
                  <c:v>44223</c:v>
                </c:pt>
                <c:pt idx="17">
                  <c:v>44224</c:v>
                </c:pt>
                <c:pt idx="18">
                  <c:v>44225</c:v>
                </c:pt>
                <c:pt idx="19">
                  <c:v>44228</c:v>
                </c:pt>
                <c:pt idx="20">
                  <c:v>44229</c:v>
                </c:pt>
                <c:pt idx="21">
                  <c:v>44230</c:v>
                </c:pt>
                <c:pt idx="22">
                  <c:v>44231</c:v>
                </c:pt>
                <c:pt idx="23">
                  <c:v>44232</c:v>
                </c:pt>
                <c:pt idx="24">
                  <c:v>44235</c:v>
                </c:pt>
                <c:pt idx="25">
                  <c:v>44236</c:v>
                </c:pt>
                <c:pt idx="26">
                  <c:v>44237</c:v>
                </c:pt>
                <c:pt idx="27">
                  <c:v>44238</c:v>
                </c:pt>
                <c:pt idx="28">
                  <c:v>44239</c:v>
                </c:pt>
                <c:pt idx="29">
                  <c:v>44245</c:v>
                </c:pt>
                <c:pt idx="30">
                  <c:v>44246</c:v>
                </c:pt>
                <c:pt idx="31">
                  <c:v>44249</c:v>
                </c:pt>
                <c:pt idx="32">
                  <c:v>44250</c:v>
                </c:pt>
                <c:pt idx="33">
                  <c:v>44251</c:v>
                </c:pt>
                <c:pt idx="34">
                  <c:v>44252</c:v>
                </c:pt>
                <c:pt idx="35">
                  <c:v>44253</c:v>
                </c:pt>
              </c:numCache>
            </c:numRef>
          </c:cat>
          <c:val>
            <c:numRef>
              <c:f>'[Boletim_10_NUPE_fevereiro_2021_Gráficos e Tabelas.xlsx]Gráfico 2 - IAC'!$E$3:$E$38</c:f>
              <c:numCache>
                <c:formatCode>0.00%;[Red]\-0.00%</c:formatCode>
                <c:ptCount val="36"/>
                <c:pt idx="0">
                  <c:v>-1.3656004793926035E-3</c:v>
                </c:pt>
                <c:pt idx="1">
                  <c:v>3.0161176649701193E-3</c:v>
                </c:pt>
                <c:pt idx="2">
                  <c:v>6.9603361664238861E-4</c:v>
                </c:pt>
                <c:pt idx="3">
                  <c:v>2.8304134762325184E-2</c:v>
                </c:pt>
                <c:pt idx="4">
                  <c:v>5.0911867894096741E-2</c:v>
                </c:pt>
                <c:pt idx="5">
                  <c:v>3.5607362429174172E-2</c:v>
                </c:pt>
                <c:pt idx="6">
                  <c:v>4.1849063211346405E-2</c:v>
                </c:pt>
                <c:pt idx="7">
                  <c:v>2.4499307831369554E-2</c:v>
                </c:pt>
                <c:pt idx="8">
                  <c:v>3.7501121686236427E-2</c:v>
                </c:pt>
                <c:pt idx="9">
                  <c:v>1.1187958988126523E-2</c:v>
                </c:pt>
                <c:pt idx="10">
                  <c:v>1.8689645298445967E-2</c:v>
                </c:pt>
                <c:pt idx="11">
                  <c:v>1.3604331607756981E-2</c:v>
                </c:pt>
                <c:pt idx="12">
                  <c:v>5.2862929773871414E-3</c:v>
                </c:pt>
                <c:pt idx="13">
                  <c:v>-5.7827756718270562E-3</c:v>
                </c:pt>
                <c:pt idx="14">
                  <c:v>-1.3752209343789068E-2</c:v>
                </c:pt>
                <c:pt idx="15">
                  <c:v>-2.1452186254697136E-2</c:v>
                </c:pt>
                <c:pt idx="16">
                  <c:v>-2.6340217602088489E-2</c:v>
                </c:pt>
                <c:pt idx="17">
                  <c:v>-1.1258032869859713E-3</c:v>
                </c:pt>
                <c:pt idx="18">
                  <c:v>-3.3185864501646845E-2</c:v>
                </c:pt>
                <c:pt idx="19">
                  <c:v>-1.260044343155664E-2</c:v>
                </c:pt>
                <c:pt idx="20">
                  <c:v>-6.5824917465739929E-3</c:v>
                </c:pt>
                <c:pt idx="21">
                  <c:v>5.9443489027304341E-3</c:v>
                </c:pt>
                <c:pt idx="22">
                  <c:v>2.0465942581091578E-3</c:v>
                </c:pt>
                <c:pt idx="23">
                  <c:v>1.0275990268300728E-2</c:v>
                </c:pt>
                <c:pt idx="24">
                  <c:v>5.7060640962605103E-3</c:v>
                </c:pt>
                <c:pt idx="25">
                  <c:v>3.8177662328582329E-3</c:v>
                </c:pt>
                <c:pt idx="26">
                  <c:v>-4.8892916690052024E-3</c:v>
                </c:pt>
                <c:pt idx="27">
                  <c:v>2.3743618991669546E-3</c:v>
                </c:pt>
                <c:pt idx="28">
                  <c:v>3.4573142512799304E-3</c:v>
                </c:pt>
                <c:pt idx="29">
                  <c:v>1.5269216459732338E-3</c:v>
                </c:pt>
                <c:pt idx="30">
                  <c:v>-4.9296219606503877E-3</c:v>
                </c:pt>
                <c:pt idx="31">
                  <c:v>-5.3349750002604668E-2</c:v>
                </c:pt>
                <c:pt idx="32">
                  <c:v>-3.1842277639777206E-2</c:v>
                </c:pt>
                <c:pt idx="33">
                  <c:v>-2.8142645552862833E-2</c:v>
                </c:pt>
                <c:pt idx="34">
                  <c:v>-5.6805887953711665E-2</c:v>
                </c:pt>
                <c:pt idx="35">
                  <c:v>-7.5468646391060656E-2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8AA-4D10-835C-07EE917987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4017936"/>
        <c:axId val="514018352"/>
      </c:lineChart>
      <c:dateAx>
        <c:axId val="5140179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[$-416]mmmm\-yy;@" sourceLinked="0"/>
        <c:majorTickMark val="none"/>
        <c:minorTickMark val="none"/>
        <c:tickLblPos val="low"/>
        <c:spPr>
          <a:noFill/>
          <a:ln w="9525" cap="flat" cmpd="sng" algn="ctr">
            <a:solidFill>
              <a:sysClr val="windowText" lastClr="000000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BR"/>
          </a:p>
        </c:txPr>
        <c:crossAx val="514018352"/>
        <c:crosses val="autoZero"/>
        <c:auto val="0"/>
        <c:lblOffset val="100"/>
        <c:baseTimeUnit val="days"/>
        <c:majorUnit val="28"/>
        <c:majorTimeUnit val="days"/>
      </c:dateAx>
      <c:valAx>
        <c:axId val="514018352"/>
        <c:scaling>
          <c:orientation val="minMax"/>
        </c:scaling>
        <c:delete val="0"/>
        <c:axPos val="l"/>
        <c:numFmt formatCode="0.00%;[Red]\-0.00%" sourceLinked="1"/>
        <c:majorTickMark val="none"/>
        <c:minorTickMark val="none"/>
        <c:tickLblPos val="nextTo"/>
        <c:spPr>
          <a:noFill/>
          <a:ln>
            <a:solidFill>
              <a:sysClr val="windowText" lastClr="000000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BR"/>
          </a:p>
        </c:txPr>
        <c:crossAx val="5140179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ysClr val="windowText" lastClr="000000"/>
      </a:solidFill>
      <a:round/>
    </a:ln>
    <a:effectLst/>
  </c:spPr>
  <c:txPr>
    <a:bodyPr/>
    <a:lstStyle/>
    <a:p>
      <a:pPr>
        <a:defRPr sz="900">
          <a:solidFill>
            <a:sysClr val="windowText" lastClr="000000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NBR6023.XSL" StyleName="ABNT NBR 6023:2002*" Version="10"/>
</file>

<file path=customXml/itemProps1.xml><?xml version="1.0" encoding="utf-8"?>
<ds:datastoreItem xmlns:ds="http://schemas.openxmlformats.org/officeDocument/2006/customXml" ds:itemID="{0105BA34-F9EA-4899-A98F-C4C77CA3F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1417</TotalTime>
  <Pages>11</Pages>
  <Words>3723</Words>
  <Characters>20105</Characters>
  <Application>Microsoft Office Word</Application>
  <DocSecurity>0</DocSecurity>
  <Lines>167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Alysson Oliveira</dc:creator>
  <cp:keywords/>
  <dc:description/>
  <cp:lastModifiedBy>Alysson Oliveira</cp:lastModifiedBy>
  <cp:revision>324</cp:revision>
  <dcterms:created xsi:type="dcterms:W3CDTF">2021-01-25T19:21:00Z</dcterms:created>
  <dcterms:modified xsi:type="dcterms:W3CDTF">2021-03-11T15:37:00Z</dcterms:modified>
</cp:coreProperties>
</file>