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4AD4D" w14:textId="77777777" w:rsidR="00F16060" w:rsidRPr="008E457E" w:rsidRDefault="00147ECD" w:rsidP="008E457E">
      <w:pPr>
        <w:pStyle w:val="Imagem"/>
      </w:pPr>
      <w:r w:rsidRPr="008E457E">
        <w:rPr>
          <w:noProof/>
        </w:rPr>
        <w:drawing>
          <wp:anchor distT="0" distB="0" distL="114300" distR="114300" simplePos="0" relativeHeight="251659264" behindDoc="0" locked="0" layoutInCell="1" allowOverlap="1" wp14:anchorId="1109D687" wp14:editId="4177A806">
            <wp:simplePos x="1533525" y="1076325"/>
            <wp:positionH relativeFrom="margin">
              <wp:align>center</wp:align>
            </wp:positionH>
            <wp:positionV relativeFrom="margin">
              <wp:align>top</wp:align>
            </wp:positionV>
            <wp:extent cx="797539" cy="864000"/>
            <wp:effectExtent l="0" t="0" r="317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39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D4B03D" w14:textId="77777777" w:rsidR="00F16060" w:rsidRDefault="00F16060" w:rsidP="00F16060">
      <w:pPr>
        <w:pStyle w:val="Imagem"/>
      </w:pPr>
    </w:p>
    <w:p w14:paraId="06277CF3" w14:textId="77777777" w:rsidR="00B00558" w:rsidRDefault="00B00558" w:rsidP="00B00558">
      <w:pPr>
        <w:pStyle w:val="TtulodaLogo"/>
      </w:pPr>
    </w:p>
    <w:p w14:paraId="67F111B5" w14:textId="2E8D84AC" w:rsidR="00147ECD" w:rsidRDefault="00147ECD" w:rsidP="00B00558">
      <w:pPr>
        <w:pStyle w:val="TtulodaLogo"/>
      </w:pPr>
      <w:r w:rsidRPr="005C52AE">
        <w:t>FUNDAÇÃO EDSON QUEIROZ</w:t>
      </w:r>
    </w:p>
    <w:p w14:paraId="26413030" w14:textId="77777777" w:rsidR="00147ECD" w:rsidRDefault="00147ECD" w:rsidP="00147ECD">
      <w:pPr>
        <w:pStyle w:val="TtulodaLogo"/>
      </w:pPr>
      <w:r>
        <w:t>UNIVERSIDADE DE FORTALEZA – UNIFOR</w:t>
      </w:r>
    </w:p>
    <w:p w14:paraId="2DE25657" w14:textId="77777777" w:rsidR="00147ECD" w:rsidRDefault="00147ECD" w:rsidP="00147ECD">
      <w:pPr>
        <w:pStyle w:val="TtulodaLogo"/>
      </w:pPr>
      <w:r>
        <w:t>Centro de Ciências da Comunicação e Gestão</w:t>
      </w:r>
      <w:r>
        <w:softHyphen/>
        <w:t xml:space="preserve"> </w:t>
      </w:r>
      <w:r>
        <w:softHyphen/>
      </w:r>
      <w:r>
        <w:softHyphen/>
      </w:r>
      <w:r>
        <w:softHyphen/>
        <w:t>– CCG</w:t>
      </w:r>
    </w:p>
    <w:p w14:paraId="5F170439" w14:textId="6C147CE8" w:rsidR="00147ECD" w:rsidRDefault="00147ECD" w:rsidP="00147ECD">
      <w:pPr>
        <w:pStyle w:val="TtulodaLogo"/>
      </w:pPr>
      <w:r>
        <w:t>Curso de Ciências Econômicas</w:t>
      </w:r>
    </w:p>
    <w:p w14:paraId="0F91971F" w14:textId="11B83EDD" w:rsidR="00C84902" w:rsidRDefault="00C84902" w:rsidP="00147ECD">
      <w:pPr>
        <w:pStyle w:val="TtulodaLogo"/>
      </w:pPr>
    </w:p>
    <w:p w14:paraId="64505237" w14:textId="786EEF14" w:rsidR="0050088C" w:rsidRDefault="0050088C" w:rsidP="00147ECD">
      <w:pPr>
        <w:pStyle w:val="TtulodaLogo"/>
      </w:pPr>
    </w:p>
    <w:p w14:paraId="52D6D012" w14:textId="15F91B7B" w:rsidR="0050088C" w:rsidRDefault="0050088C" w:rsidP="00147ECD">
      <w:pPr>
        <w:pStyle w:val="TtulodaLogo"/>
      </w:pPr>
    </w:p>
    <w:p w14:paraId="10A00877" w14:textId="66717B58" w:rsidR="0050088C" w:rsidRDefault="0050088C" w:rsidP="00147ECD">
      <w:pPr>
        <w:pStyle w:val="TtulodaLogo"/>
      </w:pPr>
    </w:p>
    <w:p w14:paraId="2A95CF10" w14:textId="50356876" w:rsidR="0050088C" w:rsidRDefault="0050088C" w:rsidP="00147ECD">
      <w:pPr>
        <w:pStyle w:val="TtulodaLogo"/>
      </w:pPr>
    </w:p>
    <w:p w14:paraId="2BF553EE" w14:textId="7DA19BDC" w:rsidR="0050088C" w:rsidRDefault="0050088C" w:rsidP="00147ECD">
      <w:pPr>
        <w:pStyle w:val="TtulodaLogo"/>
      </w:pPr>
    </w:p>
    <w:p w14:paraId="3BE55549" w14:textId="6805AFDA" w:rsidR="0050088C" w:rsidRDefault="0050088C" w:rsidP="00147ECD">
      <w:pPr>
        <w:pStyle w:val="TtulodaLogo"/>
      </w:pPr>
    </w:p>
    <w:p w14:paraId="3D383256" w14:textId="2FEFD58D" w:rsidR="0050088C" w:rsidRDefault="0050088C" w:rsidP="00147ECD">
      <w:pPr>
        <w:pStyle w:val="TtulodaLogo"/>
      </w:pPr>
    </w:p>
    <w:p w14:paraId="1EE04091" w14:textId="1C19B2F3" w:rsidR="0050088C" w:rsidRDefault="0050088C" w:rsidP="00147ECD">
      <w:pPr>
        <w:pStyle w:val="TtulodaLogo"/>
      </w:pPr>
    </w:p>
    <w:p w14:paraId="20F2D791" w14:textId="1F448D80" w:rsidR="0050088C" w:rsidRDefault="0050088C" w:rsidP="00147ECD">
      <w:pPr>
        <w:pStyle w:val="TtulodaLogo"/>
      </w:pPr>
    </w:p>
    <w:p w14:paraId="23F52757" w14:textId="0EF30528" w:rsidR="0050088C" w:rsidRDefault="0050088C" w:rsidP="00147ECD">
      <w:pPr>
        <w:pStyle w:val="TtulodaLogo"/>
      </w:pPr>
    </w:p>
    <w:p w14:paraId="1C198D20" w14:textId="1B47C3F1" w:rsidR="0050088C" w:rsidRDefault="0050088C" w:rsidP="00147ECD">
      <w:pPr>
        <w:pStyle w:val="TtulodaLogo"/>
      </w:pPr>
    </w:p>
    <w:p w14:paraId="2B34BAAF" w14:textId="20EAA604" w:rsidR="0050088C" w:rsidRDefault="0050088C" w:rsidP="00147ECD">
      <w:pPr>
        <w:pStyle w:val="TtulodaLogo"/>
      </w:pPr>
    </w:p>
    <w:p w14:paraId="64EFA425" w14:textId="5878FE39" w:rsidR="0050088C" w:rsidRDefault="0050088C" w:rsidP="00147ECD">
      <w:pPr>
        <w:pStyle w:val="TtulodaLogo"/>
      </w:pPr>
    </w:p>
    <w:p w14:paraId="34BDC84B" w14:textId="6FB9BB30" w:rsidR="0050088C" w:rsidRDefault="0050088C" w:rsidP="00147ECD">
      <w:pPr>
        <w:pStyle w:val="TtulodaLogo"/>
      </w:pPr>
    </w:p>
    <w:p w14:paraId="434F0764" w14:textId="49DB50FB" w:rsidR="0050088C" w:rsidRDefault="0050088C" w:rsidP="00147ECD">
      <w:pPr>
        <w:pStyle w:val="TtulodaLogo"/>
      </w:pPr>
    </w:p>
    <w:p w14:paraId="7DBE9C39" w14:textId="77777777" w:rsidR="0050088C" w:rsidRDefault="0050088C" w:rsidP="00147ECD">
      <w:pPr>
        <w:pStyle w:val="TtulodaLogo"/>
      </w:pPr>
    </w:p>
    <w:p w14:paraId="6761A310" w14:textId="27B994D9" w:rsidR="00C84902" w:rsidRDefault="00C84902" w:rsidP="00147ECD">
      <w:pPr>
        <w:pStyle w:val="TtulodaLogo"/>
      </w:pPr>
    </w:p>
    <w:p w14:paraId="00220F62" w14:textId="6A3F1278" w:rsidR="002001A3" w:rsidRDefault="002210BB" w:rsidP="001A3DAD">
      <w:pPr>
        <w:pStyle w:val="Ttulo"/>
      </w:pPr>
      <w:r>
        <w:t>METODOLOGIA DO ÍNDICE DE AÇÕES CEARENSES</w:t>
      </w:r>
    </w:p>
    <w:p w14:paraId="7CD38A5A" w14:textId="52670774" w:rsidR="001A3DAD" w:rsidRDefault="002210BB" w:rsidP="001A3DAD">
      <w:pPr>
        <w:pStyle w:val="Ttulo"/>
      </w:pPr>
      <w:r>
        <w:t>(IAC)</w:t>
      </w:r>
    </w:p>
    <w:p w14:paraId="28511E23" w14:textId="4AFDF6E9" w:rsidR="008E457E" w:rsidRDefault="008E457E" w:rsidP="008E457E">
      <w:pPr>
        <w:pStyle w:val="TtulodaLogo"/>
      </w:pPr>
    </w:p>
    <w:p w14:paraId="0BF62C74" w14:textId="7E140F84" w:rsidR="008E457E" w:rsidRDefault="008E457E" w:rsidP="008E457E">
      <w:pPr>
        <w:pStyle w:val="TtulodaLogo"/>
      </w:pPr>
    </w:p>
    <w:p w14:paraId="62A42FB1" w14:textId="4FC67324" w:rsidR="008E457E" w:rsidRDefault="008E457E" w:rsidP="008E457E">
      <w:pPr>
        <w:pStyle w:val="TtulodaLogo"/>
      </w:pPr>
    </w:p>
    <w:p w14:paraId="0B3BFDC1" w14:textId="17828824" w:rsidR="008E457E" w:rsidRDefault="008E457E" w:rsidP="008E457E">
      <w:pPr>
        <w:pStyle w:val="TtulodaLogo"/>
      </w:pPr>
    </w:p>
    <w:p w14:paraId="05AD9B4F" w14:textId="702BCB16" w:rsidR="008E457E" w:rsidRDefault="008E457E" w:rsidP="008E457E">
      <w:pPr>
        <w:pStyle w:val="TtulodaLogo"/>
      </w:pPr>
    </w:p>
    <w:p w14:paraId="5B1AFD55" w14:textId="357586E9" w:rsidR="008E457E" w:rsidRDefault="008E457E" w:rsidP="008E457E">
      <w:pPr>
        <w:pStyle w:val="TtulodaLogo"/>
      </w:pPr>
    </w:p>
    <w:p w14:paraId="351A2A58" w14:textId="77777777" w:rsidR="008E457E" w:rsidRDefault="008E457E" w:rsidP="008E457E">
      <w:pPr>
        <w:pStyle w:val="TtulodaLogo"/>
      </w:pPr>
    </w:p>
    <w:p w14:paraId="25F7BEBD" w14:textId="77777777" w:rsidR="008E457E" w:rsidRDefault="008E457E" w:rsidP="008E457E">
      <w:pPr>
        <w:pStyle w:val="TtulodaLogo"/>
      </w:pPr>
    </w:p>
    <w:p w14:paraId="0E056E93" w14:textId="206A9C5F" w:rsidR="008E457E" w:rsidRDefault="008E457E" w:rsidP="008E457E">
      <w:pPr>
        <w:pStyle w:val="TtulodaLogo"/>
      </w:pPr>
    </w:p>
    <w:p w14:paraId="34FDACC6" w14:textId="02D9ED9E" w:rsidR="008E457E" w:rsidRDefault="008E457E" w:rsidP="008E457E">
      <w:pPr>
        <w:pStyle w:val="TtulodaLogo"/>
      </w:pPr>
    </w:p>
    <w:p w14:paraId="7D7D7706" w14:textId="514C1CF6" w:rsidR="008E457E" w:rsidRDefault="008E457E" w:rsidP="008E457E">
      <w:pPr>
        <w:pStyle w:val="TtulodaLogo"/>
      </w:pPr>
    </w:p>
    <w:p w14:paraId="6FFFFCFB" w14:textId="4A990D70" w:rsidR="008E457E" w:rsidRDefault="008E457E" w:rsidP="008E457E">
      <w:pPr>
        <w:pStyle w:val="TtulodaLogo"/>
      </w:pPr>
    </w:p>
    <w:p w14:paraId="6CA55D06" w14:textId="1EEE9921" w:rsidR="008E457E" w:rsidRDefault="008E457E" w:rsidP="008E457E">
      <w:pPr>
        <w:pStyle w:val="TtulodaLogo"/>
      </w:pPr>
    </w:p>
    <w:p w14:paraId="42755AD5" w14:textId="2B2A8109" w:rsidR="008E457E" w:rsidRDefault="008E457E" w:rsidP="008E457E">
      <w:pPr>
        <w:pStyle w:val="TtulodaLogo"/>
      </w:pPr>
    </w:p>
    <w:p w14:paraId="32D09135" w14:textId="77777777" w:rsidR="008E457E" w:rsidRDefault="008E457E" w:rsidP="008E457E">
      <w:pPr>
        <w:pStyle w:val="TtulodaLogo"/>
      </w:pPr>
    </w:p>
    <w:p w14:paraId="1624DE31" w14:textId="77777777" w:rsidR="008E457E" w:rsidRDefault="008E457E" w:rsidP="008E457E">
      <w:pPr>
        <w:pStyle w:val="TtulodaLogo"/>
      </w:pPr>
    </w:p>
    <w:p w14:paraId="309E4597" w14:textId="2D199A10" w:rsidR="008E457E" w:rsidRDefault="008E457E" w:rsidP="008E457E">
      <w:pPr>
        <w:pStyle w:val="TtulodaLogo"/>
      </w:pPr>
      <w:r>
        <w:t>Fortaleza – CE</w:t>
      </w:r>
    </w:p>
    <w:p w14:paraId="1C13118A" w14:textId="7B138861" w:rsidR="008E457E" w:rsidRPr="001A3DAD" w:rsidRDefault="008E457E" w:rsidP="008E457E">
      <w:pPr>
        <w:pStyle w:val="TtulodaLogo"/>
        <w:sectPr w:rsidR="008E457E" w:rsidRPr="001A3DAD" w:rsidSect="00E47213">
          <w:footerReference w:type="default" r:id="rId9"/>
          <w:pgSz w:w="11906" w:h="16838"/>
          <w:pgMar w:top="1701" w:right="1134" w:bottom="1134" w:left="1701" w:header="720" w:footer="720" w:gutter="0"/>
          <w:cols w:space="720"/>
          <w:docGrid w:linePitch="600" w:charSpace="32768"/>
        </w:sectPr>
      </w:pPr>
      <w:r>
        <w:t>2020</w:t>
      </w:r>
    </w:p>
    <w:sdt>
      <w:sdtPr>
        <w:rPr>
          <w:rFonts w:ascii="Times New Roman" w:eastAsia="NSimSun" w:hAnsi="Times New Roman" w:cs="Arial"/>
          <w:b w:val="0"/>
          <w:kern w:val="2"/>
          <w:sz w:val="24"/>
          <w:szCs w:val="24"/>
          <w:lang w:eastAsia="zh-CN" w:bidi="hi-IN"/>
        </w:rPr>
        <w:id w:val="134975367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E81E281" w14:textId="54DC7322" w:rsidR="00351322" w:rsidRDefault="00351322" w:rsidP="00BB1DF1">
          <w:pPr>
            <w:pStyle w:val="TtulodoSumrio"/>
          </w:pPr>
          <w:r>
            <w:t>Sumário</w:t>
          </w:r>
        </w:p>
        <w:p w14:paraId="3D9F7EFF" w14:textId="0537D878" w:rsidR="00493E72" w:rsidRDefault="00351322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0"/>
              <w:sz w:val="22"/>
              <w:szCs w:val="22"/>
              <w:lang w:eastAsia="pt-BR" w:bidi="ar-SA"/>
            </w:rPr>
          </w:pPr>
          <w:r>
            <w:fldChar w:fldCharType="begin"/>
          </w:r>
          <w:r w:rsidRPr="00CF4B9F">
            <w:instrText xml:space="preserve"> TOC \o "1-3" \h \z \u </w:instrText>
          </w:r>
          <w:r>
            <w:fldChar w:fldCharType="separate"/>
          </w:r>
          <w:hyperlink w:anchor="_Toc59633603" w:history="1">
            <w:r w:rsidR="00493E72" w:rsidRPr="009077C0">
              <w:rPr>
                <w:rStyle w:val="Hyperlink"/>
                <w:noProof/>
              </w:rPr>
              <w:t>1</w:t>
            </w:r>
            <w:r w:rsidR="00493E7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493E72" w:rsidRPr="009077C0">
              <w:rPr>
                <w:rStyle w:val="Hyperlink"/>
                <w:noProof/>
              </w:rPr>
              <w:t>Introdução</w:t>
            </w:r>
            <w:r w:rsidR="00493E72">
              <w:rPr>
                <w:noProof/>
                <w:webHidden/>
              </w:rPr>
              <w:tab/>
            </w:r>
            <w:r w:rsidR="00493E72">
              <w:rPr>
                <w:noProof/>
                <w:webHidden/>
              </w:rPr>
              <w:fldChar w:fldCharType="begin"/>
            </w:r>
            <w:r w:rsidR="00493E72">
              <w:rPr>
                <w:noProof/>
                <w:webHidden/>
              </w:rPr>
              <w:instrText xml:space="preserve"> PAGEREF _Toc59633603 \h </w:instrText>
            </w:r>
            <w:r w:rsidR="00493E72">
              <w:rPr>
                <w:noProof/>
                <w:webHidden/>
              </w:rPr>
            </w:r>
            <w:r w:rsidR="00493E72">
              <w:rPr>
                <w:noProof/>
                <w:webHidden/>
              </w:rPr>
              <w:fldChar w:fldCharType="separate"/>
            </w:r>
            <w:r w:rsidR="00493E72">
              <w:rPr>
                <w:noProof/>
                <w:webHidden/>
              </w:rPr>
              <w:t>3</w:t>
            </w:r>
            <w:r w:rsidR="00493E72">
              <w:rPr>
                <w:noProof/>
                <w:webHidden/>
              </w:rPr>
              <w:fldChar w:fldCharType="end"/>
            </w:r>
          </w:hyperlink>
        </w:p>
        <w:p w14:paraId="2AD7BF40" w14:textId="4D452565" w:rsidR="00493E72" w:rsidRDefault="002F5E61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0"/>
              <w:sz w:val="22"/>
              <w:szCs w:val="22"/>
              <w:lang w:eastAsia="pt-BR" w:bidi="ar-SA"/>
            </w:rPr>
          </w:pPr>
          <w:hyperlink w:anchor="_Toc59633604" w:history="1">
            <w:r w:rsidR="00493E72" w:rsidRPr="009077C0">
              <w:rPr>
                <w:rStyle w:val="Hyperlink"/>
                <w:noProof/>
              </w:rPr>
              <w:t>2</w:t>
            </w:r>
            <w:r w:rsidR="00493E7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493E72" w:rsidRPr="009077C0">
              <w:rPr>
                <w:rStyle w:val="Hyperlink"/>
                <w:noProof/>
              </w:rPr>
              <w:t>Objetivo</w:t>
            </w:r>
            <w:r w:rsidR="00493E72">
              <w:rPr>
                <w:noProof/>
                <w:webHidden/>
              </w:rPr>
              <w:tab/>
            </w:r>
            <w:r w:rsidR="00493E72">
              <w:rPr>
                <w:noProof/>
                <w:webHidden/>
              </w:rPr>
              <w:fldChar w:fldCharType="begin"/>
            </w:r>
            <w:r w:rsidR="00493E72">
              <w:rPr>
                <w:noProof/>
                <w:webHidden/>
              </w:rPr>
              <w:instrText xml:space="preserve"> PAGEREF _Toc59633604 \h </w:instrText>
            </w:r>
            <w:r w:rsidR="00493E72">
              <w:rPr>
                <w:noProof/>
                <w:webHidden/>
              </w:rPr>
            </w:r>
            <w:r w:rsidR="00493E72">
              <w:rPr>
                <w:noProof/>
                <w:webHidden/>
              </w:rPr>
              <w:fldChar w:fldCharType="separate"/>
            </w:r>
            <w:r w:rsidR="00493E72">
              <w:rPr>
                <w:noProof/>
                <w:webHidden/>
              </w:rPr>
              <w:t>3</w:t>
            </w:r>
            <w:r w:rsidR="00493E72">
              <w:rPr>
                <w:noProof/>
                <w:webHidden/>
              </w:rPr>
              <w:fldChar w:fldCharType="end"/>
            </w:r>
          </w:hyperlink>
        </w:p>
        <w:p w14:paraId="31D0C016" w14:textId="1DDA2772" w:rsidR="00493E72" w:rsidRDefault="002F5E61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0"/>
              <w:sz w:val="22"/>
              <w:szCs w:val="22"/>
              <w:lang w:eastAsia="pt-BR" w:bidi="ar-SA"/>
            </w:rPr>
          </w:pPr>
          <w:hyperlink w:anchor="_Toc59633605" w:history="1">
            <w:r w:rsidR="00493E72" w:rsidRPr="009077C0">
              <w:rPr>
                <w:rStyle w:val="Hyperlink"/>
                <w:noProof/>
              </w:rPr>
              <w:t>3</w:t>
            </w:r>
            <w:r w:rsidR="00493E7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493E72" w:rsidRPr="009077C0">
              <w:rPr>
                <w:rStyle w:val="Hyperlink"/>
                <w:noProof/>
              </w:rPr>
              <w:t>Tipo de Índice</w:t>
            </w:r>
            <w:r w:rsidR="00493E72">
              <w:rPr>
                <w:noProof/>
                <w:webHidden/>
              </w:rPr>
              <w:tab/>
            </w:r>
            <w:r w:rsidR="00493E72">
              <w:rPr>
                <w:noProof/>
                <w:webHidden/>
              </w:rPr>
              <w:fldChar w:fldCharType="begin"/>
            </w:r>
            <w:r w:rsidR="00493E72">
              <w:rPr>
                <w:noProof/>
                <w:webHidden/>
              </w:rPr>
              <w:instrText xml:space="preserve"> PAGEREF _Toc59633605 \h </w:instrText>
            </w:r>
            <w:r w:rsidR="00493E72">
              <w:rPr>
                <w:noProof/>
                <w:webHidden/>
              </w:rPr>
            </w:r>
            <w:r w:rsidR="00493E72">
              <w:rPr>
                <w:noProof/>
                <w:webHidden/>
              </w:rPr>
              <w:fldChar w:fldCharType="separate"/>
            </w:r>
            <w:r w:rsidR="00493E72">
              <w:rPr>
                <w:noProof/>
                <w:webHidden/>
              </w:rPr>
              <w:t>3</w:t>
            </w:r>
            <w:r w:rsidR="00493E72">
              <w:rPr>
                <w:noProof/>
                <w:webHidden/>
              </w:rPr>
              <w:fldChar w:fldCharType="end"/>
            </w:r>
          </w:hyperlink>
        </w:p>
        <w:p w14:paraId="3065CA8F" w14:textId="3FB2528C" w:rsidR="00493E72" w:rsidRDefault="002F5E61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0"/>
              <w:sz w:val="22"/>
              <w:szCs w:val="22"/>
              <w:lang w:eastAsia="pt-BR" w:bidi="ar-SA"/>
            </w:rPr>
          </w:pPr>
          <w:hyperlink w:anchor="_Toc59633606" w:history="1">
            <w:r w:rsidR="00493E72" w:rsidRPr="009077C0">
              <w:rPr>
                <w:rStyle w:val="Hyperlink"/>
                <w:noProof/>
              </w:rPr>
              <w:t>4</w:t>
            </w:r>
            <w:r w:rsidR="00493E7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493E72" w:rsidRPr="009077C0">
              <w:rPr>
                <w:rStyle w:val="Hyperlink"/>
                <w:noProof/>
              </w:rPr>
              <w:t>Ativos Elegíveis</w:t>
            </w:r>
            <w:r w:rsidR="00493E72">
              <w:rPr>
                <w:noProof/>
                <w:webHidden/>
              </w:rPr>
              <w:tab/>
            </w:r>
            <w:r w:rsidR="00493E72">
              <w:rPr>
                <w:noProof/>
                <w:webHidden/>
              </w:rPr>
              <w:fldChar w:fldCharType="begin"/>
            </w:r>
            <w:r w:rsidR="00493E72">
              <w:rPr>
                <w:noProof/>
                <w:webHidden/>
              </w:rPr>
              <w:instrText xml:space="preserve"> PAGEREF _Toc59633606 \h </w:instrText>
            </w:r>
            <w:r w:rsidR="00493E72">
              <w:rPr>
                <w:noProof/>
                <w:webHidden/>
              </w:rPr>
            </w:r>
            <w:r w:rsidR="00493E72">
              <w:rPr>
                <w:noProof/>
                <w:webHidden/>
              </w:rPr>
              <w:fldChar w:fldCharType="separate"/>
            </w:r>
            <w:r w:rsidR="00493E72">
              <w:rPr>
                <w:noProof/>
                <w:webHidden/>
              </w:rPr>
              <w:t>4</w:t>
            </w:r>
            <w:r w:rsidR="00493E72">
              <w:rPr>
                <w:noProof/>
                <w:webHidden/>
              </w:rPr>
              <w:fldChar w:fldCharType="end"/>
            </w:r>
          </w:hyperlink>
        </w:p>
        <w:p w14:paraId="4C189D20" w14:textId="662B7AE2" w:rsidR="00493E72" w:rsidRDefault="002F5E61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0"/>
              <w:sz w:val="22"/>
              <w:szCs w:val="22"/>
              <w:lang w:eastAsia="pt-BR" w:bidi="ar-SA"/>
            </w:rPr>
          </w:pPr>
          <w:hyperlink w:anchor="_Toc59633607" w:history="1">
            <w:r w:rsidR="00493E72" w:rsidRPr="009077C0">
              <w:rPr>
                <w:rStyle w:val="Hyperlink"/>
                <w:noProof/>
              </w:rPr>
              <w:t>5</w:t>
            </w:r>
            <w:r w:rsidR="00493E7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493E72" w:rsidRPr="009077C0">
              <w:rPr>
                <w:rStyle w:val="Hyperlink"/>
                <w:noProof/>
              </w:rPr>
              <w:t>Critérios para a Inclusão</w:t>
            </w:r>
            <w:r w:rsidR="00493E72">
              <w:rPr>
                <w:noProof/>
                <w:webHidden/>
              </w:rPr>
              <w:tab/>
            </w:r>
            <w:r w:rsidR="00493E72">
              <w:rPr>
                <w:noProof/>
                <w:webHidden/>
              </w:rPr>
              <w:fldChar w:fldCharType="begin"/>
            </w:r>
            <w:r w:rsidR="00493E72">
              <w:rPr>
                <w:noProof/>
                <w:webHidden/>
              </w:rPr>
              <w:instrText xml:space="preserve"> PAGEREF _Toc59633607 \h </w:instrText>
            </w:r>
            <w:r w:rsidR="00493E72">
              <w:rPr>
                <w:noProof/>
                <w:webHidden/>
              </w:rPr>
            </w:r>
            <w:r w:rsidR="00493E72">
              <w:rPr>
                <w:noProof/>
                <w:webHidden/>
              </w:rPr>
              <w:fldChar w:fldCharType="separate"/>
            </w:r>
            <w:r w:rsidR="00493E72">
              <w:rPr>
                <w:noProof/>
                <w:webHidden/>
              </w:rPr>
              <w:t>4</w:t>
            </w:r>
            <w:r w:rsidR="00493E72">
              <w:rPr>
                <w:noProof/>
                <w:webHidden/>
              </w:rPr>
              <w:fldChar w:fldCharType="end"/>
            </w:r>
          </w:hyperlink>
        </w:p>
        <w:p w14:paraId="6750B1E9" w14:textId="2F88132E" w:rsidR="00493E72" w:rsidRDefault="002F5E61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0"/>
              <w:sz w:val="22"/>
              <w:szCs w:val="22"/>
              <w:lang w:eastAsia="pt-BR" w:bidi="ar-SA"/>
            </w:rPr>
          </w:pPr>
          <w:hyperlink w:anchor="_Toc59633608" w:history="1">
            <w:r w:rsidR="00493E72" w:rsidRPr="009077C0">
              <w:rPr>
                <w:rStyle w:val="Hyperlink"/>
                <w:noProof/>
              </w:rPr>
              <w:t>6</w:t>
            </w:r>
            <w:r w:rsidR="00493E7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493E72" w:rsidRPr="009077C0">
              <w:rPr>
                <w:rStyle w:val="Hyperlink"/>
                <w:noProof/>
              </w:rPr>
              <w:t>Critérios para a Exclusão</w:t>
            </w:r>
            <w:r w:rsidR="00493E72">
              <w:rPr>
                <w:noProof/>
                <w:webHidden/>
              </w:rPr>
              <w:tab/>
            </w:r>
            <w:r w:rsidR="00493E72">
              <w:rPr>
                <w:noProof/>
                <w:webHidden/>
              </w:rPr>
              <w:fldChar w:fldCharType="begin"/>
            </w:r>
            <w:r w:rsidR="00493E72">
              <w:rPr>
                <w:noProof/>
                <w:webHidden/>
              </w:rPr>
              <w:instrText xml:space="preserve"> PAGEREF _Toc59633608 \h </w:instrText>
            </w:r>
            <w:r w:rsidR="00493E72">
              <w:rPr>
                <w:noProof/>
                <w:webHidden/>
              </w:rPr>
            </w:r>
            <w:r w:rsidR="00493E72">
              <w:rPr>
                <w:noProof/>
                <w:webHidden/>
              </w:rPr>
              <w:fldChar w:fldCharType="separate"/>
            </w:r>
            <w:r w:rsidR="00493E72">
              <w:rPr>
                <w:noProof/>
                <w:webHidden/>
              </w:rPr>
              <w:t>4</w:t>
            </w:r>
            <w:r w:rsidR="00493E72">
              <w:rPr>
                <w:noProof/>
                <w:webHidden/>
              </w:rPr>
              <w:fldChar w:fldCharType="end"/>
            </w:r>
          </w:hyperlink>
        </w:p>
        <w:p w14:paraId="1DC616F5" w14:textId="66F8281B" w:rsidR="00493E72" w:rsidRDefault="002F5E61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0"/>
              <w:sz w:val="22"/>
              <w:szCs w:val="22"/>
              <w:lang w:eastAsia="pt-BR" w:bidi="ar-SA"/>
            </w:rPr>
          </w:pPr>
          <w:hyperlink w:anchor="_Toc59633609" w:history="1">
            <w:r w:rsidR="00493E72" w:rsidRPr="009077C0">
              <w:rPr>
                <w:rStyle w:val="Hyperlink"/>
                <w:noProof/>
              </w:rPr>
              <w:t>7</w:t>
            </w:r>
            <w:r w:rsidR="00493E7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493E72" w:rsidRPr="009077C0">
              <w:rPr>
                <w:rStyle w:val="Hyperlink"/>
                <w:noProof/>
              </w:rPr>
              <w:t>Critérios para a Ponderação</w:t>
            </w:r>
            <w:r w:rsidR="00493E72">
              <w:rPr>
                <w:noProof/>
                <w:webHidden/>
              </w:rPr>
              <w:tab/>
            </w:r>
            <w:r w:rsidR="00493E72">
              <w:rPr>
                <w:noProof/>
                <w:webHidden/>
              </w:rPr>
              <w:fldChar w:fldCharType="begin"/>
            </w:r>
            <w:r w:rsidR="00493E72">
              <w:rPr>
                <w:noProof/>
                <w:webHidden/>
              </w:rPr>
              <w:instrText xml:space="preserve"> PAGEREF _Toc59633609 \h </w:instrText>
            </w:r>
            <w:r w:rsidR="00493E72">
              <w:rPr>
                <w:noProof/>
                <w:webHidden/>
              </w:rPr>
            </w:r>
            <w:r w:rsidR="00493E72">
              <w:rPr>
                <w:noProof/>
                <w:webHidden/>
              </w:rPr>
              <w:fldChar w:fldCharType="separate"/>
            </w:r>
            <w:r w:rsidR="00493E72">
              <w:rPr>
                <w:noProof/>
                <w:webHidden/>
              </w:rPr>
              <w:t>5</w:t>
            </w:r>
            <w:r w:rsidR="00493E72">
              <w:rPr>
                <w:noProof/>
                <w:webHidden/>
              </w:rPr>
              <w:fldChar w:fldCharType="end"/>
            </w:r>
          </w:hyperlink>
        </w:p>
        <w:p w14:paraId="536B6A47" w14:textId="1C8AFEEF" w:rsidR="00493E72" w:rsidRDefault="002F5E61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0"/>
              <w:sz w:val="22"/>
              <w:szCs w:val="22"/>
              <w:lang w:eastAsia="pt-BR" w:bidi="ar-SA"/>
            </w:rPr>
          </w:pPr>
          <w:hyperlink w:anchor="_Toc59633610" w:history="1">
            <w:r w:rsidR="00493E72" w:rsidRPr="009077C0">
              <w:rPr>
                <w:rStyle w:val="Hyperlink"/>
                <w:noProof/>
              </w:rPr>
              <w:t>8</w:t>
            </w:r>
            <w:r w:rsidR="00493E7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493E72" w:rsidRPr="009077C0">
              <w:rPr>
                <w:rStyle w:val="Hyperlink"/>
                <w:noProof/>
              </w:rPr>
              <w:t>Métricas</w:t>
            </w:r>
            <w:r w:rsidR="00493E72">
              <w:rPr>
                <w:noProof/>
                <w:webHidden/>
              </w:rPr>
              <w:tab/>
            </w:r>
            <w:r w:rsidR="00493E72">
              <w:rPr>
                <w:noProof/>
                <w:webHidden/>
              </w:rPr>
              <w:fldChar w:fldCharType="begin"/>
            </w:r>
            <w:r w:rsidR="00493E72">
              <w:rPr>
                <w:noProof/>
                <w:webHidden/>
              </w:rPr>
              <w:instrText xml:space="preserve"> PAGEREF _Toc59633610 \h </w:instrText>
            </w:r>
            <w:r w:rsidR="00493E72">
              <w:rPr>
                <w:noProof/>
                <w:webHidden/>
              </w:rPr>
            </w:r>
            <w:r w:rsidR="00493E72">
              <w:rPr>
                <w:noProof/>
                <w:webHidden/>
              </w:rPr>
              <w:fldChar w:fldCharType="separate"/>
            </w:r>
            <w:r w:rsidR="00493E72">
              <w:rPr>
                <w:noProof/>
                <w:webHidden/>
              </w:rPr>
              <w:t>5</w:t>
            </w:r>
            <w:r w:rsidR="00493E72">
              <w:rPr>
                <w:noProof/>
                <w:webHidden/>
              </w:rPr>
              <w:fldChar w:fldCharType="end"/>
            </w:r>
          </w:hyperlink>
        </w:p>
        <w:p w14:paraId="5AD90540" w14:textId="4151C58D" w:rsidR="00493E72" w:rsidRDefault="002F5E61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0"/>
              <w:sz w:val="22"/>
              <w:szCs w:val="22"/>
              <w:lang w:eastAsia="pt-BR" w:bidi="ar-SA"/>
            </w:rPr>
          </w:pPr>
          <w:hyperlink w:anchor="_Toc59633611" w:history="1">
            <w:r w:rsidR="00493E72" w:rsidRPr="009077C0">
              <w:rPr>
                <w:rStyle w:val="Hyperlink"/>
                <w:noProof/>
              </w:rPr>
              <w:t>9</w:t>
            </w:r>
            <w:r w:rsidR="00493E7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493E72" w:rsidRPr="009077C0">
              <w:rPr>
                <w:rStyle w:val="Hyperlink"/>
                <w:noProof/>
              </w:rPr>
              <w:t>Empresas pertencentes ao índice</w:t>
            </w:r>
            <w:r w:rsidR="00493E72">
              <w:rPr>
                <w:noProof/>
                <w:webHidden/>
              </w:rPr>
              <w:tab/>
            </w:r>
            <w:r w:rsidR="00493E72">
              <w:rPr>
                <w:noProof/>
                <w:webHidden/>
              </w:rPr>
              <w:fldChar w:fldCharType="begin"/>
            </w:r>
            <w:r w:rsidR="00493E72">
              <w:rPr>
                <w:noProof/>
                <w:webHidden/>
              </w:rPr>
              <w:instrText xml:space="preserve"> PAGEREF _Toc59633611 \h </w:instrText>
            </w:r>
            <w:r w:rsidR="00493E72">
              <w:rPr>
                <w:noProof/>
                <w:webHidden/>
              </w:rPr>
            </w:r>
            <w:r w:rsidR="00493E72">
              <w:rPr>
                <w:noProof/>
                <w:webHidden/>
              </w:rPr>
              <w:fldChar w:fldCharType="separate"/>
            </w:r>
            <w:r w:rsidR="00493E72">
              <w:rPr>
                <w:noProof/>
                <w:webHidden/>
              </w:rPr>
              <w:t>6</w:t>
            </w:r>
            <w:r w:rsidR="00493E72">
              <w:rPr>
                <w:noProof/>
                <w:webHidden/>
              </w:rPr>
              <w:fldChar w:fldCharType="end"/>
            </w:r>
          </w:hyperlink>
        </w:p>
        <w:p w14:paraId="52AB51D3" w14:textId="437378FB" w:rsidR="00493E72" w:rsidRDefault="002F5E61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0"/>
              <w:sz w:val="22"/>
              <w:szCs w:val="22"/>
              <w:lang w:eastAsia="pt-BR" w:bidi="ar-SA"/>
            </w:rPr>
          </w:pPr>
          <w:hyperlink w:anchor="_Toc59633612" w:history="1">
            <w:r w:rsidR="00493E72" w:rsidRPr="009077C0">
              <w:rPr>
                <w:rStyle w:val="Hyperlink"/>
                <w:noProof/>
              </w:rPr>
              <w:t>Referências</w:t>
            </w:r>
            <w:r w:rsidR="00493E72">
              <w:rPr>
                <w:noProof/>
                <w:webHidden/>
              </w:rPr>
              <w:tab/>
            </w:r>
            <w:r w:rsidR="00493E72">
              <w:rPr>
                <w:noProof/>
                <w:webHidden/>
              </w:rPr>
              <w:fldChar w:fldCharType="begin"/>
            </w:r>
            <w:r w:rsidR="00493E72">
              <w:rPr>
                <w:noProof/>
                <w:webHidden/>
              </w:rPr>
              <w:instrText xml:space="preserve"> PAGEREF _Toc59633612 \h </w:instrText>
            </w:r>
            <w:r w:rsidR="00493E72">
              <w:rPr>
                <w:noProof/>
                <w:webHidden/>
              </w:rPr>
            </w:r>
            <w:r w:rsidR="00493E72">
              <w:rPr>
                <w:noProof/>
                <w:webHidden/>
              </w:rPr>
              <w:fldChar w:fldCharType="separate"/>
            </w:r>
            <w:r w:rsidR="00493E72">
              <w:rPr>
                <w:noProof/>
                <w:webHidden/>
              </w:rPr>
              <w:t>8</w:t>
            </w:r>
            <w:r w:rsidR="00493E72">
              <w:rPr>
                <w:noProof/>
                <w:webHidden/>
              </w:rPr>
              <w:fldChar w:fldCharType="end"/>
            </w:r>
          </w:hyperlink>
        </w:p>
        <w:p w14:paraId="47DB3BD1" w14:textId="116EE2DF" w:rsidR="00351322" w:rsidRDefault="00351322">
          <w:r>
            <w:rPr>
              <w:b/>
              <w:bCs/>
            </w:rPr>
            <w:fldChar w:fldCharType="end"/>
          </w:r>
        </w:p>
      </w:sdtContent>
    </w:sdt>
    <w:p w14:paraId="54547408" w14:textId="2C196634" w:rsidR="00351322" w:rsidRDefault="00351322" w:rsidP="007A77E6">
      <w:pPr>
        <w:ind w:firstLine="0"/>
        <w:sectPr w:rsidR="00351322" w:rsidSect="00E47213">
          <w:pgSz w:w="11906" w:h="16838"/>
          <w:pgMar w:top="1701" w:right="1134" w:bottom="1134" w:left="1701" w:header="720" w:footer="720" w:gutter="0"/>
          <w:cols w:space="720"/>
          <w:docGrid w:linePitch="600" w:charSpace="32768"/>
        </w:sectPr>
      </w:pPr>
    </w:p>
    <w:p w14:paraId="311BC282" w14:textId="6E3C39D6" w:rsidR="000805B8" w:rsidRDefault="000805B8" w:rsidP="000805B8">
      <w:pPr>
        <w:pStyle w:val="Ttulo1"/>
      </w:pPr>
      <w:bookmarkStart w:id="0" w:name="_Toc59633603"/>
      <w:r>
        <w:lastRenderedPageBreak/>
        <w:t>Introdução</w:t>
      </w:r>
      <w:bookmarkEnd w:id="0"/>
    </w:p>
    <w:p w14:paraId="1783A72D" w14:textId="08BBA757" w:rsidR="000805B8" w:rsidRDefault="000805B8" w:rsidP="000805B8">
      <w:r>
        <w:t xml:space="preserve">Este </w:t>
      </w:r>
      <w:r w:rsidR="003579FB">
        <w:t>documento aborda a metodologia utilizada para o desenvolvimento do Índice d</w:t>
      </w:r>
      <w:r w:rsidR="00883283">
        <w:t>as</w:t>
      </w:r>
      <w:r w:rsidR="003579FB">
        <w:t xml:space="preserve"> Ações Cearenses listadas em bolsas de valores. É apresentado os critérios de inclusão </w:t>
      </w:r>
      <w:r w:rsidR="00381B10">
        <w:t xml:space="preserve">das companhias, metodologia adotada para o cálculo do índice, critérios de ponderação e aspectos gerencias que visam </w:t>
      </w:r>
      <w:r w:rsidR="00472AEB">
        <w:t xml:space="preserve">a </w:t>
      </w:r>
      <w:r w:rsidR="009B61F3">
        <w:t xml:space="preserve">sua </w:t>
      </w:r>
      <w:r w:rsidR="00472AEB">
        <w:t xml:space="preserve">manutenção. </w:t>
      </w:r>
      <w:r w:rsidR="002733EE">
        <w:t xml:space="preserve"> </w:t>
      </w:r>
    </w:p>
    <w:p w14:paraId="6076CA73" w14:textId="22BC4D80" w:rsidR="00380C35" w:rsidRDefault="00A944CB" w:rsidP="000805B8">
      <w:r>
        <w:t xml:space="preserve">O desenvolvimento de números índices </w:t>
      </w:r>
      <w:r w:rsidR="00DD5BD7">
        <w:t xml:space="preserve">como forma de acompanhar a evolução de um determinado </w:t>
      </w:r>
      <w:r w:rsidR="00176398">
        <w:t>segmento d</w:t>
      </w:r>
      <w:r w:rsidR="00F2731D">
        <w:t>o</w:t>
      </w:r>
      <w:r w:rsidR="00176398">
        <w:t xml:space="preserve"> </w:t>
      </w:r>
      <w:r w:rsidR="00DD5BD7">
        <w:t>mercado</w:t>
      </w:r>
      <w:r w:rsidR="00F2731D">
        <w:t xml:space="preserve"> financeiro</w:t>
      </w:r>
      <w:r w:rsidR="00DD5BD7">
        <w:t xml:space="preserve"> é uma prática consolidada</w:t>
      </w:r>
      <w:r w:rsidR="00F539F3">
        <w:t xml:space="preserve"> e s</w:t>
      </w:r>
      <w:r w:rsidR="00082CEA">
        <w:t>ua utilização fornece reflexos precisos d</w:t>
      </w:r>
      <w:r w:rsidR="007C75FF">
        <w:t>os</w:t>
      </w:r>
      <w:r w:rsidR="00082CEA">
        <w:t xml:space="preserve"> movimentos</w:t>
      </w:r>
      <w:r w:rsidR="00F2671F">
        <w:t xml:space="preserve"> e tendências</w:t>
      </w:r>
      <w:r w:rsidR="007C75FF">
        <w:t xml:space="preserve"> das empresas constituintes da carteira teórica</w:t>
      </w:r>
      <w:r w:rsidR="00F2671F">
        <w:t>.</w:t>
      </w:r>
      <w:r w:rsidR="00AE73E8">
        <w:t xml:space="preserve"> </w:t>
      </w:r>
      <w:r w:rsidR="009944E4">
        <w:t>A</w:t>
      </w:r>
      <w:r w:rsidR="00C83005">
        <w:t>s</w:t>
      </w:r>
      <w:r w:rsidR="009944E4">
        <w:t xml:space="preserve"> principais bolsas de valores mundiais </w:t>
      </w:r>
      <w:r w:rsidR="000227DB">
        <w:t>criam</w:t>
      </w:r>
      <w:r w:rsidR="009944E4">
        <w:t xml:space="preserve"> seus próprios índices </w:t>
      </w:r>
      <w:r w:rsidR="00D145E8">
        <w:t xml:space="preserve">que sintetizam os ativos que possuem maior representatividade </w:t>
      </w:r>
      <w:r w:rsidR="00553B6B">
        <w:t xml:space="preserve">nas negociações diárias </w:t>
      </w:r>
      <w:r w:rsidR="004F5EC6">
        <w:t xml:space="preserve">em seus pregões. Um dos maiores exemplos desses índices é o S&amp;P500, desenvolvido pela </w:t>
      </w:r>
      <w:r w:rsidR="009B7AE1" w:rsidRPr="009B7AE1">
        <w:t xml:space="preserve">Standard &amp; </w:t>
      </w:r>
      <w:proofErr w:type="spellStart"/>
      <w:r w:rsidR="009B7AE1" w:rsidRPr="009B7AE1">
        <w:t>Poor's</w:t>
      </w:r>
      <w:proofErr w:type="spellEnd"/>
      <w:r w:rsidR="00490C1E">
        <w:t xml:space="preserve"> e lançado em 4 de Março de 1957</w:t>
      </w:r>
      <w:r w:rsidR="00D768EE">
        <w:t xml:space="preserve">. Sua metodologia de cálculo é </w:t>
      </w:r>
      <w:r w:rsidR="00752592">
        <w:t>baseada</w:t>
      </w:r>
      <w:r w:rsidR="009739CB">
        <w:t xml:space="preserve"> </w:t>
      </w:r>
      <w:r w:rsidR="00752592">
        <w:t xml:space="preserve">no </w:t>
      </w:r>
      <w:r w:rsidR="0091300C">
        <w:t xml:space="preserve">somatório do </w:t>
      </w:r>
      <w:r w:rsidR="00580FA2">
        <w:t xml:space="preserve">valor de mercado das empresas ajustadas </w:t>
      </w:r>
      <w:r w:rsidR="00514380">
        <w:t>ao</w:t>
      </w:r>
      <w:r w:rsidR="00580FA2">
        <w:t xml:space="preserve"> </w:t>
      </w:r>
      <w:proofErr w:type="spellStart"/>
      <w:r w:rsidR="00580FA2" w:rsidRPr="00580FA2">
        <w:rPr>
          <w:i/>
          <w:iCs/>
        </w:rPr>
        <w:t>free-float</w:t>
      </w:r>
      <w:proofErr w:type="spellEnd"/>
      <w:r w:rsidR="00514380" w:rsidRPr="00C93389">
        <w:rPr>
          <w:rStyle w:val="Refdenotaderodap"/>
        </w:rPr>
        <w:footnoteReference w:id="1"/>
      </w:r>
      <w:r w:rsidR="00E17FA9">
        <w:rPr>
          <w:i/>
          <w:iCs/>
        </w:rPr>
        <w:t xml:space="preserve"> </w:t>
      </w:r>
      <w:r w:rsidR="00E17FA9">
        <w:t>e</w:t>
      </w:r>
      <w:r w:rsidR="00861766">
        <w:t xml:space="preserve"> dividindo </w:t>
      </w:r>
      <w:r w:rsidR="00AF73C1">
        <w:t>este</w:t>
      </w:r>
      <w:r w:rsidR="00861766">
        <w:t xml:space="preserve"> resultado por um divisor</w:t>
      </w:r>
      <w:r w:rsidR="00BE5722">
        <w:t xml:space="preserve"> </w:t>
      </w:r>
      <w:commentRangeStart w:id="1"/>
      <w:r w:rsidR="008408AE">
        <w:fldChar w:fldCharType="begin" w:fldLock="1"/>
      </w:r>
      <w:r w:rsidR="000C2517">
        <w:instrText>ADDIN CSL_CITATION {"citationItems":[{"id":"ITEM-1","itemData":{"URL":"https://www.investopedia.com/terms/s/sp500.asp","accessed":{"date-parts":[["2020","12","23"]]},"author":[{"dropping-particle":"","family":"Kenton","given":"Will","non-dropping-particle":"","parse-names":false,"suffix":""},{"dropping-particle":"","family":"Boyle","given":"Michael J.","non-dropping-particle":"","parse-names":false,"suffix":""}],"container-title":"Investopedia","id":"ITEM-1","issued":{"date-parts":[["2020"]]},"title":"S&amp;P 500 Index – Standard &amp; Poor's 500 Index Definition","type":"webpage"},"uris":["http://www.mendeley.com/documents/?uuid=b3bda6e5-912a-3134-982e-7b6b57741e84"]}],"mendeley":{"formattedCitation":"(KENTON; BOYLE, 2020)","manualFormatting":"(KENTON &amp; BOYLE, 2020)","plainTextFormattedCitation":"(KENTON; BOYLE, 2020)","previouslyFormattedCitation":"(KENTON; BOYLE, 2020)"},"properties":{"noteIndex":0},"schema":"https://github.com/citation-style-language/schema/raw/master/csl-citation.json"}</w:instrText>
      </w:r>
      <w:r w:rsidR="008408AE">
        <w:fldChar w:fldCharType="separate"/>
      </w:r>
      <w:r w:rsidR="00F37ED8" w:rsidRPr="00F37ED8">
        <w:rPr>
          <w:noProof/>
        </w:rPr>
        <w:t>(KENTON</w:t>
      </w:r>
      <w:r w:rsidR="00F37ED8">
        <w:rPr>
          <w:noProof/>
        </w:rPr>
        <w:t xml:space="preserve"> &amp;</w:t>
      </w:r>
      <w:r w:rsidR="00F37ED8" w:rsidRPr="00F37ED8">
        <w:rPr>
          <w:noProof/>
        </w:rPr>
        <w:t xml:space="preserve"> BOYLE, 2020)</w:t>
      </w:r>
      <w:r w:rsidR="008408AE">
        <w:fldChar w:fldCharType="end"/>
      </w:r>
      <w:commentRangeEnd w:id="1"/>
      <w:r w:rsidR="002F5E61">
        <w:rPr>
          <w:rStyle w:val="Refdecomentrio"/>
          <w:rFonts w:cs="Mangal"/>
        </w:rPr>
        <w:commentReference w:id="1"/>
      </w:r>
      <w:r w:rsidR="00D01B62">
        <w:t xml:space="preserve">. </w:t>
      </w:r>
    </w:p>
    <w:p w14:paraId="0E3ACBCD" w14:textId="197DADA4" w:rsidR="00A944CB" w:rsidRPr="003A0884" w:rsidRDefault="00BE5722" w:rsidP="000805B8">
      <w:r>
        <w:t>A popularização das finanças pessoais, assim como as recentes reduções da taxa básica de juros brasileira, estimulou</w:t>
      </w:r>
      <w:r w:rsidR="0079613F">
        <w:t xml:space="preserve"> </w:t>
      </w:r>
      <w:r w:rsidR="003B6A29">
        <w:t xml:space="preserve">os </w:t>
      </w:r>
      <w:r w:rsidR="0079613F">
        <w:t>investidores nacionais a migrarem da renda fixa</w:t>
      </w:r>
      <w:r w:rsidR="00815DEB">
        <w:t xml:space="preserve">, cujos ganhos até </w:t>
      </w:r>
      <w:r w:rsidR="00E032DC">
        <w:t>então situavam-se em</w:t>
      </w:r>
      <w:r w:rsidR="00E519F6">
        <w:t xml:space="preserve"> 10% a.a., para a renda variáveis, em especial, o mercado de ações. </w:t>
      </w:r>
    </w:p>
    <w:p w14:paraId="415C19ED" w14:textId="12BDEE83" w:rsidR="002001A3" w:rsidRDefault="002210BB" w:rsidP="00FA5A7A">
      <w:pPr>
        <w:pStyle w:val="Ttulo1"/>
      </w:pPr>
      <w:bookmarkStart w:id="2" w:name="_Toc59567637"/>
      <w:bookmarkStart w:id="3" w:name="_Toc59567712"/>
      <w:bookmarkStart w:id="4" w:name="_Toc59567866"/>
      <w:bookmarkStart w:id="5" w:name="_Toc59633604"/>
      <w:r>
        <w:t>Objetivo</w:t>
      </w:r>
      <w:bookmarkEnd w:id="2"/>
      <w:bookmarkEnd w:id="3"/>
      <w:bookmarkEnd w:id="4"/>
      <w:bookmarkEnd w:id="5"/>
    </w:p>
    <w:p w14:paraId="372D9216" w14:textId="1DD535A4" w:rsidR="00A00796" w:rsidRDefault="00A00796">
      <w:r>
        <w:t xml:space="preserve">O IAC </w:t>
      </w:r>
      <w:r w:rsidR="00BE07E7">
        <w:t xml:space="preserve">objetiva </w:t>
      </w:r>
      <w:r>
        <w:t xml:space="preserve">acompanhar o </w:t>
      </w:r>
      <w:r w:rsidR="004E298C">
        <w:t xml:space="preserve">desempenho médio das cotações das empresas cearenses que possuem capital aberto em bolsas de valores. </w:t>
      </w:r>
    </w:p>
    <w:p w14:paraId="3090D01D" w14:textId="1E8FD2A6" w:rsidR="002001A3" w:rsidRDefault="002210BB" w:rsidP="00FA5A7A">
      <w:pPr>
        <w:pStyle w:val="Ttulo1"/>
      </w:pPr>
      <w:bookmarkStart w:id="6" w:name="_Toc59567638"/>
      <w:bookmarkStart w:id="7" w:name="_Toc59567713"/>
      <w:bookmarkStart w:id="8" w:name="_Toc59567867"/>
      <w:bookmarkStart w:id="9" w:name="_Toc59633605"/>
      <w:r>
        <w:t>Tipo de Índice</w:t>
      </w:r>
      <w:bookmarkEnd w:id="6"/>
      <w:bookmarkEnd w:id="7"/>
      <w:bookmarkEnd w:id="8"/>
      <w:bookmarkEnd w:id="9"/>
    </w:p>
    <w:p w14:paraId="377740A7" w14:textId="4A56A04D" w:rsidR="002001A3" w:rsidRDefault="002210BB" w:rsidP="009B444E">
      <w:r>
        <w:t xml:space="preserve">O IAC é um índice </w:t>
      </w:r>
      <w:r w:rsidR="004D7FA3">
        <w:t xml:space="preserve">ponderado por capitalização de mercado ajustado </w:t>
      </w:r>
      <w:r w:rsidR="00B5727A">
        <w:t>ao</w:t>
      </w:r>
      <w:r w:rsidR="004D7FA3">
        <w:t xml:space="preserve"> </w:t>
      </w:r>
      <w:proofErr w:type="spellStart"/>
      <w:r w:rsidR="004D7FA3" w:rsidRPr="004D7FA3">
        <w:rPr>
          <w:i/>
          <w:iCs/>
        </w:rPr>
        <w:t>free-float</w:t>
      </w:r>
      <w:proofErr w:type="spellEnd"/>
      <w:r>
        <w:t>.</w:t>
      </w:r>
      <w:r w:rsidR="00AF777E">
        <w:t xml:space="preserve"> Est</w:t>
      </w:r>
      <w:r w:rsidR="009343E0">
        <w:t>a</w:t>
      </w:r>
      <w:r w:rsidR="000F09BB">
        <w:t xml:space="preserve"> metodologia de cálculo tem como característica a </w:t>
      </w:r>
      <w:r w:rsidR="00494C34">
        <w:t>utilização das</w:t>
      </w:r>
      <w:r w:rsidR="000F09BB">
        <w:t xml:space="preserve"> ações que estejam</w:t>
      </w:r>
      <w:r w:rsidR="00343CA0">
        <w:t xml:space="preserve"> disponíveis no mercado</w:t>
      </w:r>
      <w:r w:rsidR="00980DB6">
        <w:t xml:space="preserve">, excluindo aquelas que estejam em posse </w:t>
      </w:r>
      <w:r w:rsidR="001E0738">
        <w:t>de</w:t>
      </w:r>
      <w:r w:rsidR="00405AB3">
        <w:t xml:space="preserve"> acionistas estratégicos de longo prazo</w:t>
      </w:r>
      <w:r w:rsidR="00BA2CA5">
        <w:rPr>
          <w:rStyle w:val="Refdenotaderodap"/>
        </w:rPr>
        <w:footnoteReference w:id="2"/>
      </w:r>
      <w:r w:rsidR="002F2B8E">
        <w:t xml:space="preserve"> </w:t>
      </w:r>
      <w:r w:rsidR="002F2B8E">
        <w:lastRenderedPageBreak/>
        <w:fldChar w:fldCharType="begin" w:fldLock="1"/>
      </w:r>
      <w:r w:rsidR="002F2B8E">
        <w:instrText>ADDIN CSL_CITATION {"citationItems":[{"id":"ITEM-1","itemData":{"URL":"https://portugues.spindices.com/indices/equity/sp-500-mxn","accessed":{"date-parts":[["2020","12","23"]]},"author":[{"dropping-particle":"","family":"S&amp;P Dow Jones Indices","given":"","non-dropping-particle":"","parse-names":false,"suffix":""}],"id":"ITEM-1","issued":{"date-parts":[["2020"]]},"title":"Ajuste de índices ao free float Metodologia","type":"webpage"},"locator":"3","uris":["http://www.mendeley.com/documents/?uuid=576aa67e-e34e-4aea-b64e-fbf243c37ce4"]}],"mendeley":{"formattedCitation":"(S&amp;P DOW JONES INDICES, 2020, p. 3)","plainTextFormattedCitation":"(S&amp;P DOW JONES INDICES, 2020, p. 3)","previouslyFormattedCitation":"(S&amp;P DOW JONES INDICES, 2020, p. 3)"},"properties":{"noteIndex":0},"schema":"https://github.com/citation-style-language/schema/raw/master/csl-citation.json"}</w:instrText>
      </w:r>
      <w:r w:rsidR="002F2B8E">
        <w:fldChar w:fldCharType="separate"/>
      </w:r>
      <w:r w:rsidR="002F2B8E" w:rsidRPr="002F2B8E">
        <w:rPr>
          <w:noProof/>
        </w:rPr>
        <w:t>(S&amp;P DOW JONES INDICES, 2020, p. 3)</w:t>
      </w:r>
      <w:r w:rsidR="002F2B8E">
        <w:fldChar w:fldCharType="end"/>
      </w:r>
      <w:r w:rsidR="00343CA0">
        <w:t xml:space="preserve">. </w:t>
      </w:r>
      <w:r w:rsidR="007D190F">
        <w:t xml:space="preserve">Na ocorrência de alterações na quantidade de ações </w:t>
      </w:r>
      <w:r w:rsidR="00AF0CBB">
        <w:t xml:space="preserve">de quaisquer empresas, </w:t>
      </w:r>
    </w:p>
    <w:p w14:paraId="6E2C2B16" w14:textId="5A7F534A" w:rsidR="002001A3" w:rsidRDefault="002210BB" w:rsidP="00E61712">
      <w:pPr>
        <w:pStyle w:val="Ttulo1"/>
      </w:pPr>
      <w:bookmarkStart w:id="10" w:name="_Toc59567639"/>
      <w:bookmarkStart w:id="11" w:name="_Toc59567714"/>
      <w:bookmarkStart w:id="12" w:name="_Toc59567868"/>
      <w:bookmarkStart w:id="13" w:name="_Toc59633606"/>
      <w:r>
        <w:t>Ativos Elegíveis</w:t>
      </w:r>
      <w:bookmarkEnd w:id="10"/>
      <w:bookmarkEnd w:id="11"/>
      <w:bookmarkEnd w:id="12"/>
      <w:bookmarkEnd w:id="13"/>
    </w:p>
    <w:p w14:paraId="09BDD10E" w14:textId="5093803C" w:rsidR="002001A3" w:rsidRDefault="002210BB">
      <w:pPr>
        <w:suppressAutoHyphens w:val="0"/>
      </w:pPr>
      <w:r>
        <w:rPr>
          <w:rFonts w:eastAsia="Times New Roman"/>
          <w:kern w:val="0"/>
          <w:lang w:eastAsia="pt-BR" w:bidi="ar-SA"/>
        </w:rPr>
        <w:t xml:space="preserve">O IAC é composto exclusivamente de ações de companhias que possuem sede no estado do Ceará listadas na </w:t>
      </w:r>
      <w:r w:rsidR="00551762">
        <w:rPr>
          <w:rFonts w:eastAsia="Times New Roman"/>
          <w:kern w:val="0"/>
          <w:lang w:eastAsia="pt-BR" w:bidi="ar-SA"/>
        </w:rPr>
        <w:t>bolsa</w:t>
      </w:r>
      <w:r w:rsidR="00780BAF">
        <w:rPr>
          <w:rFonts w:eastAsia="Times New Roman"/>
          <w:kern w:val="0"/>
          <w:lang w:eastAsia="pt-BR" w:bidi="ar-SA"/>
        </w:rPr>
        <w:t xml:space="preserve"> de</w:t>
      </w:r>
      <w:r w:rsidR="00551762">
        <w:rPr>
          <w:rFonts w:eastAsia="Times New Roman"/>
          <w:kern w:val="0"/>
          <w:lang w:eastAsia="pt-BR" w:bidi="ar-SA"/>
        </w:rPr>
        <w:t xml:space="preserve"> </w:t>
      </w:r>
      <w:r w:rsidR="007A5697">
        <w:rPr>
          <w:rFonts w:eastAsia="Times New Roman"/>
          <w:kern w:val="0"/>
          <w:lang w:eastAsia="pt-BR" w:bidi="ar-SA"/>
        </w:rPr>
        <w:t xml:space="preserve">valores </w:t>
      </w:r>
      <w:r w:rsidR="00551762">
        <w:rPr>
          <w:rFonts w:eastAsia="Times New Roman"/>
          <w:kern w:val="0"/>
          <w:lang w:eastAsia="pt-BR" w:bidi="ar-SA"/>
        </w:rPr>
        <w:t>brasileira (B3) ou</w:t>
      </w:r>
      <w:r w:rsidR="00B92806">
        <w:rPr>
          <w:rFonts w:eastAsia="Times New Roman"/>
          <w:kern w:val="0"/>
          <w:lang w:eastAsia="pt-BR" w:bidi="ar-SA"/>
        </w:rPr>
        <w:t xml:space="preserve"> em bolsas de valores</w:t>
      </w:r>
      <w:r>
        <w:rPr>
          <w:rFonts w:eastAsia="Times New Roman"/>
          <w:kern w:val="0"/>
          <w:lang w:eastAsia="pt-BR" w:bidi="ar-SA"/>
        </w:rPr>
        <w:t xml:space="preserve"> </w:t>
      </w:r>
      <w:r w:rsidR="007A5697">
        <w:rPr>
          <w:rFonts w:eastAsia="Times New Roman"/>
          <w:kern w:val="0"/>
          <w:lang w:eastAsia="pt-BR" w:bidi="ar-SA"/>
        </w:rPr>
        <w:t xml:space="preserve">internacionais </w:t>
      </w:r>
      <w:r>
        <w:rPr>
          <w:rFonts w:eastAsia="Times New Roman"/>
          <w:kern w:val="0"/>
          <w:lang w:eastAsia="pt-BR" w:bidi="ar-SA"/>
        </w:rPr>
        <w:t>que atendam aos critérios de inclusão descritos a seguir.</w:t>
      </w:r>
    </w:p>
    <w:p w14:paraId="77DAA82E" w14:textId="11DA50D8" w:rsidR="009B444E" w:rsidRPr="009B444E" w:rsidRDefault="002210BB" w:rsidP="009B444E">
      <w:pPr>
        <w:suppressAutoHyphens w:val="0"/>
        <w:rPr>
          <w:rFonts w:eastAsia="Times New Roman"/>
          <w:kern w:val="0"/>
          <w:lang w:eastAsia="pt-BR" w:bidi="ar-SA"/>
        </w:rPr>
      </w:pPr>
      <w:r>
        <w:rPr>
          <w:rFonts w:eastAsia="Times New Roman"/>
          <w:kern w:val="0"/>
          <w:lang w:eastAsia="pt-BR" w:bidi="ar-SA"/>
        </w:rPr>
        <w:t xml:space="preserve">Não estão incluídos nesse universo </w:t>
      </w:r>
      <w:proofErr w:type="spellStart"/>
      <w:r>
        <w:rPr>
          <w:rFonts w:eastAsia="Times New Roman"/>
          <w:kern w:val="0"/>
          <w:lang w:eastAsia="pt-BR" w:bidi="ar-SA"/>
        </w:rPr>
        <w:t>BDRs</w:t>
      </w:r>
      <w:proofErr w:type="spellEnd"/>
      <w:r>
        <w:rPr>
          <w:rFonts w:eastAsia="Times New Roman"/>
          <w:kern w:val="0"/>
          <w:lang w:eastAsia="pt-BR" w:bidi="ar-SA"/>
        </w:rPr>
        <w:t xml:space="preserve"> </w:t>
      </w:r>
      <w:r>
        <w:rPr>
          <w:rFonts w:eastAsia="Times New Roman"/>
          <w:i/>
          <w:iCs/>
          <w:kern w:val="0"/>
          <w:lang w:eastAsia="pt-BR" w:bidi="ar-SA"/>
        </w:rPr>
        <w:t>(</w:t>
      </w:r>
      <w:proofErr w:type="spellStart"/>
      <w:r>
        <w:rPr>
          <w:rFonts w:eastAsia="Times New Roman"/>
          <w:i/>
          <w:iCs/>
          <w:kern w:val="0"/>
          <w:lang w:eastAsia="pt-BR" w:bidi="ar-SA"/>
        </w:rPr>
        <w:t>Brazilian</w:t>
      </w:r>
      <w:proofErr w:type="spellEnd"/>
      <w:r>
        <w:rPr>
          <w:rFonts w:eastAsia="Times New Roman"/>
          <w:i/>
          <w:iCs/>
          <w:kern w:val="0"/>
          <w:lang w:eastAsia="pt-BR" w:bidi="ar-SA"/>
        </w:rPr>
        <w:t xml:space="preserve"> </w:t>
      </w:r>
      <w:proofErr w:type="spellStart"/>
      <w:r>
        <w:rPr>
          <w:rFonts w:eastAsia="Times New Roman"/>
          <w:i/>
          <w:iCs/>
          <w:kern w:val="0"/>
          <w:lang w:eastAsia="pt-BR" w:bidi="ar-SA"/>
        </w:rPr>
        <w:t>Depositary</w:t>
      </w:r>
      <w:proofErr w:type="spellEnd"/>
      <w:r>
        <w:rPr>
          <w:rFonts w:eastAsia="Times New Roman"/>
          <w:i/>
          <w:iCs/>
          <w:kern w:val="0"/>
          <w:lang w:eastAsia="pt-BR" w:bidi="ar-SA"/>
        </w:rPr>
        <w:t xml:space="preserve"> </w:t>
      </w:r>
      <w:proofErr w:type="spellStart"/>
      <w:r>
        <w:rPr>
          <w:rFonts w:eastAsia="Times New Roman"/>
          <w:i/>
          <w:iCs/>
          <w:kern w:val="0"/>
          <w:lang w:eastAsia="pt-BR" w:bidi="ar-SA"/>
        </w:rPr>
        <w:t>Receipts</w:t>
      </w:r>
      <w:proofErr w:type="spellEnd"/>
      <w:r>
        <w:rPr>
          <w:rFonts w:eastAsia="Times New Roman"/>
          <w:i/>
          <w:iCs/>
          <w:kern w:val="0"/>
          <w:lang w:eastAsia="pt-BR" w:bidi="ar-SA"/>
        </w:rPr>
        <w:t>)</w:t>
      </w:r>
      <w:r>
        <w:rPr>
          <w:rFonts w:eastAsia="Times New Roman"/>
          <w:kern w:val="0"/>
          <w:lang w:eastAsia="pt-BR" w:bidi="ar-SA"/>
        </w:rPr>
        <w:t xml:space="preserve"> e ativos de companhias em recuperação judicial ou extrajudicial, regime especial de administração temporária, intervenção ou que sejam negociados em qualquer outra situação especial de listagem.</w:t>
      </w:r>
    </w:p>
    <w:p w14:paraId="38CF425D" w14:textId="4A49FF56" w:rsidR="002001A3" w:rsidRDefault="002210BB" w:rsidP="00E61712">
      <w:pPr>
        <w:pStyle w:val="Ttulo1"/>
      </w:pPr>
      <w:bookmarkStart w:id="14" w:name="_Toc59567640"/>
      <w:bookmarkStart w:id="15" w:name="_Toc59567715"/>
      <w:bookmarkStart w:id="16" w:name="_Toc59567869"/>
      <w:bookmarkStart w:id="17" w:name="_Toc59633607"/>
      <w:r>
        <w:t>Critérios para a Inclusão</w:t>
      </w:r>
      <w:bookmarkEnd w:id="14"/>
      <w:bookmarkEnd w:id="15"/>
      <w:bookmarkEnd w:id="16"/>
      <w:bookmarkEnd w:id="17"/>
    </w:p>
    <w:p w14:paraId="48C632D5" w14:textId="77777777" w:rsidR="002001A3" w:rsidRDefault="002210BB">
      <w:r>
        <w:rPr>
          <w:color w:val="000000"/>
        </w:rPr>
        <w:t>As corporações selecionadas para compor o Índice de Ações Cearenses devem atender aos critérios expostos abaixo.</w:t>
      </w:r>
    </w:p>
    <w:p w14:paraId="65E44B95" w14:textId="0125311B" w:rsidR="002001A3" w:rsidRDefault="002210BB" w:rsidP="005C3A19">
      <w:pPr>
        <w:pStyle w:val="PargrafodaLista"/>
        <w:numPr>
          <w:ilvl w:val="0"/>
          <w:numId w:val="11"/>
        </w:numPr>
      </w:pPr>
      <w:r>
        <w:t>A Empresa deverá obrigatoriamente possuir sede no Estado do Ceará;</w:t>
      </w:r>
    </w:p>
    <w:p w14:paraId="34C30409" w14:textId="6EA3951D" w:rsidR="002001A3" w:rsidRDefault="002210BB" w:rsidP="005C3A19">
      <w:pPr>
        <w:pStyle w:val="PargrafodaLista"/>
        <w:numPr>
          <w:ilvl w:val="0"/>
          <w:numId w:val="11"/>
        </w:numPr>
      </w:pPr>
      <w:r>
        <w:t>A Empresa deverá possuir capital aberto e apresentar negociações ativas;</w:t>
      </w:r>
    </w:p>
    <w:p w14:paraId="6DFA848D" w14:textId="5AB83321" w:rsidR="002001A3" w:rsidRDefault="002210BB" w:rsidP="005C3A19">
      <w:pPr>
        <w:pStyle w:val="PargrafodaLista"/>
        <w:numPr>
          <w:ilvl w:val="0"/>
          <w:numId w:val="11"/>
        </w:numPr>
      </w:pPr>
      <w:r w:rsidRPr="005C3A19">
        <w:rPr>
          <w:color w:val="000000"/>
        </w:rPr>
        <w:t>A inclusão de novas empresas no Índice ocorrerá após 10 dias úteis d</w:t>
      </w:r>
      <w:r w:rsidR="00B92806">
        <w:rPr>
          <w:color w:val="000000"/>
        </w:rPr>
        <w:t>e sua</w:t>
      </w:r>
      <w:r w:rsidRPr="005C3A19">
        <w:rPr>
          <w:color w:val="000000"/>
        </w:rPr>
        <w:t xml:space="preserve"> abertura de capital.</w:t>
      </w:r>
    </w:p>
    <w:p w14:paraId="2D79C4B1" w14:textId="2A19C890" w:rsidR="009B444E" w:rsidRPr="009B444E" w:rsidRDefault="002210BB" w:rsidP="009B444E">
      <w:pPr>
        <w:rPr>
          <w:color w:val="000000"/>
        </w:rPr>
      </w:pPr>
      <w:r>
        <w:rPr>
          <w:color w:val="000000"/>
        </w:rPr>
        <w:t xml:space="preserve">Um ativo que seja objeto de Oferta Pública realizada durante o período de vigência dos 3 meses anteriores ao </w:t>
      </w:r>
      <w:proofErr w:type="spellStart"/>
      <w:r>
        <w:rPr>
          <w:color w:val="000000"/>
        </w:rPr>
        <w:t>rebalanceamento</w:t>
      </w:r>
      <w:proofErr w:type="spellEnd"/>
      <w:r>
        <w:rPr>
          <w:color w:val="000000"/>
        </w:rPr>
        <w:t xml:space="preserve"> será elegível, desde que: </w:t>
      </w:r>
    </w:p>
    <w:p w14:paraId="01CAF10F" w14:textId="77777777" w:rsidR="002001A3" w:rsidRPr="00715709" w:rsidRDefault="002210BB" w:rsidP="005C3A19">
      <w:pPr>
        <w:pStyle w:val="NormalWeb"/>
        <w:numPr>
          <w:ilvl w:val="0"/>
          <w:numId w:val="12"/>
        </w:numPr>
        <w:spacing w:before="0" w:after="0"/>
        <w:textAlignment w:val="baseline"/>
      </w:pPr>
      <w:r w:rsidRPr="00715709">
        <w:t>Trimestralmente quando as mudanças na quantidade de ações não ultrapassar uma variação de 5%;</w:t>
      </w:r>
    </w:p>
    <w:p w14:paraId="31A945F7" w14:textId="77777777" w:rsidR="002001A3" w:rsidRPr="00715709" w:rsidRDefault="002210BB" w:rsidP="005C3A19">
      <w:pPr>
        <w:pStyle w:val="NormalWeb"/>
        <w:numPr>
          <w:ilvl w:val="0"/>
          <w:numId w:val="12"/>
        </w:numPr>
        <w:spacing w:before="0" w:after="0"/>
        <w:textAlignment w:val="baseline"/>
      </w:pPr>
      <w:r w:rsidRPr="00715709">
        <w:t xml:space="preserve">Com exceção dos seguintes acontecimentos: Eventos corporativos tal qual fechamento do capital da empresa; suspensão da negociação da empresa; </w:t>
      </w:r>
      <w:r w:rsidRPr="00715709">
        <w:rPr>
          <w:i/>
          <w:iCs/>
        </w:rPr>
        <w:t xml:space="preserve">split </w:t>
      </w:r>
      <w:r w:rsidRPr="00715709">
        <w:t xml:space="preserve">ou </w:t>
      </w:r>
      <w:proofErr w:type="spellStart"/>
      <w:r w:rsidRPr="00715709">
        <w:rPr>
          <w:i/>
          <w:iCs/>
        </w:rPr>
        <w:t>inplit</w:t>
      </w:r>
      <w:proofErr w:type="spellEnd"/>
      <w:r w:rsidRPr="00715709">
        <w:t xml:space="preserve"> da ação;</w:t>
      </w:r>
    </w:p>
    <w:p w14:paraId="514866D8" w14:textId="56957EF9" w:rsidR="002001A3" w:rsidRPr="00715709" w:rsidRDefault="002210BB" w:rsidP="005C3A19">
      <w:pPr>
        <w:pStyle w:val="NormalWeb"/>
        <w:numPr>
          <w:ilvl w:val="0"/>
          <w:numId w:val="12"/>
        </w:numPr>
        <w:spacing w:before="0" w:after="0"/>
        <w:textAlignment w:val="baseline"/>
      </w:pPr>
      <w:r w:rsidRPr="00715709">
        <w:t>A entrada ou saída de uma Empresa pertencente a composição do índice.</w:t>
      </w:r>
    </w:p>
    <w:p w14:paraId="356CCCEB" w14:textId="398DE4CD" w:rsidR="002001A3" w:rsidRDefault="002210BB" w:rsidP="009B444E">
      <w:pPr>
        <w:pStyle w:val="Ttulo1"/>
      </w:pPr>
      <w:bookmarkStart w:id="18" w:name="_Toc59567641"/>
      <w:bookmarkStart w:id="19" w:name="_Toc59567716"/>
      <w:bookmarkStart w:id="20" w:name="_Toc59567870"/>
      <w:bookmarkStart w:id="21" w:name="_Toc59633608"/>
      <w:r>
        <w:t>Critérios para a Exclusão</w:t>
      </w:r>
      <w:bookmarkEnd w:id="18"/>
      <w:bookmarkEnd w:id="19"/>
      <w:bookmarkEnd w:id="20"/>
      <w:bookmarkEnd w:id="21"/>
    </w:p>
    <w:p w14:paraId="15DD1085" w14:textId="46E49F7F" w:rsidR="002001A3" w:rsidRDefault="002210BB">
      <w:r>
        <w:t>Serão excluídos da carteira de ativos aqueles que:</w:t>
      </w:r>
    </w:p>
    <w:p w14:paraId="1C2DD75A" w14:textId="77777777" w:rsidR="002001A3" w:rsidRDefault="002210BB">
      <w:pPr>
        <w:ind w:left="709"/>
      </w:pPr>
      <w:r>
        <w:t>5.1 Descumprirem os critérios de inclusão citados acima;</w:t>
      </w:r>
    </w:p>
    <w:p w14:paraId="3BA2B84A" w14:textId="77777777" w:rsidR="002001A3" w:rsidRDefault="002210BB">
      <w:pPr>
        <w:ind w:left="709"/>
      </w:pPr>
      <w:r>
        <w:lastRenderedPageBreak/>
        <w:t>5.2 Efetuem o fechamento do capital ou suspensão das negociações;</w:t>
      </w:r>
    </w:p>
    <w:p w14:paraId="3C013F4B" w14:textId="138F6497" w:rsidR="002001A3" w:rsidRDefault="002210BB" w:rsidP="00DB6B0B">
      <w:pPr>
        <w:pStyle w:val="Ttulo1"/>
      </w:pPr>
      <w:bookmarkStart w:id="22" w:name="_Toc59567642"/>
      <w:bookmarkStart w:id="23" w:name="_Toc59567717"/>
      <w:bookmarkStart w:id="24" w:name="_Toc59567871"/>
      <w:bookmarkStart w:id="25" w:name="_Toc59633609"/>
      <w:r>
        <w:t>Critérios para a Ponderação</w:t>
      </w:r>
      <w:bookmarkEnd w:id="22"/>
      <w:bookmarkEnd w:id="23"/>
      <w:bookmarkEnd w:id="24"/>
      <w:bookmarkEnd w:id="25"/>
    </w:p>
    <w:p w14:paraId="11785B7E" w14:textId="77777777" w:rsidR="002001A3" w:rsidRDefault="002210BB">
      <w:r>
        <w:t>No IAC não serão utilizados critérios de ponderação com base no Índice de Negociabilidade (IN).</w:t>
      </w:r>
    </w:p>
    <w:p w14:paraId="1EAF2DAA" w14:textId="6274FD3F" w:rsidR="002001A3" w:rsidRDefault="002210BB">
      <w:r>
        <w:t xml:space="preserve">Ressalta-se que os ativos são ponderados pelo preço de fechamento da ação e que é utilizado o </w:t>
      </w:r>
      <w:proofErr w:type="spellStart"/>
      <w:r>
        <w:rPr>
          <w:i/>
          <w:iCs/>
        </w:rPr>
        <w:t>Free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Float</w:t>
      </w:r>
      <w:proofErr w:type="spellEnd"/>
      <w:r>
        <w:rPr>
          <w:i/>
          <w:iCs/>
        </w:rPr>
        <w:t xml:space="preserve">, </w:t>
      </w:r>
      <w:r>
        <w:rPr>
          <w:color w:val="000000"/>
        </w:rPr>
        <w:t>no qual representa aquelas ações que estão em posse do mercado</w:t>
      </w:r>
      <w:r w:rsidR="00067A80">
        <w:rPr>
          <w:color w:val="000000"/>
        </w:rPr>
        <w:t xml:space="preserve"> e,</w:t>
      </w:r>
      <w:r>
        <w:rPr>
          <w:color w:val="000000"/>
        </w:rPr>
        <w:t xml:space="preserve"> portanto, são negociadas livremente através da bolsa. </w:t>
      </w:r>
    </w:p>
    <w:p w14:paraId="233168C7" w14:textId="77777777" w:rsidR="002001A3" w:rsidRDefault="002210BB">
      <w:r>
        <w:t>Para as Empresas listas em moeda estrangeira, foi definida a utilização do dólar de fechamento aliado com a premissa do preço da ação, fazendo a conversão simples (caso, empresa Arco). Além disto, nos dias em que não foram apuradas as cotações do câmbio, repetiu-se a cotação do dia anterior.</w:t>
      </w:r>
    </w:p>
    <w:p w14:paraId="0187DB38" w14:textId="77777777" w:rsidR="002001A3" w:rsidRDefault="002210BB">
      <w:r>
        <w:t xml:space="preserve">Ademais, foram retiradas da base as datas comemorativas nacionais. Como: dia 12 de outubro – Dia de Nossa Senhora Aparecida. Todavia, as datas comemorativas internacionais não foram retiradas. Nesse caso, foram repetidas as informações do dia anterior. Por exemplo: Dia de Ação de Graças nos Estados Unidos. </w:t>
      </w:r>
    </w:p>
    <w:p w14:paraId="78491B95" w14:textId="77777777" w:rsidR="002001A3" w:rsidRDefault="002210BB">
      <w:r>
        <w:t xml:space="preserve">No tocante a definição dos pesos, foi selecionada a realização de um </w:t>
      </w:r>
      <w:proofErr w:type="spellStart"/>
      <w:r>
        <w:rPr>
          <w:i/>
          <w:iCs/>
        </w:rPr>
        <w:t>backtest</w:t>
      </w:r>
      <w:proofErr w:type="spellEnd"/>
      <w:r>
        <w:t xml:space="preserve"> acompanhando os seguintes parâmetros:</w:t>
      </w:r>
    </w:p>
    <w:p w14:paraId="40AE9463" w14:textId="77777777" w:rsidR="002001A3" w:rsidRDefault="002210BB">
      <w:pPr>
        <w:numPr>
          <w:ilvl w:val="0"/>
          <w:numId w:val="2"/>
        </w:numPr>
      </w:pPr>
      <w:r>
        <w:t>Volume negociado por 12 meses cumulativos, efetuando a soma e a ponderação, verificando assim quanto cada uma representa do volume total;</w:t>
      </w:r>
    </w:p>
    <w:p w14:paraId="294B0ED8" w14:textId="77777777" w:rsidR="002001A3" w:rsidRDefault="002210BB">
      <w:pPr>
        <w:numPr>
          <w:ilvl w:val="0"/>
          <w:numId w:val="2"/>
        </w:numPr>
      </w:pPr>
      <w:r>
        <w:t>Em casos especiais, volume negociado por 12 meses cumulativos, efetuando a soma e a ponderação, todavia, aplicando um peso mínimo de 5% para a empresa que atingir um volume menor do que este estipulado.</w:t>
      </w:r>
    </w:p>
    <w:p w14:paraId="76E66C35" w14:textId="4194D83B" w:rsidR="002001A3" w:rsidRDefault="002210BB" w:rsidP="00DB6B0B">
      <w:pPr>
        <w:pStyle w:val="Ttulo1"/>
      </w:pPr>
      <w:bookmarkStart w:id="26" w:name="_Toc59567643"/>
      <w:bookmarkStart w:id="27" w:name="_Toc59567718"/>
      <w:bookmarkStart w:id="28" w:name="_Toc59567872"/>
      <w:bookmarkStart w:id="29" w:name="_Toc59633610"/>
      <w:r>
        <w:t>Métricas</w:t>
      </w:r>
      <w:bookmarkEnd w:id="26"/>
      <w:bookmarkEnd w:id="27"/>
      <w:bookmarkEnd w:id="28"/>
      <w:bookmarkEnd w:id="29"/>
    </w:p>
    <w:p w14:paraId="172CF59A" w14:textId="49D4780F" w:rsidR="002001A3" w:rsidRDefault="002210BB">
      <w:r>
        <w:t xml:space="preserve">Para apuração do IAC, em sua composição, é utilizado o Índice Ponderado por Capitalização de Mercado ajustado pelo </w:t>
      </w:r>
      <w:proofErr w:type="spellStart"/>
      <w:r>
        <w:rPr>
          <w:i/>
          <w:iCs/>
        </w:rPr>
        <w:t>free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float</w:t>
      </w:r>
      <w:proofErr w:type="spellEnd"/>
      <w:r>
        <w:t xml:space="preserve">., no qual tange o somatório do </w:t>
      </w:r>
      <w:r w:rsidR="000B2204">
        <w:t>produto simples</w:t>
      </w:r>
      <w:r>
        <w:t xml:space="preserve"> entre as variáveis preço</w:t>
      </w:r>
      <w:r w:rsidR="00F453D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453DA">
        <w:t>)</w:t>
      </w:r>
      <w:r>
        <w:t xml:space="preserve"> pela quantidade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) divido pelo divisor </w:t>
      </w:r>
      <w:r w:rsidR="002F5E61">
        <w:rPr>
          <w:position w:val="-1"/>
        </w:rPr>
        <w:pict w14:anchorId="46727E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.5pt;height:13.75pt" filled="t">
            <v:fill color2="black"/>
            <v:imagedata r:id="rId14" o:title=""/>
          </v:shape>
        </w:pict>
      </w:r>
      <w:r>
        <w:t xml:space="preserve"> como objeto de análise e cálculo para formação do número índice.</w:t>
      </w:r>
    </w:p>
    <w:p w14:paraId="73C8606F" w14:textId="04EA8B70" w:rsidR="002001A3" w:rsidRDefault="002210BB">
      <w:r>
        <w:t>Com base no exposto, segue abaixo a fórmula empregada:</w:t>
      </w: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3"/>
        <w:gridCol w:w="7052"/>
        <w:gridCol w:w="1406"/>
      </w:tblGrid>
      <w:tr w:rsidR="00045D8A" w14:paraId="70E348FD" w14:textId="77777777" w:rsidTr="00DC02AB">
        <w:tc>
          <w:tcPr>
            <w:tcW w:w="338" w:type="pct"/>
            <w:vAlign w:val="center"/>
          </w:tcPr>
          <w:p w14:paraId="4BD32A53" w14:textId="77777777" w:rsidR="00045D8A" w:rsidRDefault="00045D8A" w:rsidP="00045D8A">
            <w:pPr>
              <w:ind w:firstLine="0"/>
              <w:jc w:val="center"/>
            </w:pPr>
          </w:p>
        </w:tc>
        <w:tc>
          <w:tcPr>
            <w:tcW w:w="3887" w:type="pct"/>
            <w:vAlign w:val="center"/>
          </w:tcPr>
          <w:p w14:paraId="7F0B931B" w14:textId="07E109B8" w:rsidR="00045D8A" w:rsidRDefault="00E164B5" w:rsidP="00045D8A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Índice=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α</m:t>
                    </m:r>
                  </m:den>
                </m:f>
              </m:oMath>
            </m:oMathPara>
          </w:p>
        </w:tc>
        <w:tc>
          <w:tcPr>
            <w:tcW w:w="776" w:type="pct"/>
            <w:vAlign w:val="center"/>
          </w:tcPr>
          <w:p w14:paraId="7A1774A8" w14:textId="0EE4F841" w:rsidR="00045D8A" w:rsidRDefault="00DC02AB" w:rsidP="00045D8A">
            <w:pPr>
              <w:ind w:firstLine="0"/>
              <w:jc w:val="right"/>
            </w:pPr>
            <w:r>
              <w:t>(</w:t>
            </w:r>
            <w:fldSimple w:instr=" SEQ Equação \* ARABIC ">
              <w:r w:rsidR="00E164B5">
                <w:rPr>
                  <w:noProof/>
                </w:rPr>
                <w:t>1</w:t>
              </w:r>
            </w:fldSimple>
            <w:r>
              <w:t>)</w:t>
            </w:r>
          </w:p>
        </w:tc>
      </w:tr>
    </w:tbl>
    <w:p w14:paraId="4E76E11B" w14:textId="661536C0" w:rsidR="002001A3" w:rsidRDefault="002210BB" w:rsidP="00A91ACD">
      <w:r>
        <w:t>Ademais, O divisor (</w:t>
      </w:r>
      <m:oMath>
        <m:r>
          <w:rPr>
            <w:rFonts w:ascii="Cambria Math" w:hAnsi="Cambria Math"/>
          </w:rPr>
          <m:t>α</m:t>
        </m:r>
      </m:oMath>
      <w:r>
        <w:t>) serve para manter o nível do índice quando ocorrer qualquer mudança na quantidade de ações que altere o valor de mercado do índice.</w:t>
      </w:r>
    </w:p>
    <w:p w14:paraId="4A2DD2AB" w14:textId="2FD6AFDC" w:rsidR="002001A3" w:rsidRDefault="002210BB" w:rsidP="00A91ACD">
      <w:pPr>
        <w:pStyle w:val="Ttulo1"/>
      </w:pPr>
      <w:bookmarkStart w:id="30" w:name="_Toc59567644"/>
      <w:bookmarkStart w:id="31" w:name="_Toc59567719"/>
      <w:bookmarkStart w:id="32" w:name="_Toc59567873"/>
      <w:bookmarkStart w:id="33" w:name="_Toc59633611"/>
      <w:r>
        <w:t>Empresas pertencentes ao índice</w:t>
      </w:r>
      <w:bookmarkEnd w:id="30"/>
      <w:bookmarkEnd w:id="31"/>
      <w:bookmarkEnd w:id="32"/>
      <w:bookmarkEnd w:id="33"/>
    </w:p>
    <w:p w14:paraId="6E1FC64C" w14:textId="77777777" w:rsidR="002001A3" w:rsidRDefault="002210BB">
      <w:r>
        <w:t>As Empresas pertencentes a composição inicial do Índice de Ações Cearenses, nos quais estão em concordância com os critérios estabelecidos nesta metodologia são:</w:t>
      </w:r>
    </w:p>
    <w:p w14:paraId="33459F13" w14:textId="77777777" w:rsidR="002001A3" w:rsidRDefault="002210BB">
      <w:pPr>
        <w:numPr>
          <w:ilvl w:val="0"/>
          <w:numId w:val="3"/>
        </w:numPr>
      </w:pPr>
      <w:r>
        <w:t>Arco Educação: Esta Corporação teve início de suas negociações no dia 26 de Setembro de 2018 na Bolsa de Valores Americana NASDAQ, sob o código ARCE.</w:t>
      </w:r>
    </w:p>
    <w:p w14:paraId="0D52EBD4" w14:textId="77777777" w:rsidR="002001A3" w:rsidRDefault="002210BB">
      <w:pPr>
        <w:numPr>
          <w:ilvl w:val="0"/>
          <w:numId w:val="3"/>
        </w:numPr>
      </w:pPr>
      <w:r>
        <w:t>Banco do Nordeste: Esta Entidade teve início de suas negociações na B3 dia 20 de julho de 1977, perante o código BNBR3, sendo a empresa cearense pioneira com registro de IPO.</w:t>
      </w:r>
    </w:p>
    <w:p w14:paraId="173DA81C" w14:textId="77777777" w:rsidR="002001A3" w:rsidRDefault="002210BB">
      <w:pPr>
        <w:numPr>
          <w:ilvl w:val="0"/>
          <w:numId w:val="3"/>
        </w:numPr>
      </w:pPr>
      <w:r>
        <w:t>Coelce: Suas negociações iniciaram no dia 13 de Junho de 1995 na B3, perante o código COCE3, sendo uma das empresas cearenses mais antigas com registro de IPO.</w:t>
      </w:r>
    </w:p>
    <w:p w14:paraId="12E23B00" w14:textId="77777777" w:rsidR="002001A3" w:rsidRDefault="002210BB">
      <w:pPr>
        <w:numPr>
          <w:ilvl w:val="0"/>
          <w:numId w:val="3"/>
        </w:numPr>
      </w:pPr>
      <w:r>
        <w:t>Grendene: O início de suas negociações aconteceu no dia 29 de Outubro de 2004 no segmento especial Novo Mercado na B3, perante o código GRND3.</w:t>
      </w:r>
    </w:p>
    <w:p w14:paraId="3043CB12" w14:textId="77777777" w:rsidR="002001A3" w:rsidRDefault="002210BB">
      <w:pPr>
        <w:numPr>
          <w:ilvl w:val="0"/>
          <w:numId w:val="3"/>
        </w:numPr>
      </w:pPr>
      <w:proofErr w:type="spellStart"/>
      <w:r>
        <w:t>Hapvida</w:t>
      </w:r>
      <w:proofErr w:type="spellEnd"/>
      <w:r>
        <w:t>: Esta Companhia teve registro de capital aberto em 20 de abril de 2018, passando a iniciar suas negociações no dia 25 de abril de 2018, no segmento especial Novo Mercado na B3, de acordo com o código HAPV3.</w:t>
      </w:r>
    </w:p>
    <w:p w14:paraId="2332D5FA" w14:textId="77777777" w:rsidR="002001A3" w:rsidRDefault="002210BB">
      <w:pPr>
        <w:numPr>
          <w:ilvl w:val="0"/>
          <w:numId w:val="3"/>
        </w:numPr>
      </w:pPr>
      <w:r>
        <w:t>M. Dias Branco: O prelúdio de suas negociações ocorreu na Bolsa de Valores de 2006, no segmento especial Novo Mercado na B3, utilizando o código MDIAS3.</w:t>
      </w:r>
    </w:p>
    <w:p w14:paraId="056F8080" w14:textId="77777777" w:rsidR="002001A3" w:rsidRDefault="002210BB">
      <w:pPr>
        <w:numPr>
          <w:ilvl w:val="0"/>
          <w:numId w:val="3"/>
        </w:numPr>
      </w:pPr>
      <w:r>
        <w:t>Pague Menos: As negociações desta Empresa foram iniciadas no dia 03 de Setembro de 2019, no segmento especial Novo Mercado na B3, perante o código PGMN3.</w:t>
      </w:r>
    </w:p>
    <w:p w14:paraId="44A922FA" w14:textId="1EAC5678" w:rsidR="002001A3" w:rsidRPr="005B344A" w:rsidRDefault="002210BB">
      <w:pPr>
        <w:numPr>
          <w:ilvl w:val="0"/>
          <w:numId w:val="3"/>
        </w:numPr>
      </w:pPr>
      <w:proofErr w:type="spellStart"/>
      <w:r>
        <w:rPr>
          <w:color w:val="000000"/>
        </w:rPr>
        <w:t>Aeris</w:t>
      </w:r>
      <w:proofErr w:type="spellEnd"/>
      <w:r>
        <w:rPr>
          <w:color w:val="000000"/>
        </w:rPr>
        <w:t>: Esta Entidade teve o registro de IPO no dia 11 de novembro de 2020 no segmento especial Novo Mercado na B3, sob o código AERI3, sendo a corporação cearense mais recente a iniciar suas negociações.</w:t>
      </w:r>
    </w:p>
    <w:p w14:paraId="7EEA199D" w14:textId="77777777" w:rsidR="005B344A" w:rsidRDefault="005B344A" w:rsidP="005B344A">
      <w:pPr>
        <w:ind w:left="720" w:firstLine="0"/>
        <w:sectPr w:rsidR="005B344A" w:rsidSect="00E47213">
          <w:pgSz w:w="11906" w:h="16838"/>
          <w:pgMar w:top="1701" w:right="1134" w:bottom="1134" w:left="1701" w:header="720" w:footer="720" w:gutter="0"/>
          <w:cols w:space="720"/>
          <w:docGrid w:linePitch="600" w:charSpace="32768"/>
        </w:sectPr>
      </w:pPr>
    </w:p>
    <w:p w14:paraId="547E0F50" w14:textId="3C921F89" w:rsidR="005B344A" w:rsidRDefault="000C2517" w:rsidP="000C2517">
      <w:pPr>
        <w:pStyle w:val="TtulodasReferncias"/>
      </w:pPr>
      <w:bookmarkStart w:id="34" w:name="_Toc59633612"/>
      <w:r>
        <w:lastRenderedPageBreak/>
        <w:t>Referências</w:t>
      </w:r>
      <w:bookmarkEnd w:id="34"/>
    </w:p>
    <w:p w14:paraId="098B4F87" w14:textId="1E181749" w:rsidR="00CC6AF1" w:rsidRPr="00CC6AF1" w:rsidRDefault="000C2517" w:rsidP="00CC6AF1">
      <w:pPr>
        <w:pStyle w:val="RefernciaBibliogrfica"/>
        <w:rPr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="00CC6AF1" w:rsidRPr="00CC6AF1">
        <w:rPr>
          <w:noProof/>
        </w:rPr>
        <w:t xml:space="preserve">KENTON, W.; BOYLE, M. J. </w:t>
      </w:r>
      <w:r w:rsidR="00CC6AF1" w:rsidRPr="00CC6AF1">
        <w:rPr>
          <w:b/>
          <w:bCs/>
          <w:noProof/>
        </w:rPr>
        <w:t>S&amp;P 500 Index – Standard &amp; Poor’s 500 Index Definition</w:t>
      </w:r>
      <w:r w:rsidR="00CC6AF1" w:rsidRPr="00CC6AF1">
        <w:rPr>
          <w:noProof/>
        </w:rPr>
        <w:t xml:space="preserve">. Disponível em: &lt;https://www.investopedia.com/terms/s/sp500.asp&gt;. Acesso em: 23 dez. 2020. </w:t>
      </w:r>
    </w:p>
    <w:p w14:paraId="40769E26" w14:textId="77777777" w:rsidR="00CC6AF1" w:rsidRPr="00CC6AF1" w:rsidRDefault="00CC6AF1" w:rsidP="00CC6AF1">
      <w:pPr>
        <w:pStyle w:val="RefernciaBibliogrfica"/>
        <w:rPr>
          <w:noProof/>
        </w:rPr>
      </w:pPr>
      <w:r w:rsidRPr="00CC6AF1">
        <w:rPr>
          <w:noProof/>
        </w:rPr>
        <w:t xml:space="preserve">S&amp;P DOW JONES INDICES. </w:t>
      </w:r>
      <w:r w:rsidRPr="00CC6AF1">
        <w:rPr>
          <w:b/>
          <w:bCs/>
          <w:noProof/>
        </w:rPr>
        <w:t>Ajuste de índices ao free float Metodologia</w:t>
      </w:r>
      <w:r w:rsidRPr="00CC6AF1">
        <w:rPr>
          <w:noProof/>
        </w:rPr>
        <w:t xml:space="preserve">. Disponível em: &lt;https://portugues.spindices.com/indices/equity/sp-500-mxn&gt;. Acesso em: 23 dez. 2020. </w:t>
      </w:r>
    </w:p>
    <w:p w14:paraId="7EEE9259" w14:textId="16476A97" w:rsidR="000C2517" w:rsidRDefault="000C2517" w:rsidP="00CC6AF1">
      <w:pPr>
        <w:pStyle w:val="RefernciaBibliogrfica"/>
      </w:pPr>
      <w:r>
        <w:fldChar w:fldCharType="end"/>
      </w:r>
    </w:p>
    <w:sectPr w:rsidR="000C2517" w:rsidSect="00E47213">
      <w:pgSz w:w="11906" w:h="16838"/>
      <w:pgMar w:top="1701" w:right="1134" w:bottom="1134" w:left="1701" w:header="720" w:footer="720" w:gutter="0"/>
      <w:cols w:space="720"/>
      <w:docGrid w:linePitch="600" w:charSpace="3276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Alysson Oliveira" w:date="2021-02-16T16:33:00Z" w:initials="AO">
    <w:p w14:paraId="0132F23C" w14:textId="1A83A3D1" w:rsidR="002F5E61" w:rsidRDefault="002F5E61">
      <w:pPr>
        <w:pStyle w:val="Textodecomentrio"/>
      </w:pPr>
      <w:r>
        <w:rPr>
          <w:rStyle w:val="Refdecoment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132F23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D6725C" w16cex:dateUtc="2021-02-16T19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132F23C" w16cid:durableId="23D6725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8F470E" w14:textId="77777777" w:rsidR="00444972" w:rsidRDefault="00444972" w:rsidP="009158C7">
      <w:pPr>
        <w:spacing w:before="0" w:after="0" w:line="240" w:lineRule="auto"/>
      </w:pPr>
      <w:r>
        <w:separator/>
      </w:r>
    </w:p>
  </w:endnote>
  <w:endnote w:type="continuationSeparator" w:id="0">
    <w:p w14:paraId="24D8433A" w14:textId="77777777" w:rsidR="00444972" w:rsidRDefault="00444972" w:rsidP="009158C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98A67" w14:textId="77777777" w:rsidR="000510F1" w:rsidRDefault="000510F1" w:rsidP="000510F1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B8E887" w14:textId="77777777" w:rsidR="00444972" w:rsidRDefault="00444972" w:rsidP="00F85061">
      <w:pPr>
        <w:spacing w:after="0" w:afterAutospacing="0" w:line="240" w:lineRule="auto"/>
        <w:ind w:firstLine="0"/>
        <w:jc w:val="left"/>
      </w:pPr>
      <w:r>
        <w:separator/>
      </w:r>
    </w:p>
  </w:footnote>
  <w:footnote w:type="continuationSeparator" w:id="0">
    <w:p w14:paraId="39ABC1B5" w14:textId="77777777" w:rsidR="00444972" w:rsidRPr="007B48A2" w:rsidRDefault="00444972" w:rsidP="007B48A2">
      <w:pPr>
        <w:spacing w:line="240" w:lineRule="auto"/>
        <w:ind w:firstLine="0"/>
        <w:rPr>
          <w:sz w:val="20"/>
          <w:szCs w:val="20"/>
        </w:rPr>
      </w:pPr>
      <w:r>
        <w:continuationSeparator/>
      </w:r>
    </w:p>
  </w:footnote>
  <w:footnote w:id="1">
    <w:p w14:paraId="48787897" w14:textId="66BC0679" w:rsidR="00514380" w:rsidRPr="00B501F3" w:rsidRDefault="00514380" w:rsidP="00F85061">
      <w:pPr>
        <w:pStyle w:val="Textodenotaderodap"/>
      </w:pPr>
      <w:r w:rsidRPr="00B501F3">
        <w:rPr>
          <w:rStyle w:val="Refdenotaderodap"/>
          <w:vertAlign w:val="baseline"/>
        </w:rPr>
        <w:footnoteRef/>
      </w:r>
      <w:r w:rsidRPr="00B501F3">
        <w:t xml:space="preserve"> Quantidade de ações disponíveis para negociação que não estejam em posse</w:t>
      </w:r>
      <w:r w:rsidR="008E23E5" w:rsidRPr="00B501F3">
        <w:t xml:space="preserve"> de investidores institucionais ou entidades governamentais.</w:t>
      </w:r>
    </w:p>
  </w:footnote>
  <w:footnote w:id="2">
    <w:p w14:paraId="1C359C0F" w14:textId="2352C26D" w:rsidR="00BA2CA5" w:rsidRPr="00B501F3" w:rsidRDefault="00BA2CA5" w:rsidP="00B501F3">
      <w:pPr>
        <w:pStyle w:val="Textodenotaderodap"/>
      </w:pPr>
      <w:r w:rsidRPr="00B501F3">
        <w:rPr>
          <w:rStyle w:val="Refdenotaderodap"/>
          <w:vertAlign w:val="baseline"/>
        </w:rPr>
        <w:footnoteRef/>
      </w:r>
      <w:r w:rsidRPr="00B501F3">
        <w:t xml:space="preserve"> </w:t>
      </w:r>
      <w:r w:rsidR="00962A89" w:rsidRPr="00B501F3">
        <w:t xml:space="preserve">Acionistas estratégicos de longo prazo são aqueles cujas participações são consideradas como indisponíveis no mercado e </w:t>
      </w:r>
      <w:r w:rsidR="00216BAE" w:rsidRPr="00B501F3">
        <w:t xml:space="preserve">sua principal característica </w:t>
      </w:r>
      <w:r w:rsidR="00911CE2" w:rsidRPr="00B501F3">
        <w:t xml:space="preserve">é </w:t>
      </w:r>
      <w:r w:rsidR="008305DC">
        <w:t xml:space="preserve">em muitas vezes </w:t>
      </w:r>
      <w:r w:rsidR="00911CE2" w:rsidRPr="00B501F3">
        <w:t>manter o controle em detrimento do sucesso econômico.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color w:val="000000"/>
        <w:sz w:val="22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>
        <w:rFonts w:ascii="Arial" w:hAnsi="Arial" w:cs="Arial" w:hint="default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1D444F8"/>
    <w:multiLevelType w:val="multilevel"/>
    <w:tmpl w:val="1E0E73B0"/>
    <w:lvl w:ilvl="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1A4E61DB"/>
    <w:multiLevelType w:val="multilevel"/>
    <w:tmpl w:val="EE7833D8"/>
    <w:lvl w:ilvl="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31485D24"/>
    <w:multiLevelType w:val="hybridMultilevel"/>
    <w:tmpl w:val="FA1EE5E2"/>
    <w:lvl w:ilvl="0" w:tplc="00000001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211B85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D3255D9"/>
    <w:multiLevelType w:val="multilevel"/>
    <w:tmpl w:val="5BEE3A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5523567D"/>
    <w:multiLevelType w:val="multilevel"/>
    <w:tmpl w:val="1B7E0CE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0" w15:restartNumberingAfterBreak="0">
    <w:nsid w:val="55BC5D31"/>
    <w:multiLevelType w:val="hybridMultilevel"/>
    <w:tmpl w:val="E9E4681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BCA4C82"/>
    <w:multiLevelType w:val="multilevel"/>
    <w:tmpl w:val="EE7833D8"/>
    <w:lvl w:ilvl="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10"/>
  </w:num>
  <w:num w:numId="7">
    <w:abstractNumId w:val="9"/>
  </w:num>
  <w:num w:numId="8">
    <w:abstractNumId w:val="5"/>
  </w:num>
  <w:num w:numId="9">
    <w:abstractNumId w:val="11"/>
  </w:num>
  <w:num w:numId="10">
    <w:abstractNumId w:val="4"/>
  </w:num>
  <w:num w:numId="11">
    <w:abstractNumId w:val="8"/>
  </w:num>
  <w:num w:numId="12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lysson Oliveira">
    <w15:presenceInfo w15:providerId="Windows Live" w15:userId="a548da2118d253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embedSystemFonts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204"/>
    <w:rsid w:val="000021DD"/>
    <w:rsid w:val="000227DB"/>
    <w:rsid w:val="00045D8A"/>
    <w:rsid w:val="000510F1"/>
    <w:rsid w:val="00067A80"/>
    <w:rsid w:val="000805B8"/>
    <w:rsid w:val="00082CEA"/>
    <w:rsid w:val="000B2204"/>
    <w:rsid w:val="000C2517"/>
    <w:rsid w:val="000D0DB6"/>
    <w:rsid w:val="000F09BB"/>
    <w:rsid w:val="001302DD"/>
    <w:rsid w:val="00131E9B"/>
    <w:rsid w:val="00147ECD"/>
    <w:rsid w:val="00150E48"/>
    <w:rsid w:val="00176398"/>
    <w:rsid w:val="001957D9"/>
    <w:rsid w:val="001A3DAD"/>
    <w:rsid w:val="001E0738"/>
    <w:rsid w:val="002001A3"/>
    <w:rsid w:val="00216BAE"/>
    <w:rsid w:val="002210BB"/>
    <w:rsid w:val="002733EE"/>
    <w:rsid w:val="002B328C"/>
    <w:rsid w:val="002F2B8E"/>
    <w:rsid w:val="002F5E61"/>
    <w:rsid w:val="003178A7"/>
    <w:rsid w:val="00324499"/>
    <w:rsid w:val="00343CA0"/>
    <w:rsid w:val="00351322"/>
    <w:rsid w:val="003579FB"/>
    <w:rsid w:val="00361297"/>
    <w:rsid w:val="00361ACF"/>
    <w:rsid w:val="00380C35"/>
    <w:rsid w:val="00381B10"/>
    <w:rsid w:val="003A0884"/>
    <w:rsid w:val="003A0B31"/>
    <w:rsid w:val="003B6A29"/>
    <w:rsid w:val="003B7B2A"/>
    <w:rsid w:val="003F7864"/>
    <w:rsid w:val="00405AB3"/>
    <w:rsid w:val="00426C16"/>
    <w:rsid w:val="00444972"/>
    <w:rsid w:val="004510EA"/>
    <w:rsid w:val="00472AEB"/>
    <w:rsid w:val="00485096"/>
    <w:rsid w:val="00490C1E"/>
    <w:rsid w:val="004930F4"/>
    <w:rsid w:val="00493E72"/>
    <w:rsid w:val="00494C34"/>
    <w:rsid w:val="004D7FA3"/>
    <w:rsid w:val="004E298C"/>
    <w:rsid w:val="004E3977"/>
    <w:rsid w:val="004F5EC6"/>
    <w:rsid w:val="0050088C"/>
    <w:rsid w:val="00505EA3"/>
    <w:rsid w:val="00514380"/>
    <w:rsid w:val="00551762"/>
    <w:rsid w:val="00553B6B"/>
    <w:rsid w:val="00580FA2"/>
    <w:rsid w:val="005B344A"/>
    <w:rsid w:val="005C3A19"/>
    <w:rsid w:val="00645CFA"/>
    <w:rsid w:val="006B2553"/>
    <w:rsid w:val="006D13CB"/>
    <w:rsid w:val="006D7143"/>
    <w:rsid w:val="00715709"/>
    <w:rsid w:val="00752592"/>
    <w:rsid w:val="00764C5E"/>
    <w:rsid w:val="007670FB"/>
    <w:rsid w:val="00775161"/>
    <w:rsid w:val="00780BAF"/>
    <w:rsid w:val="0079613F"/>
    <w:rsid w:val="007A5697"/>
    <w:rsid w:val="007A77E6"/>
    <w:rsid w:val="007B48A2"/>
    <w:rsid w:val="007B738E"/>
    <w:rsid w:val="007C75FF"/>
    <w:rsid w:val="007D190F"/>
    <w:rsid w:val="007D5D7E"/>
    <w:rsid w:val="00815DEB"/>
    <w:rsid w:val="008305DC"/>
    <w:rsid w:val="008408AE"/>
    <w:rsid w:val="00841CEF"/>
    <w:rsid w:val="00846BC8"/>
    <w:rsid w:val="00861766"/>
    <w:rsid w:val="00871473"/>
    <w:rsid w:val="00883283"/>
    <w:rsid w:val="008B2E22"/>
    <w:rsid w:val="008E23E5"/>
    <w:rsid w:val="008E457E"/>
    <w:rsid w:val="00900199"/>
    <w:rsid w:val="00911CE2"/>
    <w:rsid w:val="0091300C"/>
    <w:rsid w:val="009158C7"/>
    <w:rsid w:val="009343E0"/>
    <w:rsid w:val="00962A89"/>
    <w:rsid w:val="009739CB"/>
    <w:rsid w:val="00980DB6"/>
    <w:rsid w:val="009944E4"/>
    <w:rsid w:val="009B444E"/>
    <w:rsid w:val="009B61F3"/>
    <w:rsid w:val="009B7AE1"/>
    <w:rsid w:val="00A00796"/>
    <w:rsid w:val="00A26AC4"/>
    <w:rsid w:val="00A8564E"/>
    <w:rsid w:val="00A91ACD"/>
    <w:rsid w:val="00A944CB"/>
    <w:rsid w:val="00AE73E8"/>
    <w:rsid w:val="00AF0CBB"/>
    <w:rsid w:val="00AF3870"/>
    <w:rsid w:val="00AF73C1"/>
    <w:rsid w:val="00AF777E"/>
    <w:rsid w:val="00B00558"/>
    <w:rsid w:val="00B23B5C"/>
    <w:rsid w:val="00B501F3"/>
    <w:rsid w:val="00B5727A"/>
    <w:rsid w:val="00B92806"/>
    <w:rsid w:val="00BA2CA5"/>
    <w:rsid w:val="00BB1DF1"/>
    <w:rsid w:val="00BE07E7"/>
    <w:rsid w:val="00BE5722"/>
    <w:rsid w:val="00BF0379"/>
    <w:rsid w:val="00C062D1"/>
    <w:rsid w:val="00C716CB"/>
    <w:rsid w:val="00C71EC0"/>
    <w:rsid w:val="00C83005"/>
    <w:rsid w:val="00C84902"/>
    <w:rsid w:val="00C93389"/>
    <w:rsid w:val="00CC6AF1"/>
    <w:rsid w:val="00CF4B9F"/>
    <w:rsid w:val="00D01B62"/>
    <w:rsid w:val="00D142F0"/>
    <w:rsid w:val="00D145E8"/>
    <w:rsid w:val="00D569C3"/>
    <w:rsid w:val="00D62EC8"/>
    <w:rsid w:val="00D768EE"/>
    <w:rsid w:val="00DA37BF"/>
    <w:rsid w:val="00DB6B0B"/>
    <w:rsid w:val="00DC02AB"/>
    <w:rsid w:val="00DD19E9"/>
    <w:rsid w:val="00DD5BD7"/>
    <w:rsid w:val="00DD6F5F"/>
    <w:rsid w:val="00E032DC"/>
    <w:rsid w:val="00E164B5"/>
    <w:rsid w:val="00E17FA9"/>
    <w:rsid w:val="00E47213"/>
    <w:rsid w:val="00E519F6"/>
    <w:rsid w:val="00E61712"/>
    <w:rsid w:val="00F16060"/>
    <w:rsid w:val="00F2671F"/>
    <w:rsid w:val="00F2731D"/>
    <w:rsid w:val="00F37ED8"/>
    <w:rsid w:val="00F453DA"/>
    <w:rsid w:val="00F539F3"/>
    <w:rsid w:val="00F85061"/>
    <w:rsid w:val="00FA0C46"/>
    <w:rsid w:val="00FA5A7A"/>
    <w:rsid w:val="00FA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oNotEmbedSmartTags/>
  <w:decimalSymbol w:val=","/>
  <w:listSeparator w:val=";"/>
  <w14:docId w14:val="6855030C"/>
  <w15:chartTrackingRefBased/>
  <w15:docId w15:val="{79113EFF-0C8B-480B-BE51-E18B4932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A2"/>
    <w:pPr>
      <w:suppressAutoHyphens/>
      <w:spacing w:before="100" w:beforeAutospacing="1" w:after="100" w:afterAutospacing="1" w:line="360" w:lineRule="auto"/>
      <w:ind w:firstLine="709"/>
      <w:jc w:val="both"/>
    </w:pPr>
    <w:rPr>
      <w:rFonts w:eastAsia="NSimSun" w:cs="Arial"/>
      <w:kern w:val="2"/>
      <w:sz w:val="24"/>
      <w:szCs w:val="24"/>
      <w:lang w:eastAsia="zh-CN" w:bidi="hi-IN"/>
    </w:rPr>
  </w:style>
  <w:style w:type="paragraph" w:styleId="Ttulo1">
    <w:name w:val="heading 1"/>
    <w:basedOn w:val="Normal"/>
    <w:next w:val="Normal"/>
    <w:link w:val="Ttulo1Char"/>
    <w:uiPriority w:val="9"/>
    <w:qFormat/>
    <w:rsid w:val="00FA5A7A"/>
    <w:pPr>
      <w:keepNext/>
      <w:keepLines/>
      <w:numPr>
        <w:numId w:val="5"/>
      </w:numPr>
      <w:ind w:left="431" w:hanging="431"/>
      <w:outlineLvl w:val="0"/>
    </w:pPr>
    <w:rPr>
      <w:rFonts w:eastAsiaTheme="majorEastAsia" w:cs="Mangal"/>
      <w:b/>
      <w:caps/>
      <w:sz w:val="28"/>
      <w:szCs w:val="29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A5A7A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A5A7A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A5A7A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A5A7A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A5A7A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A5A7A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A5A7A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A5A7A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Arial" w:hAnsi="Arial" w:cs="Arial" w:hint="default"/>
      <w:color w:val="000000"/>
      <w:sz w:val="22"/>
    </w:rPr>
  </w:style>
  <w:style w:type="character" w:customStyle="1" w:styleId="WW8Num2z0">
    <w:name w:val="WW8Num2z0"/>
    <w:rPr>
      <w:rFonts w:ascii="Arial" w:hAnsi="Arial" w:cs="Arial" w:hint="default"/>
    </w:rPr>
  </w:style>
  <w:style w:type="character" w:customStyle="1" w:styleId="WW8Num3z0">
    <w:name w:val="WW8Num3z0"/>
    <w:rPr>
      <w:rFonts w:ascii="Symbol" w:hAnsi="Symbol" w:cs="Symbol" w:hint="default"/>
      <w:color w:val="auto"/>
    </w:rPr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Fontepargpadro4">
    <w:name w:val="Fonte parág. padrão4"/>
  </w:style>
  <w:style w:type="character" w:customStyle="1" w:styleId="Fontepargpadro3">
    <w:name w:val="Fonte parág. padrão3"/>
  </w:style>
  <w:style w:type="character" w:customStyle="1" w:styleId="WW8Num5z0">
    <w:name w:val="WW8Num5z0"/>
    <w:rPr>
      <w:rFonts w:ascii="Symbol" w:hAnsi="Symbol" w:cs="Symbol" w:hint="default"/>
      <w:color w:val="FF0000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Fontepargpadro2">
    <w:name w:val="Fonte parág. padrão2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Fontepargpadro1">
    <w:name w:val="Fonte parág. padrão1"/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styleId="TextodoEspaoReservado">
    <w:name w:val="Placeholder Text"/>
    <w:rPr>
      <w:color w:val="808080"/>
    </w:rPr>
  </w:style>
  <w:style w:type="paragraph" w:customStyle="1" w:styleId="Ttulo50">
    <w:name w:val="Título5"/>
    <w:basedOn w:val="Normal"/>
    <w:next w:val="Corpodetexto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Ttulo40">
    <w:name w:val="Título4"/>
    <w:basedOn w:val="Normal"/>
    <w:next w:val="Corpodetexto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tulo30">
    <w:name w:val="Título3"/>
    <w:basedOn w:val="Normal"/>
    <w:next w:val="Corpodetexto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tulo10">
    <w:name w:val="Título1"/>
    <w:basedOn w:val="Normal"/>
    <w:next w:val="Corpodetexto"/>
    <w:link w:val="Ttulo1Char0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NormalWeb">
    <w:name w:val="Normal (Web)"/>
    <w:basedOn w:val="Normal"/>
    <w:pPr>
      <w:suppressAutoHyphens w:val="0"/>
    </w:pPr>
    <w:rPr>
      <w:rFonts w:eastAsia="Times New Roman" w:cs="Times New Roman"/>
      <w:kern w:val="0"/>
      <w:lang w:bidi="ar-SA"/>
    </w:rPr>
  </w:style>
  <w:style w:type="paragraph" w:styleId="PargrafodaLista">
    <w:name w:val="List Paragraph"/>
    <w:basedOn w:val="Normal"/>
    <w:qFormat/>
    <w:pPr>
      <w:ind w:left="708"/>
    </w:pPr>
    <w:rPr>
      <w:rFonts w:cs="Mangal"/>
      <w:szCs w:val="21"/>
    </w:rPr>
  </w:style>
  <w:style w:type="paragraph" w:styleId="Ttulo">
    <w:name w:val="Title"/>
    <w:basedOn w:val="Normal"/>
    <w:link w:val="TtuloChar"/>
    <w:uiPriority w:val="10"/>
    <w:qFormat/>
    <w:rsid w:val="001A3DAD"/>
    <w:pPr>
      <w:ind w:firstLine="0"/>
      <w:contextualSpacing/>
      <w:jc w:val="center"/>
    </w:pPr>
    <w:rPr>
      <w:rFonts w:eastAsiaTheme="majorEastAsia" w:cs="Mangal"/>
      <w:b/>
      <w:spacing w:val="-10"/>
      <w:kern w:val="28"/>
      <w:sz w:val="36"/>
      <w:szCs w:val="50"/>
    </w:rPr>
  </w:style>
  <w:style w:type="character" w:customStyle="1" w:styleId="TtuloChar">
    <w:name w:val="Título Char"/>
    <w:basedOn w:val="Fontepargpadro"/>
    <w:link w:val="Ttulo"/>
    <w:uiPriority w:val="10"/>
    <w:rsid w:val="001A3DAD"/>
    <w:rPr>
      <w:rFonts w:ascii="Arial" w:eastAsiaTheme="majorEastAsia" w:hAnsi="Arial" w:cs="Mangal"/>
      <w:b/>
      <w:spacing w:val="-10"/>
      <w:kern w:val="28"/>
      <w:sz w:val="36"/>
      <w:szCs w:val="50"/>
      <w:lang w:eastAsia="zh-CN" w:bidi="hi-IN"/>
    </w:rPr>
  </w:style>
  <w:style w:type="paragraph" w:customStyle="1" w:styleId="Imagem">
    <w:name w:val="Imagem"/>
    <w:basedOn w:val="Normal"/>
    <w:link w:val="ImagemChar"/>
    <w:qFormat/>
    <w:rsid w:val="00147ECD"/>
    <w:pPr>
      <w:suppressAutoHyphens w:val="0"/>
      <w:ind w:firstLine="0"/>
    </w:pPr>
    <w:rPr>
      <w:rFonts w:eastAsiaTheme="minorHAnsi" w:cstheme="minorBidi"/>
      <w:kern w:val="0"/>
      <w:szCs w:val="22"/>
      <w:lang w:eastAsia="en-US" w:bidi="ar-SA"/>
    </w:rPr>
  </w:style>
  <w:style w:type="character" w:customStyle="1" w:styleId="ImagemChar">
    <w:name w:val="Imagem Char"/>
    <w:basedOn w:val="Fontepargpadro"/>
    <w:link w:val="Imagem"/>
    <w:rsid w:val="00147ECD"/>
    <w:rPr>
      <w:rFonts w:ascii="Arial" w:eastAsiaTheme="minorHAnsi" w:hAnsi="Arial" w:cstheme="minorBidi"/>
      <w:sz w:val="24"/>
      <w:szCs w:val="22"/>
      <w:lang w:eastAsia="en-US"/>
    </w:rPr>
  </w:style>
  <w:style w:type="paragraph" w:customStyle="1" w:styleId="TtulodaLogo">
    <w:name w:val="Título da Logo"/>
    <w:basedOn w:val="Imagem"/>
    <w:link w:val="TtulodaLogoChar"/>
    <w:qFormat/>
    <w:rsid w:val="00147ECD"/>
    <w:pPr>
      <w:spacing w:before="0" w:beforeAutospacing="0" w:after="0" w:afterAutospacing="0" w:line="240" w:lineRule="auto"/>
      <w:jc w:val="center"/>
    </w:pPr>
    <w:rPr>
      <w:b/>
    </w:rPr>
  </w:style>
  <w:style w:type="character" w:customStyle="1" w:styleId="TtulodaLogoChar">
    <w:name w:val="Título da Logo Char"/>
    <w:basedOn w:val="ImagemChar"/>
    <w:link w:val="TtulodaLogo"/>
    <w:rsid w:val="00147ECD"/>
    <w:rPr>
      <w:rFonts w:ascii="Arial" w:eastAsiaTheme="minorHAnsi" w:hAnsi="Arial" w:cstheme="minorBidi"/>
      <w:b/>
      <w:sz w:val="24"/>
      <w:szCs w:val="22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9158C7"/>
    <w:pPr>
      <w:tabs>
        <w:tab w:val="center" w:pos="4252"/>
        <w:tab w:val="right" w:pos="8504"/>
      </w:tabs>
      <w:spacing w:before="0" w:after="0" w:line="240" w:lineRule="auto"/>
    </w:pPr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9158C7"/>
    <w:rPr>
      <w:rFonts w:ascii="Arial" w:eastAsia="NSimSun" w:hAnsi="Arial" w:cs="Mangal"/>
      <w:kern w:val="2"/>
      <w:sz w:val="24"/>
      <w:szCs w:val="21"/>
      <w:lang w:eastAsia="zh-CN" w:bidi="hi-IN"/>
    </w:rPr>
  </w:style>
  <w:style w:type="paragraph" w:styleId="Rodap">
    <w:name w:val="footer"/>
    <w:basedOn w:val="Normal"/>
    <w:link w:val="RodapChar"/>
    <w:uiPriority w:val="99"/>
    <w:unhideWhenUsed/>
    <w:rsid w:val="009158C7"/>
    <w:pPr>
      <w:tabs>
        <w:tab w:val="center" w:pos="4252"/>
        <w:tab w:val="right" w:pos="8504"/>
      </w:tabs>
      <w:spacing w:before="0" w:after="0" w:line="240" w:lineRule="auto"/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9158C7"/>
    <w:rPr>
      <w:rFonts w:ascii="Arial" w:eastAsia="NSimSun" w:hAnsi="Arial" w:cs="Mangal"/>
      <w:kern w:val="2"/>
      <w:sz w:val="24"/>
      <w:szCs w:val="21"/>
      <w:lang w:eastAsia="zh-CN" w:bidi="hi-IN"/>
    </w:rPr>
  </w:style>
  <w:style w:type="character" w:customStyle="1" w:styleId="Ttulo1Char">
    <w:name w:val="Título 1 Char"/>
    <w:basedOn w:val="Fontepargpadro"/>
    <w:link w:val="Ttulo1"/>
    <w:uiPriority w:val="9"/>
    <w:rsid w:val="00FA5A7A"/>
    <w:rPr>
      <w:rFonts w:ascii="Arial" w:eastAsiaTheme="majorEastAsia" w:hAnsi="Arial" w:cs="Mangal"/>
      <w:b/>
      <w:caps/>
      <w:kern w:val="2"/>
      <w:sz w:val="28"/>
      <w:szCs w:val="29"/>
      <w:lang w:eastAsia="zh-CN" w:bidi="hi-IN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A5A7A"/>
    <w:rPr>
      <w:rFonts w:asciiTheme="majorHAnsi" w:eastAsiaTheme="majorEastAsia" w:hAnsiTheme="majorHAnsi" w:cs="Mangal"/>
      <w:color w:val="2F5496" w:themeColor="accent1" w:themeShade="BF"/>
      <w:kern w:val="2"/>
      <w:sz w:val="26"/>
      <w:szCs w:val="23"/>
      <w:lang w:eastAsia="zh-CN" w:bidi="hi-IN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A5A7A"/>
    <w:rPr>
      <w:rFonts w:asciiTheme="majorHAnsi" w:eastAsiaTheme="majorEastAsia" w:hAnsiTheme="majorHAnsi" w:cs="Mangal"/>
      <w:color w:val="1F3763" w:themeColor="accent1" w:themeShade="7F"/>
      <w:kern w:val="2"/>
      <w:sz w:val="24"/>
      <w:szCs w:val="21"/>
      <w:lang w:eastAsia="zh-CN" w:bidi="hi-IN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A5A7A"/>
    <w:rPr>
      <w:rFonts w:asciiTheme="majorHAnsi" w:eastAsiaTheme="majorEastAsia" w:hAnsiTheme="majorHAnsi" w:cs="Mangal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A5A7A"/>
    <w:rPr>
      <w:rFonts w:asciiTheme="majorHAnsi" w:eastAsiaTheme="majorEastAsia" w:hAnsiTheme="majorHAnsi" w:cs="Mangal"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A5A7A"/>
    <w:rPr>
      <w:rFonts w:asciiTheme="majorHAnsi" w:eastAsiaTheme="majorEastAsia" w:hAnsiTheme="majorHAnsi" w:cs="Mangal"/>
      <w:color w:val="1F3763" w:themeColor="accent1" w:themeShade="7F"/>
      <w:kern w:val="2"/>
      <w:sz w:val="24"/>
      <w:szCs w:val="21"/>
      <w:lang w:eastAsia="zh-CN" w:bidi="hi-IN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A5A7A"/>
    <w:rPr>
      <w:rFonts w:asciiTheme="majorHAnsi" w:eastAsiaTheme="majorEastAsia" w:hAnsiTheme="majorHAnsi" w:cs="Mangal"/>
      <w:i/>
      <w:iCs/>
      <w:color w:val="1F3763" w:themeColor="accent1" w:themeShade="7F"/>
      <w:kern w:val="2"/>
      <w:sz w:val="24"/>
      <w:szCs w:val="21"/>
      <w:lang w:eastAsia="zh-CN" w:bidi="hi-IN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A5A7A"/>
    <w:rPr>
      <w:rFonts w:asciiTheme="majorHAnsi" w:eastAsiaTheme="majorEastAsia" w:hAnsiTheme="majorHAnsi" w:cs="Mangal"/>
      <w:color w:val="272727" w:themeColor="text1" w:themeTint="D8"/>
      <w:kern w:val="2"/>
      <w:sz w:val="21"/>
      <w:szCs w:val="19"/>
      <w:lang w:eastAsia="zh-CN" w:bidi="hi-IN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A5A7A"/>
    <w:rPr>
      <w:rFonts w:asciiTheme="majorHAnsi" w:eastAsiaTheme="majorEastAsia" w:hAnsiTheme="majorHAnsi" w:cs="Mangal"/>
      <w:i/>
      <w:iCs/>
      <w:color w:val="272727" w:themeColor="text1" w:themeTint="D8"/>
      <w:kern w:val="2"/>
      <w:sz w:val="21"/>
      <w:szCs w:val="19"/>
      <w:lang w:eastAsia="zh-CN" w:bidi="hi-IN"/>
    </w:rPr>
  </w:style>
  <w:style w:type="paragraph" w:styleId="Sumrio1">
    <w:name w:val="toc 1"/>
    <w:basedOn w:val="Normal"/>
    <w:next w:val="Normal"/>
    <w:uiPriority w:val="39"/>
    <w:unhideWhenUsed/>
    <w:rsid w:val="00351322"/>
    <w:pPr>
      <w:ind w:firstLine="0"/>
      <w:jc w:val="left"/>
    </w:pPr>
    <w:rPr>
      <w:rFonts w:cstheme="minorHAnsi"/>
      <w:b/>
      <w:bCs/>
      <w:caps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841CEF"/>
    <w:pPr>
      <w:spacing w:before="0"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841CEF"/>
    <w:pPr>
      <w:spacing w:before="0"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841CEF"/>
    <w:pPr>
      <w:spacing w:before="0"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841CEF"/>
    <w:pPr>
      <w:spacing w:before="0"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841CEF"/>
    <w:pPr>
      <w:spacing w:before="0"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841CEF"/>
    <w:pPr>
      <w:spacing w:before="0"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841CEF"/>
    <w:pPr>
      <w:spacing w:before="0"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841CEF"/>
    <w:pPr>
      <w:spacing w:before="0"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841CEF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link w:val="CabealhodoSumrioChar"/>
    <w:uiPriority w:val="39"/>
    <w:unhideWhenUsed/>
    <w:qFormat/>
    <w:rsid w:val="00351322"/>
    <w:pPr>
      <w:numPr>
        <w:numId w:val="0"/>
      </w:numPr>
      <w:suppressAutoHyphens w:val="0"/>
      <w:spacing w:before="240" w:beforeAutospacing="0" w:after="0" w:afterAutospacing="0" w:line="259" w:lineRule="auto"/>
      <w:jc w:val="left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kern w:val="0"/>
      <w:sz w:val="32"/>
      <w:szCs w:val="32"/>
      <w:lang w:eastAsia="pt-BR" w:bidi="ar-SA"/>
    </w:rPr>
  </w:style>
  <w:style w:type="paragraph" w:customStyle="1" w:styleId="TtulodoSumrio">
    <w:name w:val="Título do Sumário"/>
    <w:basedOn w:val="CabealhodoSumrio"/>
    <w:next w:val="Ttulo"/>
    <w:link w:val="TtulodoSumrioChar"/>
    <w:qFormat/>
    <w:rsid w:val="00BB1DF1"/>
    <w:pPr>
      <w:spacing w:before="100" w:beforeAutospacing="1" w:after="480" w:line="360" w:lineRule="auto"/>
      <w:jc w:val="center"/>
    </w:pPr>
    <w:rPr>
      <w:rFonts w:ascii="Arial" w:hAnsi="Arial"/>
      <w:b/>
      <w:color w:val="auto"/>
    </w:rPr>
  </w:style>
  <w:style w:type="table" w:styleId="Tabelacomgrade">
    <w:name w:val="Table Grid"/>
    <w:basedOn w:val="Tabelanormal"/>
    <w:uiPriority w:val="39"/>
    <w:rsid w:val="00FA7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doSumrioChar">
    <w:name w:val="Cabeçalho do Sumário Char"/>
    <w:basedOn w:val="Ttulo1Char"/>
    <w:link w:val="CabealhodoSumrio"/>
    <w:uiPriority w:val="39"/>
    <w:rsid w:val="00BB1DF1"/>
    <w:rPr>
      <w:rFonts w:asciiTheme="majorHAnsi" w:eastAsiaTheme="majorEastAsia" w:hAnsiTheme="majorHAnsi" w:cstheme="majorBidi"/>
      <w:b w:val="0"/>
      <w:caps w:val="0"/>
      <w:color w:val="2F5496" w:themeColor="accent1" w:themeShade="BF"/>
      <w:kern w:val="2"/>
      <w:sz w:val="32"/>
      <w:szCs w:val="32"/>
      <w:lang w:eastAsia="zh-CN" w:bidi="hi-IN"/>
    </w:rPr>
  </w:style>
  <w:style w:type="character" w:customStyle="1" w:styleId="TtulodoSumrioChar">
    <w:name w:val="Título do Sumário Char"/>
    <w:basedOn w:val="CabealhodoSumrioChar"/>
    <w:link w:val="TtulodoSumrio"/>
    <w:rsid w:val="00BB1DF1"/>
    <w:rPr>
      <w:rFonts w:ascii="Arial" w:eastAsiaTheme="majorEastAsia" w:hAnsi="Arial" w:cstheme="majorBidi"/>
      <w:b/>
      <w:caps w:val="0"/>
      <w:color w:val="2F5496" w:themeColor="accent1" w:themeShade="BF"/>
      <w:kern w:val="2"/>
      <w:sz w:val="32"/>
      <w:szCs w:val="32"/>
      <w:lang w:eastAsia="zh-CN" w:bidi="hi-IN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F85061"/>
    <w:pPr>
      <w:keepLines/>
      <w:spacing w:before="0" w:beforeAutospacing="0" w:line="240" w:lineRule="auto"/>
      <w:ind w:left="198" w:hanging="198"/>
    </w:pPr>
    <w:rPr>
      <w:rFonts w:cs="Mangal"/>
      <w:sz w:val="20"/>
      <w:szCs w:val="18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F85061"/>
    <w:rPr>
      <w:rFonts w:eastAsia="NSimSun" w:cs="Mangal"/>
      <w:kern w:val="2"/>
      <w:szCs w:val="18"/>
      <w:lang w:eastAsia="zh-CN" w:bidi="hi-IN"/>
    </w:rPr>
  </w:style>
  <w:style w:type="character" w:styleId="Refdenotaderodap">
    <w:name w:val="footnote reference"/>
    <w:basedOn w:val="Fontepargpadro"/>
    <w:uiPriority w:val="99"/>
    <w:semiHidden/>
    <w:unhideWhenUsed/>
    <w:rsid w:val="00514380"/>
    <w:rPr>
      <w:vertAlign w:val="superscript"/>
    </w:rPr>
  </w:style>
  <w:style w:type="paragraph" w:customStyle="1" w:styleId="TtulodasReferncias">
    <w:name w:val="Título das Referências"/>
    <w:basedOn w:val="Ttulo10"/>
    <w:next w:val="Normal"/>
    <w:link w:val="TtulodasRefernciasChar"/>
    <w:qFormat/>
    <w:rsid w:val="000C2517"/>
    <w:pPr>
      <w:spacing w:before="100" w:after="600" w:afterAutospacing="0"/>
      <w:ind w:firstLine="0"/>
      <w:jc w:val="center"/>
      <w:outlineLvl w:val="0"/>
    </w:pPr>
    <w:rPr>
      <w:rFonts w:ascii="Arial" w:hAnsi="Arial"/>
      <w:b/>
    </w:rPr>
  </w:style>
  <w:style w:type="character" w:customStyle="1" w:styleId="Ttulo1Char0">
    <w:name w:val="Título1 Char"/>
    <w:basedOn w:val="Fontepargpadro"/>
    <w:link w:val="Ttulo10"/>
    <w:rsid w:val="000C2517"/>
    <w:rPr>
      <w:rFonts w:ascii="Liberation Sans" w:eastAsia="Microsoft YaHei" w:hAnsi="Liberation Sans" w:cs="Arial"/>
      <w:kern w:val="2"/>
      <w:sz w:val="28"/>
      <w:szCs w:val="28"/>
      <w:lang w:eastAsia="zh-CN" w:bidi="hi-IN"/>
    </w:rPr>
  </w:style>
  <w:style w:type="character" w:customStyle="1" w:styleId="TtulodasRefernciasChar">
    <w:name w:val="Título das Referências Char"/>
    <w:basedOn w:val="Ttulo1Char0"/>
    <w:link w:val="TtulodasReferncias"/>
    <w:rsid w:val="000C2517"/>
    <w:rPr>
      <w:rFonts w:ascii="Arial" w:eastAsia="Microsoft YaHei" w:hAnsi="Arial" w:cs="Arial"/>
      <w:b/>
      <w:kern w:val="2"/>
      <w:sz w:val="28"/>
      <w:szCs w:val="28"/>
      <w:lang w:eastAsia="zh-CN" w:bidi="hi-IN"/>
    </w:rPr>
  </w:style>
  <w:style w:type="paragraph" w:customStyle="1" w:styleId="RefernciaBibliogrfica">
    <w:name w:val="Referência Bibliográfica"/>
    <w:basedOn w:val="Normal"/>
    <w:qFormat/>
    <w:rsid w:val="00CC6AF1"/>
    <w:pPr>
      <w:widowControl w:val="0"/>
      <w:autoSpaceDE w:val="0"/>
      <w:autoSpaceDN w:val="0"/>
      <w:adjustRightInd w:val="0"/>
      <w:ind w:firstLine="0"/>
      <w:jc w:val="left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7B48A2"/>
    <w:pPr>
      <w:spacing w:before="0" w:after="0" w:line="240" w:lineRule="auto"/>
    </w:pPr>
    <w:rPr>
      <w:rFonts w:cs="Mangal"/>
      <w:sz w:val="20"/>
      <w:szCs w:val="18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7B48A2"/>
    <w:rPr>
      <w:rFonts w:eastAsia="NSimSun" w:cs="Mangal"/>
      <w:kern w:val="2"/>
      <w:szCs w:val="18"/>
      <w:lang w:eastAsia="zh-CN" w:bidi="hi-IN"/>
    </w:rPr>
  </w:style>
  <w:style w:type="character" w:styleId="Refdenotadefim">
    <w:name w:val="endnote reference"/>
    <w:basedOn w:val="Fontepargpadro"/>
    <w:uiPriority w:val="99"/>
    <w:semiHidden/>
    <w:unhideWhenUsed/>
    <w:rsid w:val="007B48A2"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2F5E6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F5E61"/>
    <w:pPr>
      <w:spacing w:line="240" w:lineRule="auto"/>
    </w:pPr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F5E61"/>
    <w:rPr>
      <w:rFonts w:eastAsia="NSimSun" w:cs="Mangal"/>
      <w:kern w:val="2"/>
      <w:szCs w:val="18"/>
      <w:lang w:eastAsia="zh-CN" w:bidi="hi-I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F5E6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F5E61"/>
    <w:rPr>
      <w:rFonts w:eastAsia="NSimSun" w:cs="Mangal"/>
      <w:b/>
      <w:bCs/>
      <w:kern w:val="2"/>
      <w:szCs w:val="1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6A7F1-3F80-4E79-8F0C-A564A37A7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7</Pages>
  <Words>1626</Words>
  <Characters>8783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De Alcantara Neves</dc:creator>
  <cp:keywords/>
  <cp:lastModifiedBy>Alysson Oliveira</cp:lastModifiedBy>
  <cp:revision>154</cp:revision>
  <cp:lastPrinted>1995-11-21T19:41:00Z</cp:lastPrinted>
  <dcterms:created xsi:type="dcterms:W3CDTF">2020-12-23T00:25:00Z</dcterms:created>
  <dcterms:modified xsi:type="dcterms:W3CDTF">2021-02-16T19:33:00Z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ce87160d-3d06-33d8-8469-0ed49313ee61</vt:lpwstr>
  </property>
  <property fmtid="{D5CDD505-2E9C-101B-9397-08002B2CF9AE}" pid="4" name="Mendeley Citation Style_1">
    <vt:lpwstr>http://www.zotero.org/styles/associacao-brasileira-de-normas-tecnicas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http://www.zotero.org/styles/associacao-brasileira-de-normas-tecnicas</vt:lpwstr>
  </property>
  <property fmtid="{D5CDD505-2E9C-101B-9397-08002B2CF9AE}" pid="14" name="Mendeley Recent Style Name 4_1">
    <vt:lpwstr>Associação Brasileira de Normas Técnicas (Portuguese - Brazil)</vt:lpwstr>
  </property>
  <property fmtid="{D5CDD505-2E9C-101B-9397-08002B2CF9AE}" pid="15" name="Mendeley Recent Style Id 5_1">
    <vt:lpwstr>http://www.zotero.org/styles/chicago-author-date</vt:lpwstr>
  </property>
  <property fmtid="{D5CDD505-2E9C-101B-9397-08002B2CF9AE}" pid="16" name="Mendeley Recent Style Name 5_1">
    <vt:lpwstr>Chicago Manual of Style 17th edition (author-date)</vt:lpwstr>
  </property>
  <property fmtid="{D5CDD505-2E9C-101B-9397-08002B2CF9AE}" pid="17" name="Mendeley Recent Style Id 6_1">
    <vt:lpwstr>http://www.zotero.org/styles/harvard-cite-them-right</vt:lpwstr>
  </property>
  <property fmtid="{D5CDD505-2E9C-101B-9397-08002B2CF9AE}" pid="18" name="Mendeley Recent Style Name 6_1">
    <vt:lpwstr>Cite Them Right 10th edition - Harvard</vt:lpwstr>
  </property>
  <property fmtid="{D5CDD505-2E9C-101B-9397-08002B2CF9AE}" pid="19" name="Mendeley Recent Style Id 7_1">
    <vt:lpwstr>http://www.zotero.org/styles/ieee</vt:lpwstr>
  </property>
  <property fmtid="{D5CDD505-2E9C-101B-9397-08002B2CF9AE}" pid="20" name="Mendeley Recent Style Name 7_1">
    <vt:lpwstr>IEEE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8th edition</vt:lpwstr>
  </property>
</Properties>
</file>