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EB572" w14:textId="064B8F45" w:rsidR="007D02C3" w:rsidRPr="00E64218" w:rsidRDefault="007D02C3" w:rsidP="007D02C3">
      <w:pPr>
        <w:pStyle w:val="Legenda"/>
        <w:keepNext/>
        <w:spacing w:after="0" w:line="360" w:lineRule="auto"/>
        <w:ind w:firstLine="0"/>
        <w:jc w:val="left"/>
        <w:rPr>
          <w:rFonts w:ascii="Trebuchet MS" w:hAnsi="Trebuchet MS"/>
          <w:b/>
          <w:i w:val="0"/>
          <w:color w:val="000000" w:themeColor="text1"/>
          <w:sz w:val="24"/>
        </w:rPr>
      </w:pPr>
      <w:bookmarkStart w:id="0" w:name="_GoBack"/>
      <w:bookmarkEnd w:id="0"/>
      <w:r w:rsidRPr="00E64218">
        <w:rPr>
          <w:rFonts w:ascii="Trebuchet MS" w:hAnsi="Trebuchet MS"/>
          <w:b/>
          <w:i w:val="0"/>
          <w:color w:val="000000" w:themeColor="text1"/>
          <w:sz w:val="24"/>
        </w:rPr>
        <w:t xml:space="preserve">Tabela </w:t>
      </w:r>
      <w:r w:rsidRPr="00E64218">
        <w:rPr>
          <w:rFonts w:ascii="Trebuchet MS" w:hAnsi="Trebuchet MS"/>
          <w:b/>
          <w:i w:val="0"/>
          <w:color w:val="000000" w:themeColor="text1"/>
          <w:sz w:val="24"/>
        </w:rPr>
        <w:fldChar w:fldCharType="begin"/>
      </w:r>
      <w:r w:rsidRPr="00E64218">
        <w:rPr>
          <w:rFonts w:ascii="Trebuchet MS" w:hAnsi="Trebuchet MS"/>
          <w:b/>
          <w:i w:val="0"/>
          <w:color w:val="000000" w:themeColor="text1"/>
          <w:sz w:val="24"/>
        </w:rPr>
        <w:instrText xml:space="preserve"> SEQ Tabela \* ARABIC </w:instrText>
      </w:r>
      <w:r w:rsidRPr="00E64218">
        <w:rPr>
          <w:rFonts w:ascii="Trebuchet MS" w:hAnsi="Trebuchet MS"/>
          <w:b/>
          <w:i w:val="0"/>
          <w:color w:val="000000" w:themeColor="text1"/>
          <w:sz w:val="24"/>
        </w:rPr>
        <w:fldChar w:fldCharType="separate"/>
      </w:r>
      <w:r w:rsidR="009043C2">
        <w:rPr>
          <w:rFonts w:ascii="Trebuchet MS" w:hAnsi="Trebuchet MS"/>
          <w:b/>
          <w:i w:val="0"/>
          <w:noProof/>
          <w:color w:val="000000" w:themeColor="text1"/>
          <w:sz w:val="24"/>
        </w:rPr>
        <w:t>1</w:t>
      </w:r>
      <w:r w:rsidRPr="00E64218">
        <w:rPr>
          <w:rFonts w:ascii="Trebuchet MS" w:hAnsi="Trebuchet MS"/>
          <w:b/>
          <w:i w:val="0"/>
          <w:color w:val="000000" w:themeColor="text1"/>
          <w:sz w:val="24"/>
        </w:rPr>
        <w:fldChar w:fldCharType="end"/>
      </w:r>
      <w:r w:rsidRPr="00E64218">
        <w:rPr>
          <w:rFonts w:ascii="Trebuchet MS" w:hAnsi="Trebuchet MS"/>
          <w:b/>
          <w:i w:val="0"/>
          <w:color w:val="000000" w:themeColor="text1"/>
          <w:sz w:val="24"/>
        </w:rPr>
        <w:t xml:space="preserve"> - Variação (%) de volume de vendas do comércio – Estados selecionados - Primeiro Trimestre de 2019</w:t>
      </w:r>
    </w:p>
    <w:tbl>
      <w:tblPr>
        <w:tblW w:w="505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3"/>
        <w:gridCol w:w="759"/>
        <w:gridCol w:w="784"/>
        <w:gridCol w:w="1538"/>
        <w:gridCol w:w="753"/>
        <w:gridCol w:w="1541"/>
        <w:gridCol w:w="1692"/>
      </w:tblGrid>
      <w:tr w:rsidR="004178C6" w:rsidRPr="004178C6" w14:paraId="0C2A4B2E" w14:textId="77777777" w:rsidTr="004178C6">
        <w:trPr>
          <w:trHeight w:val="587"/>
        </w:trPr>
        <w:tc>
          <w:tcPr>
            <w:tcW w:w="2627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5C7EFA4E" w14:textId="77777777" w:rsidR="004178C6" w:rsidRPr="004178C6" w:rsidRDefault="004178C6" w:rsidP="004178C6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lang w:eastAsia="pt-BR"/>
              </w:rPr>
              <w:t>Comércio e atividades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0E55604D" w14:textId="77777777" w:rsidR="004178C6" w:rsidRPr="004178C6" w:rsidRDefault="004178C6" w:rsidP="004178C6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lang w:eastAsia="pt-BR"/>
              </w:rPr>
              <w:t>Brasil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7C5C14E7" w14:textId="77777777" w:rsidR="004178C6" w:rsidRPr="004178C6" w:rsidRDefault="004178C6" w:rsidP="004178C6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lang w:eastAsia="pt-BR"/>
              </w:rPr>
              <w:t>Ceará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739AE531" w14:textId="77777777" w:rsidR="004178C6" w:rsidRPr="004178C6" w:rsidRDefault="004178C6" w:rsidP="004178C6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lang w:eastAsia="pt-BR"/>
              </w:rPr>
              <w:t>Pernambuco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18576BA2" w14:textId="77777777" w:rsidR="004178C6" w:rsidRPr="004178C6" w:rsidRDefault="004178C6" w:rsidP="004178C6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lang w:eastAsia="pt-BR"/>
              </w:rPr>
              <w:t>Bahia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6CC8EFCE" w14:textId="77777777" w:rsidR="004178C6" w:rsidRPr="004178C6" w:rsidRDefault="004178C6" w:rsidP="004178C6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lang w:eastAsia="pt-BR"/>
              </w:rPr>
              <w:t>Minas Gerais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73A49663" w14:textId="77777777" w:rsidR="004178C6" w:rsidRPr="004178C6" w:rsidRDefault="004178C6" w:rsidP="004178C6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lang w:eastAsia="pt-BR"/>
              </w:rPr>
              <w:t>Espírito Santo</w:t>
            </w:r>
          </w:p>
        </w:tc>
      </w:tr>
      <w:tr w:rsidR="004178C6" w:rsidRPr="004178C6" w14:paraId="232AB065" w14:textId="77777777" w:rsidTr="004178C6">
        <w:trPr>
          <w:trHeight w:val="330"/>
        </w:trPr>
        <w:tc>
          <w:tcPr>
            <w:tcW w:w="26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2D6E3" w14:textId="77777777" w:rsidR="004178C6" w:rsidRPr="004178C6" w:rsidRDefault="004178C6" w:rsidP="004178C6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  <w:t>Comércio varejista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A9EA1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  <w:t>0,3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449FF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  <w:t>-1,5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7AEBB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  <w:t>-2,6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6EF68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  <w:t>0,2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B60D1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  <w:t>-2,7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E0B77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  <w:t>7,9</w:t>
            </w:r>
          </w:p>
        </w:tc>
      </w:tr>
      <w:tr w:rsidR="004178C6" w:rsidRPr="004178C6" w14:paraId="3443418E" w14:textId="77777777" w:rsidTr="004178C6">
        <w:trPr>
          <w:trHeight w:val="330"/>
        </w:trPr>
        <w:tc>
          <w:tcPr>
            <w:tcW w:w="2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DD634" w14:textId="77777777" w:rsidR="004178C6" w:rsidRPr="004178C6" w:rsidRDefault="004178C6" w:rsidP="004178C6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Combustíveis e lubrificantes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559F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0,1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4683E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-4,0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FBDD5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0,1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26DC4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-12,0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9ECCA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-9,4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F37F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11,4</w:t>
            </w:r>
          </w:p>
        </w:tc>
      </w:tr>
      <w:tr w:rsidR="004178C6" w:rsidRPr="004178C6" w14:paraId="32CAE757" w14:textId="77777777" w:rsidTr="004178C6">
        <w:trPr>
          <w:trHeight w:val="330"/>
        </w:trPr>
        <w:tc>
          <w:tcPr>
            <w:tcW w:w="2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6A614" w14:textId="77777777" w:rsidR="004178C6" w:rsidRPr="004178C6" w:rsidRDefault="004178C6" w:rsidP="004178C6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Hipermercados, supermercados, produtos alimentícios, bebidas e fumo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DF74D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-0,9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1AFE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-5,1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949D4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-6,5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235C4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2,7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55B53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2,1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D3EB2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7,2</w:t>
            </w:r>
          </w:p>
        </w:tc>
      </w:tr>
      <w:tr w:rsidR="004178C6" w:rsidRPr="004178C6" w14:paraId="79784DD9" w14:textId="77777777" w:rsidTr="004178C6">
        <w:trPr>
          <w:trHeight w:val="330"/>
        </w:trPr>
        <w:tc>
          <w:tcPr>
            <w:tcW w:w="2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C2AF" w14:textId="77777777" w:rsidR="004178C6" w:rsidRPr="004178C6" w:rsidRDefault="004178C6" w:rsidP="004178C6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Hipermercados e supermercados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E7164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-0,3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0DD8C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-7,3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023FE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-4,9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A2E8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2,7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A41A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3,0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632C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7,4</w:t>
            </w:r>
          </w:p>
        </w:tc>
      </w:tr>
      <w:tr w:rsidR="004178C6" w:rsidRPr="004178C6" w14:paraId="2064627E" w14:textId="77777777" w:rsidTr="004178C6">
        <w:trPr>
          <w:trHeight w:val="330"/>
        </w:trPr>
        <w:tc>
          <w:tcPr>
            <w:tcW w:w="2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F66E2" w14:textId="77777777" w:rsidR="004178C6" w:rsidRPr="004178C6" w:rsidRDefault="004178C6" w:rsidP="004178C6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Tecidos, vestuário e calçados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AB90D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0,5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A1677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4,2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BEE8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-4,1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7E82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-6,2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60BDA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-8,6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A71A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10,0</w:t>
            </w:r>
          </w:p>
        </w:tc>
      </w:tr>
      <w:tr w:rsidR="004178C6" w:rsidRPr="004178C6" w14:paraId="6B85B93B" w14:textId="77777777" w:rsidTr="004178C6">
        <w:trPr>
          <w:trHeight w:val="330"/>
        </w:trPr>
        <w:tc>
          <w:tcPr>
            <w:tcW w:w="2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51A4" w14:textId="77777777" w:rsidR="004178C6" w:rsidRPr="004178C6" w:rsidRDefault="004178C6" w:rsidP="004178C6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Móveis e eletrodomésticos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E08F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-1,9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6C1F1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9,3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AF4EC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0,6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C850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1,1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BA94F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-14,6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2C77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8,0</w:t>
            </w:r>
          </w:p>
        </w:tc>
      </w:tr>
      <w:tr w:rsidR="004178C6" w:rsidRPr="004178C6" w14:paraId="745EF2B0" w14:textId="77777777" w:rsidTr="004178C6">
        <w:trPr>
          <w:trHeight w:val="330"/>
        </w:trPr>
        <w:tc>
          <w:tcPr>
            <w:tcW w:w="2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FEAC6" w14:textId="77777777" w:rsidR="004178C6" w:rsidRPr="004178C6" w:rsidRDefault="004178C6" w:rsidP="004178C6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Móveis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E556A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0,4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B926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-0,6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EA107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-8,6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44230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0,6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C1190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-13,2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AB142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3,8</w:t>
            </w:r>
          </w:p>
        </w:tc>
      </w:tr>
      <w:tr w:rsidR="004178C6" w:rsidRPr="004178C6" w14:paraId="0ABFC248" w14:textId="77777777" w:rsidTr="004178C6">
        <w:trPr>
          <w:trHeight w:val="330"/>
        </w:trPr>
        <w:tc>
          <w:tcPr>
            <w:tcW w:w="2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12F3D" w14:textId="77777777" w:rsidR="004178C6" w:rsidRPr="004178C6" w:rsidRDefault="004178C6" w:rsidP="004178C6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Eletrodomésticos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E272D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-2,7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1D877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18,8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A3561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4,8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EB6A9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1,6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44DE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-14,8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B977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9,0</w:t>
            </w:r>
          </w:p>
        </w:tc>
      </w:tr>
      <w:tr w:rsidR="004178C6" w:rsidRPr="004178C6" w14:paraId="3D26B325" w14:textId="77777777" w:rsidTr="004178C6">
        <w:trPr>
          <w:trHeight w:val="330"/>
        </w:trPr>
        <w:tc>
          <w:tcPr>
            <w:tcW w:w="2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CF289" w14:textId="77777777" w:rsidR="004178C6" w:rsidRPr="004178C6" w:rsidRDefault="004178C6" w:rsidP="004178C6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Artigos farmacêuticos, médicos, ortopédicos, de perfumaria e cosméticos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5C52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6,9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4A7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4,9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B13B8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12,3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046CC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12,0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8C87E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9,4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4F16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9,1</w:t>
            </w:r>
          </w:p>
        </w:tc>
      </w:tr>
      <w:tr w:rsidR="004178C6" w:rsidRPr="004178C6" w14:paraId="78F25612" w14:textId="77777777" w:rsidTr="004178C6">
        <w:trPr>
          <w:trHeight w:val="330"/>
        </w:trPr>
        <w:tc>
          <w:tcPr>
            <w:tcW w:w="2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3561B" w14:textId="77777777" w:rsidR="004178C6" w:rsidRPr="004178C6" w:rsidRDefault="004178C6" w:rsidP="004178C6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Livros, jornais, revistas e papelaria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AFE1C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-29,4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349C5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-8,3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1DCFD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-30,1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7A842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-34,0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EB75B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-10,6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ED8E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-40,7</w:t>
            </w:r>
          </w:p>
        </w:tc>
      </w:tr>
      <w:tr w:rsidR="004178C6" w:rsidRPr="004178C6" w14:paraId="7EDAC6CD" w14:textId="77777777" w:rsidTr="004178C6">
        <w:trPr>
          <w:trHeight w:val="330"/>
        </w:trPr>
        <w:tc>
          <w:tcPr>
            <w:tcW w:w="2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CE98D" w14:textId="77777777" w:rsidR="004178C6" w:rsidRPr="004178C6" w:rsidRDefault="004178C6" w:rsidP="004178C6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Equipamentos e materiais para escritório, informática e comunicação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8872F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3,9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026B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-14,8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B5BD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-22,1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CD8AA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-8,5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0FD1F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-1,7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B88C6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62,7</w:t>
            </w:r>
          </w:p>
        </w:tc>
      </w:tr>
      <w:tr w:rsidR="004178C6" w:rsidRPr="004178C6" w14:paraId="6C4C3EE8" w14:textId="77777777" w:rsidTr="004178C6">
        <w:trPr>
          <w:trHeight w:val="330"/>
        </w:trPr>
        <w:tc>
          <w:tcPr>
            <w:tcW w:w="2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9B37D" w14:textId="77777777" w:rsidR="004178C6" w:rsidRPr="004178C6" w:rsidRDefault="004178C6" w:rsidP="004178C6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Outros artigos de uso pessoal e doméstico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7968E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4,0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79EC0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-3,0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20B6F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-0,2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D7971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8,4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8AEE7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-14,5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BF5D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1,1</w:t>
            </w:r>
          </w:p>
        </w:tc>
      </w:tr>
      <w:tr w:rsidR="004178C6" w:rsidRPr="004178C6" w14:paraId="61EE5C07" w14:textId="77777777" w:rsidTr="004178C6">
        <w:trPr>
          <w:trHeight w:val="330"/>
        </w:trPr>
        <w:tc>
          <w:tcPr>
            <w:tcW w:w="26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6283E" w14:textId="77777777" w:rsidR="004178C6" w:rsidRPr="004178C6" w:rsidRDefault="004178C6" w:rsidP="004178C6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  <w:t>Comércio varejista ampliado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2A3F9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  <w:t>2,3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94BF1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  <w:t>1,1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33724" w14:textId="64E714FA" w:rsidR="004178C6" w:rsidRPr="004178C6" w:rsidRDefault="002E036C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  <w:t>0</w:t>
            </w:r>
            <w:r w:rsidR="004178C6" w:rsidRPr="004178C6"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  <w:t>,2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72AB6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  <w:t>-2,1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E384C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  <w:t>-0,9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28D95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000000"/>
                <w:lang w:eastAsia="pt-BR"/>
              </w:rPr>
              <w:t>6,1</w:t>
            </w:r>
          </w:p>
        </w:tc>
      </w:tr>
      <w:tr w:rsidR="004178C6" w:rsidRPr="004178C6" w14:paraId="0F9BE62A" w14:textId="77777777" w:rsidTr="004178C6">
        <w:trPr>
          <w:trHeight w:val="330"/>
        </w:trPr>
        <w:tc>
          <w:tcPr>
            <w:tcW w:w="2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D5CA7" w14:textId="77777777" w:rsidR="004178C6" w:rsidRPr="004178C6" w:rsidRDefault="004178C6" w:rsidP="004178C6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Veículos, motocicletas, partes e peças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198F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8,3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40D8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8,0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9534B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9,3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5743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0,8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7835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6,4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856A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2,1</w:t>
            </w:r>
          </w:p>
        </w:tc>
      </w:tr>
      <w:tr w:rsidR="004178C6" w:rsidRPr="004178C6" w14:paraId="26FEEF6E" w14:textId="77777777" w:rsidTr="004178C6">
        <w:trPr>
          <w:trHeight w:val="345"/>
        </w:trPr>
        <w:tc>
          <w:tcPr>
            <w:tcW w:w="26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984A4" w14:textId="77777777" w:rsidR="004178C6" w:rsidRPr="004178C6" w:rsidRDefault="004178C6" w:rsidP="004178C6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Material de construção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267F0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3,5</w:t>
            </w: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1A2C70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5,3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7C51D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-2,4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1D044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-3,0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F754D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1,6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3F871" w14:textId="77777777" w:rsidR="004178C6" w:rsidRPr="004178C6" w:rsidRDefault="004178C6" w:rsidP="004178C6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lang w:eastAsia="pt-BR"/>
              </w:rPr>
              <w:t>19,2</w:t>
            </w:r>
          </w:p>
        </w:tc>
      </w:tr>
    </w:tbl>
    <w:p w14:paraId="4354B343" w14:textId="77777777" w:rsidR="007D02C3" w:rsidRDefault="007D02C3" w:rsidP="007D02C3">
      <w:pPr>
        <w:ind w:firstLine="0"/>
      </w:pPr>
    </w:p>
    <w:p w14:paraId="236DE7E2" w14:textId="6CF4A6DF" w:rsidR="007D02C3" w:rsidRPr="001262E7" w:rsidRDefault="007D02C3" w:rsidP="007D02C3">
      <w:pPr>
        <w:pStyle w:val="Legenda"/>
        <w:keepNext/>
        <w:ind w:firstLine="0"/>
        <w:rPr>
          <w:rFonts w:ascii="Trebuchet MS" w:hAnsi="Trebuchet MS"/>
          <w:b/>
          <w:i w:val="0"/>
          <w:color w:val="000000" w:themeColor="text1"/>
          <w:sz w:val="24"/>
        </w:rPr>
      </w:pPr>
      <w:r w:rsidRPr="001262E7">
        <w:rPr>
          <w:rFonts w:ascii="Trebuchet MS" w:hAnsi="Trebuchet MS"/>
          <w:b/>
          <w:i w:val="0"/>
          <w:color w:val="000000" w:themeColor="text1"/>
          <w:sz w:val="24"/>
        </w:rPr>
        <w:t xml:space="preserve">Tabela </w:t>
      </w:r>
      <w:r w:rsidRPr="001262E7">
        <w:rPr>
          <w:rFonts w:ascii="Trebuchet MS" w:hAnsi="Trebuchet MS"/>
          <w:b/>
          <w:i w:val="0"/>
          <w:color w:val="000000" w:themeColor="text1"/>
          <w:sz w:val="24"/>
        </w:rPr>
        <w:fldChar w:fldCharType="begin"/>
      </w:r>
      <w:r w:rsidRPr="001262E7">
        <w:rPr>
          <w:rFonts w:ascii="Trebuchet MS" w:hAnsi="Trebuchet MS"/>
          <w:b/>
          <w:i w:val="0"/>
          <w:color w:val="000000" w:themeColor="text1"/>
          <w:sz w:val="24"/>
        </w:rPr>
        <w:instrText xml:space="preserve"> SEQ Tabela \* ARABIC </w:instrText>
      </w:r>
      <w:r w:rsidRPr="001262E7">
        <w:rPr>
          <w:rFonts w:ascii="Trebuchet MS" w:hAnsi="Trebuchet MS"/>
          <w:b/>
          <w:i w:val="0"/>
          <w:color w:val="000000" w:themeColor="text1"/>
          <w:sz w:val="24"/>
        </w:rPr>
        <w:fldChar w:fldCharType="separate"/>
      </w:r>
      <w:r w:rsidR="009043C2">
        <w:rPr>
          <w:rFonts w:ascii="Trebuchet MS" w:hAnsi="Trebuchet MS"/>
          <w:b/>
          <w:i w:val="0"/>
          <w:noProof/>
          <w:color w:val="000000" w:themeColor="text1"/>
          <w:sz w:val="24"/>
        </w:rPr>
        <w:t>2</w:t>
      </w:r>
      <w:r w:rsidRPr="001262E7">
        <w:rPr>
          <w:rFonts w:ascii="Trebuchet MS" w:hAnsi="Trebuchet MS"/>
          <w:b/>
          <w:i w:val="0"/>
          <w:color w:val="000000" w:themeColor="text1"/>
          <w:sz w:val="24"/>
        </w:rPr>
        <w:fldChar w:fldCharType="end"/>
      </w:r>
      <w:r w:rsidRPr="001262E7">
        <w:rPr>
          <w:rFonts w:ascii="Trebuchet MS" w:hAnsi="Trebuchet MS"/>
          <w:b/>
          <w:i w:val="0"/>
          <w:color w:val="000000" w:themeColor="text1"/>
          <w:sz w:val="24"/>
        </w:rPr>
        <w:t xml:space="preserve"> </w:t>
      </w:r>
      <w:r>
        <w:rPr>
          <w:rFonts w:ascii="Trebuchet MS" w:hAnsi="Trebuchet MS"/>
          <w:b/>
          <w:i w:val="0"/>
          <w:color w:val="000000" w:themeColor="text1"/>
          <w:sz w:val="24"/>
        </w:rPr>
        <w:t>–</w:t>
      </w:r>
      <w:r w:rsidRPr="001262E7">
        <w:rPr>
          <w:rFonts w:ascii="Trebuchet MS" w:hAnsi="Trebuchet MS"/>
          <w:b/>
          <w:i w:val="0"/>
          <w:color w:val="000000" w:themeColor="text1"/>
          <w:sz w:val="24"/>
        </w:rPr>
        <w:t xml:space="preserve"> </w:t>
      </w:r>
      <w:r>
        <w:rPr>
          <w:rFonts w:ascii="Trebuchet MS" w:hAnsi="Trebuchet MS"/>
          <w:b/>
          <w:i w:val="0"/>
          <w:color w:val="000000" w:themeColor="text1"/>
          <w:sz w:val="24"/>
        </w:rPr>
        <w:t>Volume de Vendas do Varejo Restrito e ampliado – Estados Selecionados</w:t>
      </w:r>
    </w:p>
    <w:tbl>
      <w:tblPr>
        <w:tblW w:w="506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2"/>
        <w:gridCol w:w="955"/>
        <w:gridCol w:w="1097"/>
        <w:gridCol w:w="22"/>
        <w:gridCol w:w="933"/>
        <w:gridCol w:w="1097"/>
        <w:gridCol w:w="22"/>
        <w:gridCol w:w="933"/>
        <w:gridCol w:w="1099"/>
        <w:gridCol w:w="22"/>
        <w:gridCol w:w="933"/>
        <w:gridCol w:w="1097"/>
        <w:gridCol w:w="22"/>
        <w:gridCol w:w="933"/>
        <w:gridCol w:w="1098"/>
        <w:gridCol w:w="22"/>
        <w:gridCol w:w="933"/>
        <w:gridCol w:w="1098"/>
        <w:gridCol w:w="16"/>
      </w:tblGrid>
      <w:tr w:rsidR="007D02C3" w:rsidRPr="004178C6" w14:paraId="7630B0E6" w14:textId="77777777" w:rsidTr="004178C6">
        <w:trPr>
          <w:trHeight w:val="330"/>
        </w:trPr>
        <w:tc>
          <w:tcPr>
            <w:tcW w:w="860" w:type="pct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noWrap/>
            <w:vAlign w:val="center"/>
            <w:hideMark/>
          </w:tcPr>
          <w:p w14:paraId="4A659B13" w14:textId="77777777" w:rsidR="007D02C3" w:rsidRPr="004178C6" w:rsidRDefault="007D02C3" w:rsidP="009F6A59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Período</w:t>
            </w:r>
          </w:p>
        </w:tc>
        <w:tc>
          <w:tcPr>
            <w:tcW w:w="743" w:type="pct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noWrap/>
            <w:vAlign w:val="center"/>
            <w:hideMark/>
          </w:tcPr>
          <w:p w14:paraId="36FAF6CD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Brasil</w:t>
            </w:r>
          </w:p>
        </w:tc>
        <w:tc>
          <w:tcPr>
            <w:tcW w:w="680" w:type="pct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noWrap/>
            <w:vAlign w:val="center"/>
            <w:hideMark/>
          </w:tcPr>
          <w:p w14:paraId="54DAFA93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Ceará</w:t>
            </w:r>
          </w:p>
        </w:tc>
        <w:tc>
          <w:tcPr>
            <w:tcW w:w="679" w:type="pct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noWrap/>
            <w:vAlign w:val="center"/>
            <w:hideMark/>
          </w:tcPr>
          <w:p w14:paraId="6FCBCD04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Pernambuco</w:t>
            </w:r>
          </w:p>
        </w:tc>
        <w:tc>
          <w:tcPr>
            <w:tcW w:w="679" w:type="pct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noWrap/>
            <w:vAlign w:val="center"/>
            <w:hideMark/>
          </w:tcPr>
          <w:p w14:paraId="7884F6B4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Bahia</w:t>
            </w:r>
          </w:p>
        </w:tc>
        <w:tc>
          <w:tcPr>
            <w:tcW w:w="679" w:type="pct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noWrap/>
            <w:vAlign w:val="center"/>
            <w:hideMark/>
          </w:tcPr>
          <w:p w14:paraId="1FF95918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Minas Gerais</w:t>
            </w:r>
          </w:p>
        </w:tc>
        <w:tc>
          <w:tcPr>
            <w:tcW w:w="679" w:type="pct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noWrap/>
            <w:vAlign w:val="center"/>
            <w:hideMark/>
          </w:tcPr>
          <w:p w14:paraId="3BDBB161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Espírito Santo</w:t>
            </w:r>
          </w:p>
        </w:tc>
      </w:tr>
      <w:tr w:rsidR="004178C6" w:rsidRPr="004178C6" w14:paraId="41B861A9" w14:textId="77777777" w:rsidTr="004178C6">
        <w:trPr>
          <w:gridAfter w:val="1"/>
          <w:wAfter w:w="6" w:type="pct"/>
          <w:trHeight w:val="675"/>
        </w:trPr>
        <w:tc>
          <w:tcPr>
            <w:tcW w:w="860" w:type="pct"/>
            <w:vMerge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44FF5F84" w14:textId="77777777" w:rsidR="007D02C3" w:rsidRPr="004178C6" w:rsidRDefault="007D02C3" w:rsidP="009F6A59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vAlign w:val="center"/>
            <w:hideMark/>
          </w:tcPr>
          <w:p w14:paraId="14001D74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Varejo Restrito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vAlign w:val="center"/>
            <w:hideMark/>
          </w:tcPr>
          <w:p w14:paraId="63769E17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Varejo Ampliado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vAlign w:val="center"/>
            <w:hideMark/>
          </w:tcPr>
          <w:p w14:paraId="589BC5F9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Varejo Restrito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vAlign w:val="center"/>
            <w:hideMark/>
          </w:tcPr>
          <w:p w14:paraId="6B06D7B1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Varejo Ampliado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vAlign w:val="center"/>
            <w:hideMark/>
          </w:tcPr>
          <w:p w14:paraId="008D9345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Varejo Restrito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vAlign w:val="center"/>
            <w:hideMark/>
          </w:tcPr>
          <w:p w14:paraId="52577C2E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Varejo Ampliado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vAlign w:val="center"/>
            <w:hideMark/>
          </w:tcPr>
          <w:p w14:paraId="0143E0CF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Varejo Restrito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vAlign w:val="center"/>
            <w:hideMark/>
          </w:tcPr>
          <w:p w14:paraId="241419F3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Varejo Ampliado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vAlign w:val="center"/>
            <w:hideMark/>
          </w:tcPr>
          <w:p w14:paraId="32345453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Varejo Restrito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vAlign w:val="center"/>
            <w:hideMark/>
          </w:tcPr>
          <w:p w14:paraId="1C93B95A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Varejo Ampliado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vAlign w:val="center"/>
            <w:hideMark/>
          </w:tcPr>
          <w:p w14:paraId="6A3A6E93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Varejo Restrito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193C"/>
            <w:vAlign w:val="center"/>
            <w:hideMark/>
          </w:tcPr>
          <w:p w14:paraId="5EB0DA6D" w14:textId="77777777" w:rsidR="007D02C3" w:rsidRPr="004178C6" w:rsidRDefault="007D02C3" w:rsidP="001442D5">
            <w:pPr>
              <w:spacing w:after="0" w:line="240" w:lineRule="auto"/>
              <w:ind w:firstLine="0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b/>
                <w:bCs/>
                <w:color w:val="FFFFFF"/>
                <w:sz w:val="22"/>
                <w:lang w:eastAsia="pt-BR"/>
              </w:rPr>
              <w:t>Varejo Ampliado</w:t>
            </w:r>
          </w:p>
        </w:tc>
      </w:tr>
      <w:tr w:rsidR="007D02C3" w:rsidRPr="004178C6" w14:paraId="409B6A47" w14:textId="77777777" w:rsidTr="004178C6">
        <w:trPr>
          <w:gridAfter w:val="1"/>
          <w:wAfter w:w="6" w:type="pct"/>
          <w:trHeight w:val="330"/>
        </w:trPr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776F8" w14:textId="77777777" w:rsidR="007D02C3" w:rsidRPr="004178C6" w:rsidRDefault="007D02C3" w:rsidP="001442D5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 xml:space="preserve">Março / </w:t>
            </w:r>
            <w:proofErr w:type="gramStart"/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Fevereiro</w:t>
            </w:r>
            <w:proofErr w:type="gramEnd"/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 xml:space="preserve"> * 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FB7C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0,3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B9365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1,1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2713D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0,0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F326A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0,9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DCCB9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0,2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3A23C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1,1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A724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-0,1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01DFE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-0,7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B7450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0,8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EF23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1,6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F5E5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1,6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12669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2,0</w:t>
            </w:r>
          </w:p>
        </w:tc>
      </w:tr>
      <w:tr w:rsidR="007D02C3" w:rsidRPr="004178C6" w14:paraId="7062F396" w14:textId="77777777" w:rsidTr="004178C6">
        <w:trPr>
          <w:gridAfter w:val="1"/>
          <w:wAfter w:w="6" w:type="pct"/>
          <w:trHeight w:val="330"/>
        </w:trPr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9015B" w14:textId="77777777" w:rsidR="007D02C3" w:rsidRPr="004178C6" w:rsidRDefault="007D02C3" w:rsidP="001442D5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 xml:space="preserve">Março 2019 / </w:t>
            </w:r>
            <w:proofErr w:type="gramStart"/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Março</w:t>
            </w:r>
            <w:proofErr w:type="gramEnd"/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 xml:space="preserve"> 2018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5D88C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-4,5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608E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-3,4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1FE6E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-5,7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A8970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-4,6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798D4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-6,6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EE2B2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-6,3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B8CCB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-4,3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88D" w14:textId="065A9698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-8</w:t>
            </w:r>
            <w:r w:rsidR="00BE2D8E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,0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05FD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-6,6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BA0AA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-6,4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F66DD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2,6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9DC3C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-4,3</w:t>
            </w:r>
          </w:p>
        </w:tc>
      </w:tr>
      <w:tr w:rsidR="007D02C3" w:rsidRPr="004178C6" w14:paraId="68CF0E5C" w14:textId="77777777" w:rsidTr="004178C6">
        <w:trPr>
          <w:gridAfter w:val="1"/>
          <w:wAfter w:w="6" w:type="pct"/>
          <w:trHeight w:val="330"/>
        </w:trPr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7C332" w14:textId="77777777" w:rsidR="007D02C3" w:rsidRPr="004178C6" w:rsidRDefault="007D02C3" w:rsidP="001442D5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Acumulado em 2019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818D3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0,3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D3151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2,3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9C206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-1,5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5329A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1,1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104A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-2,6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D89F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0,2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41C6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0,2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325FE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-2,1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54BAD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-2,7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513D9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-0,9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74A2C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7,9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52166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6,1</w:t>
            </w:r>
          </w:p>
        </w:tc>
      </w:tr>
      <w:tr w:rsidR="007D02C3" w:rsidRPr="004178C6" w14:paraId="496A7980" w14:textId="77777777" w:rsidTr="004178C6">
        <w:trPr>
          <w:gridAfter w:val="1"/>
          <w:wAfter w:w="6" w:type="pct"/>
          <w:trHeight w:val="345"/>
        </w:trPr>
        <w:tc>
          <w:tcPr>
            <w:tcW w:w="86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6C420" w14:textId="77777777" w:rsidR="007D02C3" w:rsidRPr="004178C6" w:rsidRDefault="007D02C3" w:rsidP="001442D5">
            <w:pPr>
              <w:spacing w:after="0" w:line="240" w:lineRule="auto"/>
              <w:ind w:firstLine="0"/>
              <w:jc w:val="lef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Acumulado em 12 meses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EDE43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1,3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2173A0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3,9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D9F4F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0,9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B57FE7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1,9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89177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-1,4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1662F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1,2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9FEC1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0,1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EF83F" w14:textId="040D0A71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0</w:t>
            </w:r>
            <w:r w:rsidR="00BE2D8E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,0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66353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-1,6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D4A36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1,2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4B20A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7,4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EFADB" w14:textId="77777777" w:rsidR="007D02C3" w:rsidRPr="004178C6" w:rsidRDefault="007D02C3" w:rsidP="001442D5">
            <w:pPr>
              <w:spacing w:after="0" w:line="240" w:lineRule="auto"/>
              <w:ind w:firstLine="0"/>
              <w:jc w:val="right"/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Trebuchet MS" w:eastAsia="Times New Roman" w:hAnsi="Trebuchet MS" w:cs="Calibri"/>
                <w:color w:val="000000"/>
                <w:sz w:val="22"/>
                <w:lang w:eastAsia="pt-BR"/>
              </w:rPr>
              <w:t>10,3</w:t>
            </w:r>
          </w:p>
        </w:tc>
      </w:tr>
      <w:tr w:rsidR="007D02C3" w:rsidRPr="004178C6" w14:paraId="3F12F90B" w14:textId="77777777" w:rsidTr="004178C6">
        <w:trPr>
          <w:gridAfter w:val="1"/>
          <w:wAfter w:w="6" w:type="pct"/>
          <w:trHeight w:val="300"/>
        </w:trPr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0A74" w14:textId="67DC1EC7" w:rsidR="007D02C3" w:rsidRPr="004178C6" w:rsidRDefault="007D02C3" w:rsidP="009F6A5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4178C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* Com Ajuste Sazona</w:t>
            </w:r>
            <w:r w:rsidR="00F727B2" w:rsidRPr="004178C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CDA5" w14:textId="77777777" w:rsidR="007D02C3" w:rsidRPr="004178C6" w:rsidRDefault="007D02C3" w:rsidP="009F6A59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140C" w14:textId="77777777" w:rsidR="007D02C3" w:rsidRPr="004178C6" w:rsidRDefault="007D02C3" w:rsidP="009F6A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szCs w:val="20"/>
                <w:lang w:eastAsia="pt-BR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F9C8" w14:textId="77777777" w:rsidR="007D02C3" w:rsidRPr="004178C6" w:rsidRDefault="007D02C3" w:rsidP="009F6A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szCs w:val="20"/>
                <w:lang w:eastAsia="pt-BR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5D5F" w14:textId="77777777" w:rsidR="007D02C3" w:rsidRPr="004178C6" w:rsidRDefault="007D02C3" w:rsidP="009F6A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szCs w:val="20"/>
                <w:lang w:eastAsia="pt-BR"/>
              </w:rPr>
            </w:pP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FF1F" w14:textId="77777777" w:rsidR="007D02C3" w:rsidRPr="004178C6" w:rsidRDefault="007D02C3" w:rsidP="009F6A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szCs w:val="20"/>
                <w:lang w:eastAsia="pt-BR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1A9B" w14:textId="77777777" w:rsidR="007D02C3" w:rsidRPr="004178C6" w:rsidRDefault="007D02C3" w:rsidP="009F6A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szCs w:val="20"/>
                <w:lang w:eastAsia="pt-BR"/>
              </w:rPr>
            </w:pP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9E0C" w14:textId="77777777" w:rsidR="007D02C3" w:rsidRPr="004178C6" w:rsidRDefault="007D02C3" w:rsidP="009F6A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szCs w:val="20"/>
                <w:lang w:eastAsia="pt-BR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2860" w14:textId="77777777" w:rsidR="007D02C3" w:rsidRPr="004178C6" w:rsidRDefault="007D02C3" w:rsidP="009F6A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szCs w:val="20"/>
                <w:lang w:eastAsia="pt-BR"/>
              </w:rPr>
            </w:pP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A193" w14:textId="77777777" w:rsidR="007D02C3" w:rsidRPr="004178C6" w:rsidRDefault="007D02C3" w:rsidP="009F6A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szCs w:val="20"/>
                <w:lang w:eastAsia="pt-BR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4ECE" w14:textId="77777777" w:rsidR="007D02C3" w:rsidRPr="004178C6" w:rsidRDefault="007D02C3" w:rsidP="009F6A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szCs w:val="20"/>
                <w:lang w:eastAsia="pt-BR"/>
              </w:rPr>
            </w:pP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1CD7" w14:textId="77777777" w:rsidR="007D02C3" w:rsidRPr="004178C6" w:rsidRDefault="007D02C3" w:rsidP="009F6A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szCs w:val="20"/>
                <w:lang w:eastAsia="pt-BR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1C13" w14:textId="77777777" w:rsidR="007D02C3" w:rsidRPr="004178C6" w:rsidRDefault="007D02C3" w:rsidP="009F6A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szCs w:val="20"/>
                <w:lang w:eastAsia="pt-BR"/>
              </w:rPr>
            </w:pPr>
          </w:p>
        </w:tc>
      </w:tr>
    </w:tbl>
    <w:p w14:paraId="55E8E34D" w14:textId="77777777" w:rsidR="00BC7462" w:rsidRDefault="00BC7462" w:rsidP="00BC7462">
      <w:pPr>
        <w:pStyle w:val="Legenda"/>
        <w:keepNext/>
        <w:ind w:firstLine="0"/>
        <w:rPr>
          <w:rFonts w:ascii="Trebuchet MS" w:hAnsi="Trebuchet MS"/>
          <w:b/>
          <w:i w:val="0"/>
          <w:color w:val="auto"/>
          <w:sz w:val="24"/>
          <w:szCs w:val="24"/>
        </w:rPr>
      </w:pPr>
    </w:p>
    <w:p w14:paraId="6264E5AD" w14:textId="293C4078" w:rsidR="00BC7462" w:rsidRPr="00BC7462" w:rsidRDefault="00BC7462" w:rsidP="00BC7462">
      <w:pPr>
        <w:pStyle w:val="Legenda"/>
        <w:keepNext/>
        <w:ind w:firstLine="0"/>
        <w:rPr>
          <w:rFonts w:ascii="Trebuchet MS" w:hAnsi="Trebuchet MS"/>
          <w:b/>
          <w:i w:val="0"/>
          <w:color w:val="auto"/>
          <w:sz w:val="24"/>
          <w:szCs w:val="24"/>
        </w:rPr>
      </w:pPr>
      <w:r w:rsidRPr="00BC7462">
        <w:rPr>
          <w:rFonts w:ascii="Trebuchet MS" w:hAnsi="Trebuchet MS"/>
          <w:b/>
          <w:i w:val="0"/>
          <w:color w:val="auto"/>
          <w:sz w:val="24"/>
          <w:szCs w:val="24"/>
        </w:rPr>
        <w:t xml:space="preserve">Gráfico </w:t>
      </w:r>
      <w:r w:rsidRPr="00BC7462">
        <w:rPr>
          <w:rFonts w:ascii="Trebuchet MS" w:hAnsi="Trebuchet MS"/>
          <w:b/>
          <w:i w:val="0"/>
          <w:color w:val="auto"/>
          <w:sz w:val="24"/>
          <w:szCs w:val="24"/>
        </w:rPr>
        <w:fldChar w:fldCharType="begin"/>
      </w:r>
      <w:r w:rsidRPr="00BC7462">
        <w:rPr>
          <w:rFonts w:ascii="Trebuchet MS" w:hAnsi="Trebuchet MS"/>
          <w:b/>
          <w:i w:val="0"/>
          <w:color w:val="auto"/>
          <w:sz w:val="24"/>
          <w:szCs w:val="24"/>
        </w:rPr>
        <w:instrText xml:space="preserve"> SEQ Gráfico \* ARABIC </w:instrText>
      </w:r>
      <w:r w:rsidRPr="00BC7462">
        <w:rPr>
          <w:rFonts w:ascii="Trebuchet MS" w:hAnsi="Trebuchet MS"/>
          <w:b/>
          <w:i w:val="0"/>
          <w:color w:val="auto"/>
          <w:sz w:val="24"/>
          <w:szCs w:val="24"/>
        </w:rPr>
        <w:fldChar w:fldCharType="separate"/>
      </w:r>
      <w:r w:rsidR="009043C2">
        <w:rPr>
          <w:rFonts w:ascii="Trebuchet MS" w:hAnsi="Trebuchet MS"/>
          <w:b/>
          <w:i w:val="0"/>
          <w:noProof/>
          <w:color w:val="auto"/>
          <w:sz w:val="24"/>
          <w:szCs w:val="24"/>
        </w:rPr>
        <w:t>1</w:t>
      </w:r>
      <w:r w:rsidRPr="00BC7462">
        <w:rPr>
          <w:rFonts w:ascii="Trebuchet MS" w:hAnsi="Trebuchet MS"/>
          <w:b/>
          <w:i w:val="0"/>
          <w:color w:val="auto"/>
          <w:sz w:val="24"/>
          <w:szCs w:val="24"/>
        </w:rPr>
        <w:fldChar w:fldCharType="end"/>
      </w:r>
      <w:r w:rsidRPr="00BC7462">
        <w:rPr>
          <w:rFonts w:ascii="Trebuchet MS" w:hAnsi="Trebuchet MS"/>
          <w:b/>
          <w:i w:val="0"/>
          <w:color w:val="auto"/>
          <w:sz w:val="24"/>
          <w:szCs w:val="24"/>
        </w:rPr>
        <w:t xml:space="preserve"> - Variação (%) do volume de vendas do comércio – Brasil e Estados selecionados – Acumulado do Ano</w:t>
      </w:r>
    </w:p>
    <w:p w14:paraId="53CBFC7B" w14:textId="5992FA51" w:rsidR="00915006" w:rsidRDefault="00C26432" w:rsidP="00476135">
      <w:pPr>
        <w:ind w:firstLine="0"/>
        <w:jc w:val="center"/>
      </w:pPr>
      <w:r>
        <w:rPr>
          <w:noProof/>
        </w:rPr>
        <w:drawing>
          <wp:inline distT="0" distB="0" distL="0" distR="0" wp14:anchorId="7699C90B" wp14:editId="3D474B70">
            <wp:extent cx="9167750" cy="5579745"/>
            <wp:effectExtent l="0" t="0" r="14605" b="190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0953AC-3A47-4514-82AB-C4414DD1F5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15006" w:rsidSect="007D02C3">
      <w:pgSz w:w="16838" w:h="11906" w:orient="landscape" w:code="9"/>
      <w:pgMar w:top="993" w:right="1701" w:bottom="851" w:left="1134" w:header="113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C3"/>
    <w:rsid w:val="00007BDD"/>
    <w:rsid w:val="001442D5"/>
    <w:rsid w:val="00262BD0"/>
    <w:rsid w:val="00272125"/>
    <w:rsid w:val="002E036C"/>
    <w:rsid w:val="003A35E2"/>
    <w:rsid w:val="004178C6"/>
    <w:rsid w:val="00422019"/>
    <w:rsid w:val="00476135"/>
    <w:rsid w:val="0053218C"/>
    <w:rsid w:val="00716192"/>
    <w:rsid w:val="007D02C3"/>
    <w:rsid w:val="008A295C"/>
    <w:rsid w:val="009043C2"/>
    <w:rsid w:val="00915006"/>
    <w:rsid w:val="00932BA2"/>
    <w:rsid w:val="009951DC"/>
    <w:rsid w:val="00A31D36"/>
    <w:rsid w:val="00A5077D"/>
    <w:rsid w:val="00BC7462"/>
    <w:rsid w:val="00BE2D8E"/>
    <w:rsid w:val="00C26432"/>
    <w:rsid w:val="00C46E2A"/>
    <w:rsid w:val="00C93213"/>
    <w:rsid w:val="00C95B66"/>
    <w:rsid w:val="00CD0B55"/>
    <w:rsid w:val="00D76C02"/>
    <w:rsid w:val="00F7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EED6"/>
  <w15:chartTrackingRefBased/>
  <w15:docId w15:val="{3692D13D-D987-4287-AAAE-104D5CBB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2C3"/>
    <w:pPr>
      <w:spacing w:after="160"/>
      <w:ind w:left="0"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53218C"/>
    <w:pPr>
      <w:keepNext/>
      <w:keepLines/>
      <w:tabs>
        <w:tab w:val="left" w:pos="709"/>
      </w:tabs>
      <w:spacing w:line="240" w:lineRule="auto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218C"/>
    <w:rPr>
      <w:rFonts w:eastAsiaTheme="majorEastAsia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after="120" w:line="240" w:lineRule="auto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7D02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48da2118d25344/Alysson/Unifor/Monitoria/TPE/Elabora&#231;&#227;o%20dos%20Boletins/Pesquisa%20Mensal%20de%20Com&#233;rcio/Gr&#225;ficos%20e%20Tabelas/Gr&#225;ficos%20e%20Tabel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'[Gráficos e Tabelas.xlsx]Gráfico - 1'!$C$2</c:f>
              <c:strCache>
                <c:ptCount val="1"/>
                <c:pt idx="0">
                  <c:v>Verejo Restrito </c:v>
                </c:pt>
              </c:strCache>
            </c:strRef>
          </c:tx>
          <c:spPr>
            <a:solidFill>
              <a:srgbClr val="A6193C"/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Trebuchet MS" panose="020B0603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'[Gráficos e Tabelas.xlsx]Gráfico - 1'!$B$3:$B$14</c:f>
              <c:strCache>
                <c:ptCount val="12"/>
                <c:pt idx="0">
                  <c:v>Brasil</c:v>
                </c:pt>
                <c:pt idx="1">
                  <c:v>Maranhão</c:v>
                </c:pt>
                <c:pt idx="2">
                  <c:v>Piauí</c:v>
                </c:pt>
                <c:pt idx="3">
                  <c:v>Ceará</c:v>
                </c:pt>
                <c:pt idx="4">
                  <c:v>Rio Grande do Norte</c:v>
                </c:pt>
                <c:pt idx="5">
                  <c:v>Paraíba</c:v>
                </c:pt>
                <c:pt idx="6">
                  <c:v>Pernambuco</c:v>
                </c:pt>
                <c:pt idx="7">
                  <c:v>Alagoas</c:v>
                </c:pt>
                <c:pt idx="8">
                  <c:v>Sergipe</c:v>
                </c:pt>
                <c:pt idx="9">
                  <c:v>Bahia</c:v>
                </c:pt>
                <c:pt idx="10">
                  <c:v>Minas Gerais</c:v>
                </c:pt>
                <c:pt idx="11">
                  <c:v>Espírito Santo</c:v>
                </c:pt>
              </c:strCache>
            </c:strRef>
          </c:cat>
          <c:val>
            <c:numRef>
              <c:f>'[Gráficos e Tabelas.xlsx]Gráfico - 1'!$C$3:$C$14</c:f>
              <c:numCache>
                <c:formatCode>General</c:formatCode>
                <c:ptCount val="12"/>
                <c:pt idx="0">
                  <c:v>0.3</c:v>
                </c:pt>
                <c:pt idx="1">
                  <c:v>-0.1</c:v>
                </c:pt>
                <c:pt idx="2">
                  <c:v>-7.2</c:v>
                </c:pt>
                <c:pt idx="3">
                  <c:v>-1.5</c:v>
                </c:pt>
                <c:pt idx="4">
                  <c:v>-2</c:v>
                </c:pt>
                <c:pt idx="5">
                  <c:v>-5.5</c:v>
                </c:pt>
                <c:pt idx="6">
                  <c:v>-2.6</c:v>
                </c:pt>
                <c:pt idx="7">
                  <c:v>-3.1</c:v>
                </c:pt>
                <c:pt idx="8">
                  <c:v>-2.1</c:v>
                </c:pt>
                <c:pt idx="9">
                  <c:v>0.2</c:v>
                </c:pt>
                <c:pt idx="10">
                  <c:v>-2.7</c:v>
                </c:pt>
                <c:pt idx="11">
                  <c:v>7.9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8B-407D-B4DC-26CB1929AEFB}"/>
            </c:ext>
          </c:extLst>
        </c:ser>
        <c:ser>
          <c:idx val="1"/>
          <c:order val="1"/>
          <c:tx>
            <c:strRef>
              <c:f>'[Gráficos e Tabelas.xlsx]Gráfico - 1'!$D$2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Trebuchet MS" panose="020B0603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'[Gráficos e Tabelas.xlsx]Gráfico - 1'!$B$3:$B$14</c:f>
              <c:strCache>
                <c:ptCount val="12"/>
                <c:pt idx="0">
                  <c:v>Brasil</c:v>
                </c:pt>
                <c:pt idx="1">
                  <c:v>Maranhão</c:v>
                </c:pt>
                <c:pt idx="2">
                  <c:v>Piauí</c:v>
                </c:pt>
                <c:pt idx="3">
                  <c:v>Ceará</c:v>
                </c:pt>
                <c:pt idx="4">
                  <c:v>Rio Grande do Norte</c:v>
                </c:pt>
                <c:pt idx="5">
                  <c:v>Paraíba</c:v>
                </c:pt>
                <c:pt idx="6">
                  <c:v>Pernambuco</c:v>
                </c:pt>
                <c:pt idx="7">
                  <c:v>Alagoas</c:v>
                </c:pt>
                <c:pt idx="8">
                  <c:v>Sergipe</c:v>
                </c:pt>
                <c:pt idx="9">
                  <c:v>Bahia</c:v>
                </c:pt>
                <c:pt idx="10">
                  <c:v>Minas Gerais</c:v>
                </c:pt>
                <c:pt idx="11">
                  <c:v>Espírito Santo</c:v>
                </c:pt>
              </c:strCache>
            </c:strRef>
          </c:cat>
          <c:val>
            <c:numRef>
              <c:f>'[Gráficos e Tabelas.xlsx]Gráfico - 1'!$D$3:$D$14</c:f>
              <c:numCache>
                <c:formatCode>General</c:formatCode>
                <c:ptCount val="12"/>
                <c:pt idx="0">
                  <c:v>2.2999999999999998</c:v>
                </c:pt>
                <c:pt idx="1">
                  <c:v>0.2</c:v>
                </c:pt>
                <c:pt idx="2">
                  <c:v>-1</c:v>
                </c:pt>
                <c:pt idx="3">
                  <c:v>1.1000000000000001</c:v>
                </c:pt>
                <c:pt idx="4">
                  <c:v>0.2</c:v>
                </c:pt>
                <c:pt idx="5">
                  <c:v>-4.9000000000000004</c:v>
                </c:pt>
                <c:pt idx="6">
                  <c:v>0.2</c:v>
                </c:pt>
                <c:pt idx="7">
                  <c:v>-1.3</c:v>
                </c:pt>
                <c:pt idx="8">
                  <c:v>0.3</c:v>
                </c:pt>
                <c:pt idx="9">
                  <c:v>-2.1</c:v>
                </c:pt>
                <c:pt idx="10">
                  <c:v>-0.9</c:v>
                </c:pt>
                <c:pt idx="11">
                  <c:v>6.1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8B-407D-B4DC-26CB1929AEF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7"/>
        <c:axId val="311545104"/>
        <c:axId val="505496640"/>
      </c:barChart>
      <c:catAx>
        <c:axId val="311545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Trebuchet MS" panose="020B0603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505496640"/>
        <c:crosses val="autoZero"/>
        <c:auto val="1"/>
        <c:lblAlgn val="ctr"/>
        <c:lblOffset val="1000"/>
        <c:noMultiLvlLbl val="0"/>
      </c:catAx>
      <c:valAx>
        <c:axId val="5054966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11545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3629097357679649"/>
          <c:y val="6.1454421304199383E-2"/>
          <c:w val="0.33729587865582278"/>
          <c:h val="3.37898954163675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80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Oliveira</dc:creator>
  <cp:keywords/>
  <dc:description/>
  <cp:lastModifiedBy>Alysson Oliveira</cp:lastModifiedBy>
  <cp:revision>17</cp:revision>
  <cp:lastPrinted>2019-05-10T15:53:00Z</cp:lastPrinted>
  <dcterms:created xsi:type="dcterms:W3CDTF">2019-05-10T14:26:00Z</dcterms:created>
  <dcterms:modified xsi:type="dcterms:W3CDTF">2019-05-10T15:54:00Z</dcterms:modified>
</cp:coreProperties>
</file>