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33657" w14:textId="1A7C6FEE" w:rsidR="008F7625" w:rsidRDefault="00261705" w:rsidP="00EC2002">
      <w:pPr>
        <w:spacing w:after="200" w:line="276" w:lineRule="auto"/>
        <w:ind w:firstLine="0"/>
        <w:jc w:val="center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Vendas no varej</w:t>
      </w:r>
      <w:r w:rsidR="00AA0D8A">
        <w:rPr>
          <w:rFonts w:asciiTheme="minorHAnsi" w:hAnsiTheme="minorHAnsi"/>
          <w:b/>
          <w:szCs w:val="24"/>
        </w:rPr>
        <w:t>o</w:t>
      </w:r>
      <w:r>
        <w:rPr>
          <w:rFonts w:asciiTheme="minorHAnsi" w:hAnsiTheme="minorHAnsi"/>
          <w:b/>
          <w:szCs w:val="24"/>
        </w:rPr>
        <w:t xml:space="preserve"> volta</w:t>
      </w:r>
      <w:r w:rsidR="002D00C5">
        <w:rPr>
          <w:rFonts w:asciiTheme="minorHAnsi" w:hAnsiTheme="minorHAnsi"/>
          <w:b/>
          <w:szCs w:val="24"/>
        </w:rPr>
        <w:t>m</w:t>
      </w:r>
      <w:r>
        <w:rPr>
          <w:rFonts w:asciiTheme="minorHAnsi" w:hAnsiTheme="minorHAnsi"/>
          <w:b/>
          <w:szCs w:val="24"/>
        </w:rPr>
        <w:t xml:space="preserve"> a </w:t>
      </w:r>
      <w:r w:rsidR="00AA0D8A">
        <w:rPr>
          <w:rFonts w:asciiTheme="minorHAnsi" w:hAnsiTheme="minorHAnsi"/>
          <w:b/>
          <w:szCs w:val="24"/>
        </w:rPr>
        <w:t>diminuir</w:t>
      </w:r>
      <w:r w:rsidR="00A86247">
        <w:rPr>
          <w:rFonts w:asciiTheme="minorHAnsi" w:hAnsiTheme="minorHAnsi"/>
          <w:b/>
          <w:szCs w:val="24"/>
        </w:rPr>
        <w:t xml:space="preserve"> no Nordeste</w:t>
      </w:r>
      <w:r>
        <w:rPr>
          <w:rFonts w:asciiTheme="minorHAnsi" w:hAnsiTheme="minorHAnsi"/>
          <w:b/>
          <w:szCs w:val="24"/>
        </w:rPr>
        <w:t xml:space="preserve"> no primeiro semestre de 2019</w:t>
      </w:r>
    </w:p>
    <w:p w14:paraId="549832C2" w14:textId="563DA7EB" w:rsidR="00082910" w:rsidRDefault="00974175" w:rsidP="00793FBE">
      <w:pPr>
        <w:spacing w:before="120" w:after="120" w:line="264" w:lineRule="auto"/>
        <w:ind w:firstLine="0"/>
        <w:rPr>
          <w:rFonts w:asciiTheme="minorHAnsi" w:hAnsiTheme="minorHAnsi"/>
          <w:sz w:val="20"/>
          <w:szCs w:val="20"/>
        </w:rPr>
      </w:pPr>
      <w:r w:rsidRPr="00793FBE">
        <w:rPr>
          <w:rFonts w:asciiTheme="minorHAnsi" w:hAnsiTheme="minorHAnsi"/>
          <w:sz w:val="20"/>
          <w:szCs w:val="20"/>
        </w:rPr>
        <w:t xml:space="preserve">Conforme divulgado </w:t>
      </w:r>
      <w:r w:rsidR="009F665B" w:rsidRPr="00793FBE">
        <w:rPr>
          <w:rFonts w:asciiTheme="minorHAnsi" w:hAnsiTheme="minorHAnsi"/>
          <w:sz w:val="20"/>
          <w:szCs w:val="20"/>
        </w:rPr>
        <w:t>pelo</w:t>
      </w:r>
      <w:r w:rsidR="00AE09F0" w:rsidRPr="00793FBE">
        <w:rPr>
          <w:rFonts w:asciiTheme="minorHAnsi" w:hAnsiTheme="minorHAnsi"/>
          <w:sz w:val="20"/>
          <w:szCs w:val="20"/>
        </w:rPr>
        <w:t xml:space="preserve"> Instituto </w:t>
      </w:r>
      <w:r w:rsidR="00C22978" w:rsidRPr="00793FBE">
        <w:rPr>
          <w:rFonts w:asciiTheme="minorHAnsi" w:hAnsiTheme="minorHAnsi"/>
          <w:sz w:val="20"/>
          <w:szCs w:val="20"/>
        </w:rPr>
        <w:t xml:space="preserve">Brasileiro </w:t>
      </w:r>
      <w:r w:rsidR="00483CD8" w:rsidRPr="00793FBE">
        <w:rPr>
          <w:rFonts w:asciiTheme="minorHAnsi" w:hAnsiTheme="minorHAnsi"/>
          <w:sz w:val="20"/>
          <w:szCs w:val="20"/>
        </w:rPr>
        <w:t xml:space="preserve">de Geografia e </w:t>
      </w:r>
      <w:r w:rsidR="00EA66DF" w:rsidRPr="00793FBE">
        <w:rPr>
          <w:rFonts w:asciiTheme="minorHAnsi" w:hAnsiTheme="minorHAnsi"/>
          <w:sz w:val="20"/>
          <w:szCs w:val="20"/>
        </w:rPr>
        <w:t xml:space="preserve">Estatística </w:t>
      </w:r>
      <w:r w:rsidR="00207260" w:rsidRPr="00793FBE">
        <w:rPr>
          <w:rFonts w:asciiTheme="minorHAnsi" w:hAnsiTheme="minorHAnsi"/>
          <w:sz w:val="20"/>
          <w:szCs w:val="20"/>
        </w:rPr>
        <w:t>(IBGE)</w:t>
      </w:r>
      <w:r w:rsidR="00C16BF7" w:rsidRPr="00793FBE">
        <w:rPr>
          <w:rFonts w:asciiTheme="minorHAnsi" w:hAnsiTheme="minorHAnsi"/>
          <w:sz w:val="20"/>
          <w:szCs w:val="20"/>
        </w:rPr>
        <w:t xml:space="preserve">, </w:t>
      </w:r>
      <w:r w:rsidR="00482F6E" w:rsidRPr="00793FBE">
        <w:rPr>
          <w:rFonts w:asciiTheme="minorHAnsi" w:hAnsiTheme="minorHAnsi"/>
          <w:sz w:val="20"/>
          <w:szCs w:val="20"/>
        </w:rPr>
        <w:t xml:space="preserve">o </w:t>
      </w:r>
      <w:r w:rsidR="00B62718">
        <w:rPr>
          <w:rFonts w:asciiTheme="minorHAnsi" w:hAnsiTheme="minorHAnsi"/>
          <w:sz w:val="20"/>
          <w:szCs w:val="20"/>
        </w:rPr>
        <w:t xml:space="preserve">volume de vendas </w:t>
      </w:r>
      <w:r w:rsidR="00066D5C">
        <w:rPr>
          <w:rFonts w:asciiTheme="minorHAnsi" w:hAnsiTheme="minorHAnsi"/>
          <w:sz w:val="20"/>
          <w:szCs w:val="20"/>
        </w:rPr>
        <w:t>do comercio varejista</w:t>
      </w:r>
      <w:r w:rsidR="00CF64EF">
        <w:rPr>
          <w:rFonts w:asciiTheme="minorHAnsi" w:hAnsiTheme="minorHAnsi"/>
          <w:sz w:val="20"/>
          <w:szCs w:val="20"/>
        </w:rPr>
        <w:t xml:space="preserve"> registrou crescimento</w:t>
      </w:r>
      <w:r w:rsidR="00066D5C">
        <w:rPr>
          <w:rFonts w:asciiTheme="minorHAnsi" w:hAnsiTheme="minorHAnsi"/>
          <w:sz w:val="20"/>
          <w:szCs w:val="20"/>
        </w:rPr>
        <w:t xml:space="preserve"> </w:t>
      </w:r>
      <w:r w:rsidR="000262A2">
        <w:rPr>
          <w:rFonts w:asciiTheme="minorHAnsi" w:hAnsiTheme="minorHAnsi"/>
          <w:sz w:val="20"/>
          <w:szCs w:val="20"/>
        </w:rPr>
        <w:t xml:space="preserve">de </w:t>
      </w:r>
      <w:r w:rsidR="00A105FE">
        <w:rPr>
          <w:rFonts w:asciiTheme="minorHAnsi" w:hAnsiTheme="minorHAnsi"/>
          <w:sz w:val="20"/>
          <w:szCs w:val="20"/>
        </w:rPr>
        <w:t>0,1%</w:t>
      </w:r>
      <w:r w:rsidR="00D577D6">
        <w:rPr>
          <w:rFonts w:asciiTheme="minorHAnsi" w:hAnsiTheme="minorHAnsi"/>
          <w:sz w:val="20"/>
          <w:szCs w:val="20"/>
        </w:rPr>
        <w:t xml:space="preserve"> em comparação </w:t>
      </w:r>
      <w:r w:rsidR="00927F4E">
        <w:rPr>
          <w:rFonts w:asciiTheme="minorHAnsi" w:hAnsiTheme="minorHAnsi"/>
          <w:sz w:val="20"/>
          <w:szCs w:val="20"/>
        </w:rPr>
        <w:t>a</w:t>
      </w:r>
      <w:r w:rsidR="00D577D6">
        <w:rPr>
          <w:rFonts w:asciiTheme="minorHAnsi" w:hAnsiTheme="minorHAnsi"/>
          <w:sz w:val="20"/>
          <w:szCs w:val="20"/>
        </w:rPr>
        <w:t>o</w:t>
      </w:r>
      <w:r w:rsidR="00FE789E">
        <w:rPr>
          <w:rFonts w:asciiTheme="minorHAnsi" w:hAnsiTheme="minorHAnsi"/>
          <w:sz w:val="20"/>
          <w:szCs w:val="20"/>
        </w:rPr>
        <w:t xml:space="preserve"> mês</w:t>
      </w:r>
      <w:r w:rsidR="00F5161F">
        <w:rPr>
          <w:rFonts w:asciiTheme="minorHAnsi" w:hAnsiTheme="minorHAnsi"/>
          <w:sz w:val="20"/>
          <w:szCs w:val="20"/>
        </w:rPr>
        <w:t xml:space="preserve"> de março de 2019</w:t>
      </w:r>
      <w:r w:rsidR="00FE789E">
        <w:rPr>
          <w:rFonts w:asciiTheme="minorHAnsi" w:hAnsiTheme="minorHAnsi"/>
          <w:sz w:val="20"/>
          <w:szCs w:val="20"/>
        </w:rPr>
        <w:t xml:space="preserve"> e</w:t>
      </w:r>
      <w:r w:rsidR="00213F4F">
        <w:rPr>
          <w:rFonts w:asciiTheme="minorHAnsi" w:hAnsiTheme="minorHAnsi"/>
          <w:sz w:val="20"/>
          <w:szCs w:val="20"/>
        </w:rPr>
        <w:t xml:space="preserve"> queda de 0,3% quando comparado com o</w:t>
      </w:r>
      <w:r w:rsidR="0041349A">
        <w:rPr>
          <w:rFonts w:asciiTheme="minorHAnsi" w:hAnsiTheme="minorHAnsi"/>
          <w:sz w:val="20"/>
          <w:szCs w:val="20"/>
        </w:rPr>
        <w:t xml:space="preserve"> mesmo período do ano anterior</w:t>
      </w:r>
      <w:r w:rsidR="0006320A">
        <w:rPr>
          <w:rFonts w:asciiTheme="minorHAnsi" w:hAnsiTheme="minorHAnsi"/>
          <w:sz w:val="20"/>
          <w:szCs w:val="20"/>
        </w:rPr>
        <w:t xml:space="preserve">. </w:t>
      </w:r>
      <w:r w:rsidR="003756B9">
        <w:rPr>
          <w:rFonts w:asciiTheme="minorHAnsi" w:hAnsiTheme="minorHAnsi"/>
          <w:sz w:val="20"/>
          <w:szCs w:val="20"/>
        </w:rPr>
        <w:t xml:space="preserve">O comercio ampliado, que inclui </w:t>
      </w:r>
      <w:r w:rsidR="00F51A52">
        <w:rPr>
          <w:rFonts w:asciiTheme="minorHAnsi" w:hAnsiTheme="minorHAnsi"/>
          <w:sz w:val="20"/>
          <w:szCs w:val="20"/>
        </w:rPr>
        <w:t xml:space="preserve">varejo restrito mais </w:t>
      </w:r>
      <w:r w:rsidR="007B0FC9">
        <w:rPr>
          <w:rFonts w:asciiTheme="minorHAnsi" w:hAnsiTheme="minorHAnsi"/>
          <w:sz w:val="20"/>
          <w:szCs w:val="20"/>
        </w:rPr>
        <w:t xml:space="preserve">a comercialização de veículos </w:t>
      </w:r>
      <w:r w:rsidR="00667F7B">
        <w:rPr>
          <w:rFonts w:asciiTheme="minorHAnsi" w:hAnsiTheme="minorHAnsi"/>
          <w:sz w:val="20"/>
          <w:szCs w:val="20"/>
        </w:rPr>
        <w:t xml:space="preserve">e material </w:t>
      </w:r>
      <w:r w:rsidR="00E36224">
        <w:rPr>
          <w:rFonts w:asciiTheme="minorHAnsi" w:hAnsiTheme="minorHAnsi"/>
          <w:sz w:val="20"/>
          <w:szCs w:val="20"/>
        </w:rPr>
        <w:t xml:space="preserve">de construção, </w:t>
      </w:r>
      <w:r w:rsidR="00C75424">
        <w:rPr>
          <w:rFonts w:asciiTheme="minorHAnsi" w:hAnsiTheme="minorHAnsi"/>
          <w:sz w:val="20"/>
          <w:szCs w:val="20"/>
        </w:rPr>
        <w:t>não obteve variação</w:t>
      </w:r>
      <w:r w:rsidR="00AF22A9">
        <w:rPr>
          <w:rFonts w:asciiTheme="minorHAnsi" w:hAnsiTheme="minorHAnsi"/>
          <w:sz w:val="20"/>
          <w:szCs w:val="20"/>
        </w:rPr>
        <w:t xml:space="preserve"> </w:t>
      </w:r>
      <w:r w:rsidR="00380858">
        <w:rPr>
          <w:rFonts w:asciiTheme="minorHAnsi" w:hAnsiTheme="minorHAnsi"/>
          <w:sz w:val="20"/>
          <w:szCs w:val="20"/>
        </w:rPr>
        <w:t>(0,0%)</w:t>
      </w:r>
      <w:r w:rsidR="00D07F34">
        <w:rPr>
          <w:rFonts w:asciiTheme="minorHAnsi" w:hAnsiTheme="minorHAnsi"/>
          <w:sz w:val="20"/>
          <w:szCs w:val="20"/>
        </w:rPr>
        <w:t xml:space="preserve"> na comparação com </w:t>
      </w:r>
      <w:r w:rsidR="00BC3742">
        <w:rPr>
          <w:rFonts w:asciiTheme="minorHAnsi" w:hAnsiTheme="minorHAnsi"/>
          <w:sz w:val="20"/>
          <w:szCs w:val="20"/>
        </w:rPr>
        <w:t>o mês anterior, no entanto</w:t>
      </w:r>
      <w:r w:rsidR="00AB574B">
        <w:rPr>
          <w:rFonts w:asciiTheme="minorHAnsi" w:hAnsiTheme="minorHAnsi"/>
          <w:sz w:val="20"/>
          <w:szCs w:val="20"/>
        </w:rPr>
        <w:t xml:space="preserve">, frente a junho de 2018, </w:t>
      </w:r>
      <w:r w:rsidR="005F0C99">
        <w:rPr>
          <w:rFonts w:asciiTheme="minorHAnsi" w:hAnsiTheme="minorHAnsi"/>
          <w:sz w:val="20"/>
          <w:szCs w:val="20"/>
        </w:rPr>
        <w:t xml:space="preserve">expandiu-se </w:t>
      </w:r>
      <w:r w:rsidR="002B4E94">
        <w:rPr>
          <w:rFonts w:asciiTheme="minorHAnsi" w:hAnsiTheme="minorHAnsi"/>
          <w:sz w:val="20"/>
          <w:szCs w:val="20"/>
        </w:rPr>
        <w:t>1,7%</w:t>
      </w:r>
      <w:r w:rsidR="000C2EB6">
        <w:rPr>
          <w:rFonts w:asciiTheme="minorHAnsi" w:hAnsiTheme="minorHAnsi"/>
          <w:sz w:val="20"/>
          <w:szCs w:val="20"/>
        </w:rPr>
        <w:t xml:space="preserve">. </w:t>
      </w:r>
    </w:p>
    <w:p w14:paraId="165FD457" w14:textId="3C9EF4D4" w:rsidR="000C2EB6" w:rsidRDefault="00512757" w:rsidP="00793FBE">
      <w:pPr>
        <w:spacing w:before="120" w:after="120" w:line="264" w:lineRule="auto"/>
        <w:ind w:firstLine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No acumulado do ano, </w:t>
      </w:r>
      <w:r w:rsidR="00C11937">
        <w:rPr>
          <w:rFonts w:asciiTheme="minorHAnsi" w:hAnsiTheme="minorHAnsi"/>
          <w:sz w:val="20"/>
          <w:szCs w:val="20"/>
        </w:rPr>
        <w:t xml:space="preserve">o comercio varejista restrito obteve </w:t>
      </w:r>
      <w:r w:rsidR="005B3E0B">
        <w:rPr>
          <w:rFonts w:asciiTheme="minorHAnsi" w:hAnsiTheme="minorHAnsi"/>
          <w:sz w:val="20"/>
          <w:szCs w:val="20"/>
        </w:rPr>
        <w:t xml:space="preserve">leve crescimento de 0,6% </w:t>
      </w:r>
      <w:r w:rsidR="003D1E16">
        <w:rPr>
          <w:rFonts w:asciiTheme="minorHAnsi" w:hAnsiTheme="minorHAnsi"/>
          <w:sz w:val="20"/>
          <w:szCs w:val="20"/>
        </w:rPr>
        <w:t>no país</w:t>
      </w:r>
      <w:r w:rsidR="00B370E3">
        <w:rPr>
          <w:rFonts w:asciiTheme="minorHAnsi" w:hAnsiTheme="minorHAnsi"/>
          <w:sz w:val="20"/>
          <w:szCs w:val="20"/>
        </w:rPr>
        <w:t>,</w:t>
      </w:r>
      <w:r w:rsidR="00035AB1">
        <w:rPr>
          <w:rFonts w:asciiTheme="minorHAnsi" w:hAnsiTheme="minorHAnsi"/>
          <w:sz w:val="20"/>
          <w:szCs w:val="20"/>
        </w:rPr>
        <w:t xml:space="preserve"> enquanto o </w:t>
      </w:r>
      <w:r w:rsidR="00FB7B31">
        <w:rPr>
          <w:rFonts w:asciiTheme="minorHAnsi" w:hAnsiTheme="minorHAnsi"/>
          <w:sz w:val="20"/>
          <w:szCs w:val="20"/>
        </w:rPr>
        <w:t xml:space="preserve">varejo ampliado </w:t>
      </w:r>
      <w:r w:rsidR="00F264B0">
        <w:rPr>
          <w:rFonts w:asciiTheme="minorHAnsi" w:hAnsiTheme="minorHAnsi"/>
          <w:sz w:val="20"/>
          <w:szCs w:val="20"/>
        </w:rPr>
        <w:t xml:space="preserve">registrou </w:t>
      </w:r>
      <w:r w:rsidR="0068769C">
        <w:rPr>
          <w:rFonts w:asciiTheme="minorHAnsi" w:hAnsiTheme="minorHAnsi"/>
          <w:sz w:val="20"/>
          <w:szCs w:val="20"/>
        </w:rPr>
        <w:t>crescimento de 3,2%</w:t>
      </w:r>
      <w:r w:rsidR="0010373F">
        <w:rPr>
          <w:rFonts w:asciiTheme="minorHAnsi" w:hAnsiTheme="minorHAnsi"/>
          <w:sz w:val="20"/>
          <w:szCs w:val="20"/>
        </w:rPr>
        <w:t>, ambos</w:t>
      </w:r>
      <w:r w:rsidR="0068769C">
        <w:rPr>
          <w:rFonts w:asciiTheme="minorHAnsi" w:hAnsiTheme="minorHAnsi"/>
          <w:sz w:val="20"/>
          <w:szCs w:val="20"/>
        </w:rPr>
        <w:t xml:space="preserve"> no primeiro semestre de 2019.</w:t>
      </w:r>
      <w:r w:rsidR="008D28DA">
        <w:rPr>
          <w:rFonts w:asciiTheme="minorHAnsi" w:hAnsiTheme="minorHAnsi"/>
          <w:sz w:val="20"/>
          <w:szCs w:val="20"/>
        </w:rPr>
        <w:t xml:space="preserve"> </w:t>
      </w:r>
      <w:r w:rsidR="000832E7">
        <w:rPr>
          <w:rFonts w:asciiTheme="minorHAnsi" w:hAnsiTheme="minorHAnsi"/>
          <w:sz w:val="20"/>
          <w:szCs w:val="20"/>
        </w:rPr>
        <w:t>No acumulado dos últimos</w:t>
      </w:r>
      <w:r w:rsidR="0025294C">
        <w:rPr>
          <w:rFonts w:asciiTheme="minorHAnsi" w:hAnsiTheme="minorHAnsi"/>
          <w:sz w:val="20"/>
          <w:szCs w:val="20"/>
        </w:rPr>
        <w:t xml:space="preserve"> 12</w:t>
      </w:r>
      <w:r w:rsidR="000832E7">
        <w:rPr>
          <w:rFonts w:asciiTheme="minorHAnsi" w:hAnsiTheme="minorHAnsi"/>
          <w:sz w:val="20"/>
          <w:szCs w:val="20"/>
        </w:rPr>
        <w:t xml:space="preserve"> meses, </w:t>
      </w:r>
      <w:r w:rsidR="00B54735">
        <w:rPr>
          <w:rFonts w:asciiTheme="minorHAnsi" w:hAnsiTheme="minorHAnsi"/>
          <w:sz w:val="20"/>
          <w:szCs w:val="20"/>
        </w:rPr>
        <w:t>fin</w:t>
      </w:r>
      <w:r w:rsidR="002002A2">
        <w:rPr>
          <w:rFonts w:asciiTheme="minorHAnsi" w:hAnsiTheme="minorHAnsi"/>
          <w:sz w:val="20"/>
          <w:szCs w:val="20"/>
        </w:rPr>
        <w:t>alizados em junho de 2019</w:t>
      </w:r>
      <w:r w:rsidR="0025294C">
        <w:rPr>
          <w:rFonts w:asciiTheme="minorHAnsi" w:hAnsiTheme="minorHAnsi"/>
          <w:sz w:val="20"/>
          <w:szCs w:val="20"/>
        </w:rPr>
        <w:t>,</w:t>
      </w:r>
      <w:r w:rsidR="002002A2">
        <w:rPr>
          <w:rFonts w:asciiTheme="minorHAnsi" w:hAnsiTheme="minorHAnsi"/>
          <w:sz w:val="20"/>
          <w:szCs w:val="20"/>
        </w:rPr>
        <w:t xml:space="preserve"> </w:t>
      </w:r>
      <w:r w:rsidR="000832E7">
        <w:rPr>
          <w:rFonts w:asciiTheme="minorHAnsi" w:hAnsiTheme="minorHAnsi"/>
          <w:sz w:val="20"/>
          <w:szCs w:val="20"/>
        </w:rPr>
        <w:t xml:space="preserve">foram registrados </w:t>
      </w:r>
      <w:r w:rsidR="00AB3C8C">
        <w:rPr>
          <w:rFonts w:asciiTheme="minorHAnsi" w:hAnsiTheme="minorHAnsi"/>
          <w:sz w:val="20"/>
          <w:szCs w:val="20"/>
        </w:rPr>
        <w:t>crescimentos no volume de vendas</w:t>
      </w:r>
      <w:r w:rsidR="00147977">
        <w:rPr>
          <w:rFonts w:asciiTheme="minorHAnsi" w:hAnsiTheme="minorHAnsi"/>
          <w:sz w:val="20"/>
          <w:szCs w:val="20"/>
        </w:rPr>
        <w:t xml:space="preserve"> do</w:t>
      </w:r>
      <w:r w:rsidR="00AB3C8C">
        <w:rPr>
          <w:rFonts w:asciiTheme="minorHAnsi" w:hAnsiTheme="minorHAnsi"/>
          <w:sz w:val="20"/>
          <w:szCs w:val="20"/>
        </w:rPr>
        <w:t xml:space="preserve"> varej</w:t>
      </w:r>
      <w:r w:rsidR="002002A2">
        <w:rPr>
          <w:rFonts w:asciiTheme="minorHAnsi" w:hAnsiTheme="minorHAnsi"/>
          <w:sz w:val="20"/>
          <w:szCs w:val="20"/>
        </w:rPr>
        <w:t>o</w:t>
      </w:r>
      <w:r w:rsidR="00AB3C8C">
        <w:rPr>
          <w:rFonts w:asciiTheme="minorHAnsi" w:hAnsiTheme="minorHAnsi"/>
          <w:sz w:val="20"/>
          <w:szCs w:val="20"/>
        </w:rPr>
        <w:t xml:space="preserve"> </w:t>
      </w:r>
      <w:r w:rsidR="002002A2">
        <w:rPr>
          <w:rFonts w:asciiTheme="minorHAnsi" w:hAnsiTheme="minorHAnsi"/>
          <w:sz w:val="20"/>
          <w:szCs w:val="20"/>
        </w:rPr>
        <w:t xml:space="preserve">restrito </w:t>
      </w:r>
      <w:r w:rsidR="00AB3C8C">
        <w:rPr>
          <w:rFonts w:asciiTheme="minorHAnsi" w:hAnsiTheme="minorHAnsi"/>
          <w:sz w:val="20"/>
          <w:szCs w:val="20"/>
        </w:rPr>
        <w:t xml:space="preserve">e </w:t>
      </w:r>
      <w:r w:rsidR="002002A2">
        <w:rPr>
          <w:rFonts w:asciiTheme="minorHAnsi" w:hAnsiTheme="minorHAnsi"/>
          <w:sz w:val="20"/>
          <w:szCs w:val="20"/>
        </w:rPr>
        <w:t xml:space="preserve">ampliado de </w:t>
      </w:r>
      <w:r w:rsidR="00DE224D">
        <w:rPr>
          <w:rFonts w:asciiTheme="minorHAnsi" w:hAnsiTheme="minorHAnsi"/>
          <w:sz w:val="20"/>
          <w:szCs w:val="20"/>
        </w:rPr>
        <w:t>1,1% e 3,7</w:t>
      </w:r>
      <w:r w:rsidR="00260540">
        <w:rPr>
          <w:rFonts w:asciiTheme="minorHAnsi" w:hAnsiTheme="minorHAnsi"/>
          <w:sz w:val="20"/>
          <w:szCs w:val="20"/>
        </w:rPr>
        <w:t>%</w:t>
      </w:r>
      <w:r w:rsidR="00DE224D">
        <w:rPr>
          <w:rFonts w:asciiTheme="minorHAnsi" w:hAnsiTheme="minorHAnsi"/>
          <w:sz w:val="20"/>
          <w:szCs w:val="20"/>
        </w:rPr>
        <w:t xml:space="preserve">, respectivamente. </w:t>
      </w:r>
      <w:r w:rsidR="0068769C">
        <w:rPr>
          <w:rFonts w:asciiTheme="minorHAnsi" w:hAnsiTheme="minorHAnsi"/>
          <w:sz w:val="20"/>
          <w:szCs w:val="20"/>
        </w:rPr>
        <w:t xml:space="preserve"> </w:t>
      </w:r>
    </w:p>
    <w:p w14:paraId="392341CE" w14:textId="58FE39F2" w:rsidR="00400108" w:rsidRDefault="00400108" w:rsidP="00793FBE">
      <w:pPr>
        <w:spacing w:before="120" w:after="120" w:line="264" w:lineRule="auto"/>
        <w:ind w:firstLine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Dentre os dez grupos </w:t>
      </w:r>
      <w:r w:rsidR="00E73218">
        <w:rPr>
          <w:rFonts w:asciiTheme="minorHAnsi" w:hAnsiTheme="minorHAnsi"/>
          <w:sz w:val="20"/>
          <w:szCs w:val="20"/>
        </w:rPr>
        <w:t xml:space="preserve">de atividades pesquisadas, </w:t>
      </w:r>
      <w:r w:rsidR="00D96FB8">
        <w:rPr>
          <w:rFonts w:asciiTheme="minorHAnsi" w:hAnsiTheme="minorHAnsi"/>
          <w:sz w:val="20"/>
          <w:szCs w:val="20"/>
        </w:rPr>
        <w:t xml:space="preserve">apenas </w:t>
      </w:r>
      <w:r w:rsidR="007C70D7">
        <w:rPr>
          <w:rFonts w:asciiTheme="minorHAnsi" w:hAnsiTheme="minorHAnsi"/>
          <w:sz w:val="20"/>
          <w:szCs w:val="20"/>
        </w:rPr>
        <w:t>quatro</w:t>
      </w:r>
      <w:r w:rsidR="00D96FB8">
        <w:rPr>
          <w:rFonts w:asciiTheme="minorHAnsi" w:hAnsiTheme="minorHAnsi"/>
          <w:sz w:val="20"/>
          <w:szCs w:val="20"/>
        </w:rPr>
        <w:t xml:space="preserve"> registraram </w:t>
      </w:r>
      <w:r w:rsidR="00D45460">
        <w:rPr>
          <w:rFonts w:asciiTheme="minorHAnsi" w:hAnsiTheme="minorHAnsi"/>
          <w:sz w:val="20"/>
          <w:szCs w:val="20"/>
        </w:rPr>
        <w:t xml:space="preserve">crescimento </w:t>
      </w:r>
      <w:r w:rsidR="007A21D4">
        <w:rPr>
          <w:rFonts w:asciiTheme="minorHAnsi" w:hAnsiTheme="minorHAnsi"/>
          <w:sz w:val="20"/>
          <w:szCs w:val="20"/>
        </w:rPr>
        <w:t xml:space="preserve">de janeiro </w:t>
      </w:r>
      <w:r w:rsidR="001A0D71">
        <w:rPr>
          <w:rFonts w:asciiTheme="minorHAnsi" w:hAnsiTheme="minorHAnsi"/>
          <w:sz w:val="20"/>
          <w:szCs w:val="20"/>
        </w:rPr>
        <w:t xml:space="preserve">a junho de </w:t>
      </w:r>
      <w:r w:rsidR="009B5831">
        <w:rPr>
          <w:rFonts w:asciiTheme="minorHAnsi" w:hAnsiTheme="minorHAnsi"/>
          <w:sz w:val="20"/>
          <w:szCs w:val="20"/>
        </w:rPr>
        <w:t xml:space="preserve">2019, </w:t>
      </w:r>
      <w:r w:rsidR="009975F5">
        <w:rPr>
          <w:rFonts w:asciiTheme="minorHAnsi" w:hAnsiTheme="minorHAnsi"/>
          <w:sz w:val="20"/>
          <w:szCs w:val="20"/>
        </w:rPr>
        <w:t xml:space="preserve">são estes: </w:t>
      </w:r>
      <w:r w:rsidR="002F08B6" w:rsidRPr="009710FC">
        <w:rPr>
          <w:rFonts w:asciiTheme="minorHAnsi" w:hAnsiTheme="minorHAnsi"/>
          <w:b/>
          <w:bCs/>
          <w:sz w:val="20"/>
          <w:szCs w:val="20"/>
        </w:rPr>
        <w:t>veículos, motocicletas</w:t>
      </w:r>
      <w:r w:rsidR="00785565" w:rsidRPr="009710FC">
        <w:rPr>
          <w:rFonts w:asciiTheme="minorHAnsi" w:hAnsiTheme="minorHAnsi"/>
          <w:b/>
          <w:bCs/>
          <w:sz w:val="20"/>
          <w:szCs w:val="20"/>
        </w:rPr>
        <w:t>, partes e peças</w:t>
      </w:r>
      <w:r w:rsidR="00785565">
        <w:rPr>
          <w:rFonts w:asciiTheme="minorHAnsi" w:hAnsiTheme="minorHAnsi"/>
          <w:sz w:val="20"/>
          <w:szCs w:val="20"/>
        </w:rPr>
        <w:t xml:space="preserve"> (+11,0%), </w:t>
      </w:r>
      <w:r w:rsidR="008B02C5" w:rsidRPr="00E4507A">
        <w:rPr>
          <w:rFonts w:asciiTheme="minorHAnsi" w:hAnsiTheme="minorHAnsi"/>
          <w:b/>
          <w:bCs/>
          <w:sz w:val="20"/>
          <w:szCs w:val="20"/>
        </w:rPr>
        <w:t>artigos farmacêuticos</w:t>
      </w:r>
      <w:r w:rsidR="002E26C4" w:rsidRPr="00E4507A">
        <w:rPr>
          <w:rFonts w:asciiTheme="minorHAnsi" w:hAnsiTheme="minorHAnsi"/>
          <w:b/>
          <w:bCs/>
          <w:sz w:val="20"/>
          <w:szCs w:val="20"/>
        </w:rPr>
        <w:t>, médicos, ortopédicos, de perfuraria e cosméticos</w:t>
      </w:r>
      <w:r w:rsidR="002E26C4">
        <w:rPr>
          <w:rFonts w:asciiTheme="minorHAnsi" w:hAnsiTheme="minorHAnsi"/>
          <w:sz w:val="20"/>
          <w:szCs w:val="20"/>
        </w:rPr>
        <w:t xml:space="preserve"> (+6,2%)</w:t>
      </w:r>
      <w:r w:rsidR="00E4507A">
        <w:rPr>
          <w:rFonts w:asciiTheme="minorHAnsi" w:hAnsiTheme="minorHAnsi"/>
          <w:sz w:val="20"/>
          <w:szCs w:val="20"/>
        </w:rPr>
        <w:t xml:space="preserve">, </w:t>
      </w:r>
      <w:r w:rsidR="00E4507A" w:rsidRPr="00E4507A">
        <w:rPr>
          <w:rFonts w:asciiTheme="minorHAnsi" w:hAnsiTheme="minorHAnsi"/>
          <w:b/>
          <w:bCs/>
          <w:sz w:val="20"/>
          <w:szCs w:val="20"/>
        </w:rPr>
        <w:t>outros artigos de uso pessoal e doméstico</w:t>
      </w:r>
      <w:r w:rsidR="00E4507A">
        <w:rPr>
          <w:rFonts w:asciiTheme="minorHAnsi" w:hAnsiTheme="minorHAnsi"/>
          <w:sz w:val="20"/>
          <w:szCs w:val="20"/>
        </w:rPr>
        <w:t xml:space="preserve"> (+4,4) e</w:t>
      </w:r>
      <w:r w:rsidR="002E26C4">
        <w:rPr>
          <w:rFonts w:asciiTheme="minorHAnsi" w:hAnsiTheme="minorHAnsi"/>
          <w:sz w:val="20"/>
          <w:szCs w:val="20"/>
        </w:rPr>
        <w:t xml:space="preserve"> </w:t>
      </w:r>
      <w:r w:rsidR="003040C2" w:rsidRPr="00E4507A">
        <w:rPr>
          <w:rFonts w:asciiTheme="minorHAnsi" w:hAnsiTheme="minorHAnsi"/>
          <w:b/>
          <w:bCs/>
          <w:sz w:val="20"/>
          <w:szCs w:val="20"/>
        </w:rPr>
        <w:t>material de construção</w:t>
      </w:r>
      <w:r w:rsidR="003040C2">
        <w:rPr>
          <w:rFonts w:asciiTheme="minorHAnsi" w:hAnsiTheme="minorHAnsi"/>
          <w:sz w:val="20"/>
          <w:szCs w:val="20"/>
        </w:rPr>
        <w:t xml:space="preserve"> (+3,8)</w:t>
      </w:r>
      <w:r w:rsidR="00E717FA">
        <w:rPr>
          <w:rFonts w:asciiTheme="minorHAnsi" w:hAnsiTheme="minorHAnsi"/>
          <w:sz w:val="20"/>
          <w:szCs w:val="20"/>
        </w:rPr>
        <w:t>. Em contraste, as atividades com pior desempenho foram:</w:t>
      </w:r>
      <w:r w:rsidR="0043646B">
        <w:rPr>
          <w:rFonts w:asciiTheme="minorHAnsi" w:hAnsiTheme="minorHAnsi"/>
          <w:sz w:val="20"/>
          <w:szCs w:val="20"/>
        </w:rPr>
        <w:t xml:space="preserve"> </w:t>
      </w:r>
      <w:r w:rsidR="00497B18" w:rsidRPr="00C52494">
        <w:rPr>
          <w:rFonts w:asciiTheme="minorHAnsi" w:hAnsiTheme="minorHAnsi"/>
          <w:b/>
          <w:bCs/>
          <w:sz w:val="20"/>
          <w:szCs w:val="20"/>
        </w:rPr>
        <w:t>livros, jornais, revistas, e papelaria</w:t>
      </w:r>
      <w:r w:rsidR="00497B18">
        <w:rPr>
          <w:rFonts w:asciiTheme="minorHAnsi" w:hAnsiTheme="minorHAnsi"/>
          <w:sz w:val="20"/>
          <w:szCs w:val="20"/>
        </w:rPr>
        <w:t xml:space="preserve"> (-27,0%),</w:t>
      </w:r>
      <w:r w:rsidR="00B6249B">
        <w:rPr>
          <w:rFonts w:asciiTheme="minorHAnsi" w:hAnsiTheme="minorHAnsi"/>
          <w:sz w:val="20"/>
          <w:szCs w:val="20"/>
        </w:rPr>
        <w:t xml:space="preserve"> </w:t>
      </w:r>
      <w:r w:rsidR="00B6249B" w:rsidRPr="00C52494">
        <w:rPr>
          <w:rFonts w:asciiTheme="minorHAnsi" w:hAnsiTheme="minorHAnsi"/>
          <w:b/>
          <w:bCs/>
          <w:sz w:val="20"/>
          <w:szCs w:val="20"/>
        </w:rPr>
        <w:t>móveis e eletrodomésticos</w:t>
      </w:r>
      <w:r w:rsidR="00B6249B">
        <w:rPr>
          <w:rFonts w:asciiTheme="minorHAnsi" w:hAnsiTheme="minorHAnsi"/>
          <w:sz w:val="20"/>
          <w:szCs w:val="20"/>
        </w:rPr>
        <w:t xml:space="preserve"> (-1,1%)</w:t>
      </w:r>
      <w:r w:rsidR="00E9739A">
        <w:rPr>
          <w:rFonts w:asciiTheme="minorHAnsi" w:hAnsiTheme="minorHAnsi"/>
          <w:sz w:val="20"/>
          <w:szCs w:val="20"/>
        </w:rPr>
        <w:t>,</w:t>
      </w:r>
      <w:r w:rsidR="00C52494">
        <w:rPr>
          <w:rFonts w:asciiTheme="minorHAnsi" w:hAnsiTheme="minorHAnsi"/>
          <w:sz w:val="20"/>
          <w:szCs w:val="20"/>
        </w:rPr>
        <w:t xml:space="preserve"> </w:t>
      </w:r>
      <w:r w:rsidR="00E9739A" w:rsidRPr="00C52494">
        <w:rPr>
          <w:rFonts w:asciiTheme="minorHAnsi" w:hAnsiTheme="minorHAnsi"/>
          <w:b/>
          <w:bCs/>
          <w:sz w:val="20"/>
          <w:szCs w:val="20"/>
        </w:rPr>
        <w:t>tecidos, vestuários e calçados</w:t>
      </w:r>
      <w:r w:rsidR="00E9739A">
        <w:rPr>
          <w:rFonts w:asciiTheme="minorHAnsi" w:hAnsiTheme="minorHAnsi"/>
          <w:sz w:val="20"/>
          <w:szCs w:val="20"/>
        </w:rPr>
        <w:t xml:space="preserve"> (-0,4%), </w:t>
      </w:r>
      <w:r w:rsidR="00CB1E10" w:rsidRPr="00C52494">
        <w:rPr>
          <w:rFonts w:asciiTheme="minorHAnsi" w:hAnsiTheme="minorHAnsi"/>
          <w:b/>
          <w:bCs/>
          <w:sz w:val="20"/>
          <w:szCs w:val="20"/>
        </w:rPr>
        <w:t>hipermercados, supermercados, produtos alimentícios, bebidas e fumo</w:t>
      </w:r>
      <w:r w:rsidR="00CB1E10">
        <w:rPr>
          <w:rFonts w:asciiTheme="minorHAnsi" w:hAnsiTheme="minorHAnsi"/>
          <w:sz w:val="20"/>
          <w:szCs w:val="20"/>
        </w:rPr>
        <w:t xml:space="preserve"> (-0,3%)</w:t>
      </w:r>
      <w:r w:rsidR="00C52494">
        <w:rPr>
          <w:rFonts w:asciiTheme="minorHAnsi" w:hAnsiTheme="minorHAnsi"/>
          <w:sz w:val="20"/>
          <w:szCs w:val="20"/>
        </w:rPr>
        <w:t xml:space="preserve">, </w:t>
      </w:r>
      <w:r w:rsidR="00CA7288">
        <w:rPr>
          <w:rFonts w:asciiTheme="minorHAnsi" w:hAnsiTheme="minorHAnsi"/>
          <w:sz w:val="20"/>
          <w:szCs w:val="20"/>
        </w:rPr>
        <w:t>c</w:t>
      </w:r>
      <w:r w:rsidR="00CA7288" w:rsidRPr="00CA7288">
        <w:rPr>
          <w:rFonts w:asciiTheme="minorHAnsi" w:hAnsiTheme="minorHAnsi"/>
          <w:b/>
          <w:bCs/>
          <w:sz w:val="20"/>
          <w:szCs w:val="20"/>
        </w:rPr>
        <w:t>ombustíveis e lubrificantes</w:t>
      </w:r>
      <w:r w:rsidR="00CA7288">
        <w:rPr>
          <w:rFonts w:asciiTheme="minorHAnsi" w:hAnsiTheme="minorHAnsi"/>
          <w:sz w:val="20"/>
          <w:szCs w:val="20"/>
        </w:rPr>
        <w:t xml:space="preserve"> (-0,1%) e </w:t>
      </w:r>
      <w:r w:rsidR="00CA7288" w:rsidRPr="00CA7288">
        <w:rPr>
          <w:rFonts w:asciiTheme="minorHAnsi" w:hAnsiTheme="minorHAnsi"/>
          <w:b/>
          <w:bCs/>
          <w:sz w:val="20"/>
          <w:szCs w:val="20"/>
        </w:rPr>
        <w:t>equipamentos e material para escritório, informática e comunicação</w:t>
      </w:r>
      <w:r w:rsidR="00CA7288">
        <w:rPr>
          <w:rFonts w:asciiTheme="minorHAnsi" w:hAnsiTheme="minorHAnsi"/>
          <w:sz w:val="20"/>
          <w:szCs w:val="20"/>
        </w:rPr>
        <w:t xml:space="preserve"> (-0,1%)</w:t>
      </w:r>
      <w:r w:rsidR="00B7514D">
        <w:rPr>
          <w:rFonts w:asciiTheme="minorHAnsi" w:hAnsiTheme="minorHAnsi"/>
          <w:sz w:val="20"/>
          <w:szCs w:val="20"/>
        </w:rPr>
        <w:t xml:space="preserve">, conforme os dados especificados </w:t>
      </w:r>
      <w:r w:rsidR="002D229B">
        <w:rPr>
          <w:rFonts w:asciiTheme="minorHAnsi" w:hAnsiTheme="minorHAnsi"/>
          <w:sz w:val="20"/>
          <w:szCs w:val="20"/>
        </w:rPr>
        <w:t>na Tabela 1</w:t>
      </w:r>
      <w:r w:rsidR="00CA7288">
        <w:rPr>
          <w:rFonts w:asciiTheme="minorHAnsi" w:hAnsiTheme="minorHAnsi"/>
          <w:sz w:val="20"/>
          <w:szCs w:val="20"/>
        </w:rPr>
        <w:t>.</w:t>
      </w:r>
    </w:p>
    <w:p w14:paraId="2C01DE85" w14:textId="6A7CAF5B" w:rsidR="00676A46" w:rsidRDefault="00676A46" w:rsidP="00793FBE">
      <w:pPr>
        <w:spacing w:before="120" w:after="120" w:line="264" w:lineRule="auto"/>
        <w:ind w:firstLine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Quanto ao comportamento do varej</w:t>
      </w:r>
      <w:r w:rsidR="000C3E8E">
        <w:rPr>
          <w:rFonts w:asciiTheme="minorHAnsi" w:hAnsiTheme="minorHAnsi"/>
          <w:sz w:val="20"/>
          <w:szCs w:val="20"/>
        </w:rPr>
        <w:t>o</w:t>
      </w:r>
      <w:r w:rsidR="006E54D7">
        <w:rPr>
          <w:rFonts w:asciiTheme="minorHAnsi" w:hAnsiTheme="minorHAnsi"/>
          <w:sz w:val="20"/>
          <w:szCs w:val="20"/>
        </w:rPr>
        <w:t xml:space="preserve"> restrito</w:t>
      </w:r>
      <w:r>
        <w:rPr>
          <w:rFonts w:asciiTheme="minorHAnsi" w:hAnsiTheme="minorHAnsi"/>
          <w:sz w:val="20"/>
          <w:szCs w:val="20"/>
        </w:rPr>
        <w:t xml:space="preserve"> nos </w:t>
      </w:r>
      <w:r w:rsidR="00E50AF9">
        <w:rPr>
          <w:rFonts w:asciiTheme="minorHAnsi" w:hAnsiTheme="minorHAnsi"/>
          <w:sz w:val="20"/>
          <w:szCs w:val="20"/>
        </w:rPr>
        <w:t>E</w:t>
      </w:r>
      <w:r>
        <w:rPr>
          <w:rFonts w:asciiTheme="minorHAnsi" w:hAnsiTheme="minorHAnsi"/>
          <w:sz w:val="20"/>
          <w:szCs w:val="20"/>
        </w:rPr>
        <w:t>stados</w:t>
      </w:r>
      <w:r w:rsidR="004D517F">
        <w:rPr>
          <w:rFonts w:asciiTheme="minorHAnsi" w:hAnsiTheme="minorHAnsi"/>
          <w:sz w:val="20"/>
          <w:szCs w:val="20"/>
        </w:rPr>
        <w:t xml:space="preserve">, </w:t>
      </w:r>
      <w:r w:rsidR="002C0A1F">
        <w:rPr>
          <w:rFonts w:asciiTheme="minorHAnsi" w:hAnsiTheme="minorHAnsi"/>
          <w:sz w:val="20"/>
          <w:szCs w:val="20"/>
        </w:rPr>
        <w:t xml:space="preserve">verificaram-se </w:t>
      </w:r>
      <w:r w:rsidR="001718BD">
        <w:rPr>
          <w:rFonts w:asciiTheme="minorHAnsi" w:hAnsiTheme="minorHAnsi"/>
          <w:sz w:val="20"/>
          <w:szCs w:val="20"/>
        </w:rPr>
        <w:t>valores positivos</w:t>
      </w:r>
      <w:r w:rsidR="00FB621B">
        <w:rPr>
          <w:rFonts w:asciiTheme="minorHAnsi" w:hAnsiTheme="minorHAnsi"/>
          <w:sz w:val="20"/>
          <w:szCs w:val="20"/>
        </w:rPr>
        <w:t xml:space="preserve"> no acumulado do primeiro semestre de 2019</w:t>
      </w:r>
      <w:r w:rsidR="001718BD">
        <w:rPr>
          <w:rFonts w:asciiTheme="minorHAnsi" w:hAnsiTheme="minorHAnsi"/>
          <w:sz w:val="20"/>
          <w:szCs w:val="20"/>
        </w:rPr>
        <w:t xml:space="preserve"> para</w:t>
      </w:r>
      <w:r w:rsidR="00A87C18">
        <w:rPr>
          <w:rFonts w:asciiTheme="minorHAnsi" w:hAnsiTheme="minorHAnsi"/>
          <w:sz w:val="20"/>
          <w:szCs w:val="20"/>
        </w:rPr>
        <w:t xml:space="preserve"> </w:t>
      </w:r>
      <w:r w:rsidR="00803C36" w:rsidRPr="00EB387A">
        <w:rPr>
          <w:rFonts w:asciiTheme="minorHAnsi" w:hAnsiTheme="minorHAnsi"/>
          <w:b/>
          <w:bCs/>
          <w:sz w:val="20"/>
          <w:szCs w:val="20"/>
        </w:rPr>
        <w:t>Espírito Santo</w:t>
      </w:r>
      <w:r w:rsidR="006E54D7">
        <w:rPr>
          <w:rFonts w:asciiTheme="minorHAnsi" w:hAnsiTheme="minorHAnsi"/>
          <w:sz w:val="20"/>
          <w:szCs w:val="20"/>
        </w:rPr>
        <w:t xml:space="preserve"> (</w:t>
      </w:r>
      <w:r w:rsidR="000C3E8E">
        <w:rPr>
          <w:rFonts w:asciiTheme="minorHAnsi" w:hAnsiTheme="minorHAnsi"/>
          <w:sz w:val="20"/>
          <w:szCs w:val="20"/>
        </w:rPr>
        <w:t>+</w:t>
      </w:r>
      <w:r w:rsidR="003D3522">
        <w:rPr>
          <w:rFonts w:asciiTheme="minorHAnsi" w:hAnsiTheme="minorHAnsi"/>
          <w:sz w:val="20"/>
          <w:szCs w:val="20"/>
        </w:rPr>
        <w:t xml:space="preserve">6,7), </w:t>
      </w:r>
      <w:r w:rsidR="00577596" w:rsidRPr="00EB387A">
        <w:rPr>
          <w:rFonts w:asciiTheme="minorHAnsi" w:hAnsiTheme="minorHAnsi"/>
          <w:b/>
          <w:bCs/>
          <w:sz w:val="20"/>
          <w:szCs w:val="20"/>
        </w:rPr>
        <w:t>Bahia</w:t>
      </w:r>
      <w:r w:rsidR="00577596">
        <w:rPr>
          <w:rFonts w:asciiTheme="minorHAnsi" w:hAnsiTheme="minorHAnsi"/>
          <w:sz w:val="20"/>
          <w:szCs w:val="20"/>
        </w:rPr>
        <w:t xml:space="preserve"> (+0,8%)</w:t>
      </w:r>
      <w:r w:rsidR="003F4A07">
        <w:rPr>
          <w:rFonts w:asciiTheme="minorHAnsi" w:hAnsiTheme="minorHAnsi"/>
          <w:sz w:val="20"/>
          <w:szCs w:val="20"/>
        </w:rPr>
        <w:t xml:space="preserve">, estes acima </w:t>
      </w:r>
      <w:r w:rsidR="005410EE">
        <w:rPr>
          <w:rFonts w:asciiTheme="minorHAnsi" w:hAnsiTheme="minorHAnsi"/>
          <w:sz w:val="20"/>
          <w:szCs w:val="20"/>
        </w:rPr>
        <w:t xml:space="preserve">da </w:t>
      </w:r>
      <w:r w:rsidR="005410EE" w:rsidRPr="00CF1B43">
        <w:rPr>
          <w:rFonts w:asciiTheme="minorHAnsi" w:hAnsiTheme="minorHAnsi"/>
          <w:b/>
          <w:bCs/>
          <w:sz w:val="20"/>
          <w:szCs w:val="20"/>
        </w:rPr>
        <w:t>média nacional</w:t>
      </w:r>
      <w:r w:rsidR="00916894">
        <w:rPr>
          <w:rFonts w:asciiTheme="minorHAnsi" w:hAnsiTheme="minorHAnsi"/>
          <w:sz w:val="20"/>
          <w:szCs w:val="20"/>
        </w:rPr>
        <w:t xml:space="preserve"> (+0,6%), </w:t>
      </w:r>
      <w:r w:rsidR="00577596">
        <w:rPr>
          <w:rFonts w:asciiTheme="minorHAnsi" w:hAnsiTheme="minorHAnsi"/>
          <w:sz w:val="20"/>
          <w:szCs w:val="20"/>
        </w:rPr>
        <w:t xml:space="preserve">e </w:t>
      </w:r>
      <w:r w:rsidR="00E26496" w:rsidRPr="00EB387A">
        <w:rPr>
          <w:rFonts w:asciiTheme="minorHAnsi" w:hAnsiTheme="minorHAnsi"/>
          <w:b/>
          <w:bCs/>
          <w:sz w:val="20"/>
          <w:szCs w:val="20"/>
        </w:rPr>
        <w:t>Maranhão</w:t>
      </w:r>
      <w:r w:rsidR="00E26496">
        <w:rPr>
          <w:rFonts w:asciiTheme="minorHAnsi" w:hAnsiTheme="minorHAnsi"/>
          <w:sz w:val="20"/>
          <w:szCs w:val="20"/>
        </w:rPr>
        <w:t xml:space="preserve"> (+0,4)</w:t>
      </w:r>
      <w:r w:rsidR="00916894">
        <w:rPr>
          <w:rFonts w:asciiTheme="minorHAnsi" w:hAnsiTheme="minorHAnsi"/>
          <w:sz w:val="20"/>
          <w:szCs w:val="20"/>
        </w:rPr>
        <w:t xml:space="preserve">. </w:t>
      </w:r>
      <w:r w:rsidR="0092556A">
        <w:rPr>
          <w:rFonts w:asciiTheme="minorHAnsi" w:hAnsiTheme="minorHAnsi"/>
          <w:sz w:val="20"/>
          <w:szCs w:val="20"/>
        </w:rPr>
        <w:t xml:space="preserve">Registraram queda, </w:t>
      </w:r>
      <w:r w:rsidR="00B6554C" w:rsidRPr="00B6554C">
        <w:rPr>
          <w:rFonts w:asciiTheme="minorHAnsi" w:hAnsiTheme="minorHAnsi"/>
          <w:b/>
          <w:bCs/>
          <w:sz w:val="20"/>
          <w:szCs w:val="20"/>
        </w:rPr>
        <w:t>Piauí</w:t>
      </w:r>
      <w:r w:rsidR="00B6554C">
        <w:rPr>
          <w:rFonts w:asciiTheme="minorHAnsi" w:hAnsiTheme="minorHAnsi"/>
          <w:sz w:val="20"/>
          <w:szCs w:val="20"/>
        </w:rPr>
        <w:t xml:space="preserve"> (-8,7%), </w:t>
      </w:r>
      <w:r w:rsidR="00BC65F1">
        <w:rPr>
          <w:rFonts w:asciiTheme="minorHAnsi" w:hAnsiTheme="minorHAnsi"/>
          <w:b/>
          <w:bCs/>
          <w:sz w:val="20"/>
          <w:szCs w:val="20"/>
        </w:rPr>
        <w:t xml:space="preserve">Paraíba </w:t>
      </w:r>
      <w:r w:rsidR="00BC65F1">
        <w:rPr>
          <w:rFonts w:asciiTheme="minorHAnsi" w:hAnsiTheme="minorHAnsi"/>
          <w:sz w:val="20"/>
          <w:szCs w:val="20"/>
        </w:rPr>
        <w:t xml:space="preserve">(-6,5%), </w:t>
      </w:r>
      <w:r w:rsidR="00D52D9B">
        <w:rPr>
          <w:rFonts w:asciiTheme="minorHAnsi" w:hAnsiTheme="minorHAnsi"/>
          <w:b/>
          <w:bCs/>
          <w:sz w:val="20"/>
          <w:szCs w:val="20"/>
        </w:rPr>
        <w:t>Alagoas</w:t>
      </w:r>
      <w:r w:rsidR="00D52D9B">
        <w:rPr>
          <w:rFonts w:asciiTheme="minorHAnsi" w:hAnsiTheme="minorHAnsi"/>
          <w:sz w:val="20"/>
          <w:szCs w:val="20"/>
        </w:rPr>
        <w:t xml:space="preserve"> (-3,5%), </w:t>
      </w:r>
      <w:r w:rsidR="002D141B">
        <w:rPr>
          <w:rFonts w:asciiTheme="minorHAnsi" w:hAnsiTheme="minorHAnsi"/>
          <w:b/>
          <w:bCs/>
          <w:sz w:val="20"/>
          <w:szCs w:val="20"/>
        </w:rPr>
        <w:t xml:space="preserve">Minas Gerais </w:t>
      </w:r>
      <w:r w:rsidR="002D141B">
        <w:rPr>
          <w:rFonts w:asciiTheme="minorHAnsi" w:hAnsiTheme="minorHAnsi"/>
          <w:sz w:val="20"/>
          <w:szCs w:val="20"/>
        </w:rPr>
        <w:t>(</w:t>
      </w:r>
      <w:r w:rsidR="00AA7553">
        <w:rPr>
          <w:rFonts w:asciiTheme="minorHAnsi" w:hAnsiTheme="minorHAnsi"/>
          <w:sz w:val="20"/>
          <w:szCs w:val="20"/>
        </w:rPr>
        <w:t xml:space="preserve">-2,0%), </w:t>
      </w:r>
      <w:r w:rsidR="00AA7553">
        <w:rPr>
          <w:rFonts w:asciiTheme="minorHAnsi" w:hAnsiTheme="minorHAnsi"/>
          <w:b/>
          <w:bCs/>
          <w:sz w:val="20"/>
          <w:szCs w:val="20"/>
        </w:rPr>
        <w:t>Sergipe</w:t>
      </w:r>
      <w:r w:rsidR="00AA7553">
        <w:rPr>
          <w:rFonts w:asciiTheme="minorHAnsi" w:hAnsiTheme="minorHAnsi"/>
          <w:sz w:val="20"/>
          <w:szCs w:val="20"/>
        </w:rPr>
        <w:t xml:space="preserve"> (-1,</w:t>
      </w:r>
      <w:r w:rsidR="003918FD">
        <w:rPr>
          <w:rFonts w:asciiTheme="minorHAnsi" w:hAnsiTheme="minorHAnsi"/>
          <w:sz w:val="20"/>
          <w:szCs w:val="20"/>
        </w:rPr>
        <w:t>8%</w:t>
      </w:r>
      <w:r w:rsidR="00C642FE">
        <w:rPr>
          <w:rFonts w:asciiTheme="minorHAnsi" w:hAnsiTheme="minorHAnsi"/>
          <w:sz w:val="20"/>
          <w:szCs w:val="20"/>
        </w:rPr>
        <w:t xml:space="preserve">), </w:t>
      </w:r>
      <w:r w:rsidR="00EA0024">
        <w:rPr>
          <w:rFonts w:asciiTheme="minorHAnsi" w:hAnsiTheme="minorHAnsi"/>
          <w:b/>
          <w:bCs/>
          <w:sz w:val="20"/>
          <w:szCs w:val="20"/>
        </w:rPr>
        <w:t xml:space="preserve">Rio Grande do Norte </w:t>
      </w:r>
      <w:r w:rsidR="00EA0024">
        <w:rPr>
          <w:rFonts w:asciiTheme="minorHAnsi" w:hAnsiTheme="minorHAnsi"/>
          <w:sz w:val="20"/>
          <w:szCs w:val="20"/>
        </w:rPr>
        <w:t xml:space="preserve">(-1,3%), </w:t>
      </w:r>
      <w:r w:rsidR="00D03BB0">
        <w:rPr>
          <w:rFonts w:asciiTheme="minorHAnsi" w:hAnsiTheme="minorHAnsi"/>
          <w:b/>
          <w:bCs/>
          <w:sz w:val="20"/>
          <w:szCs w:val="20"/>
        </w:rPr>
        <w:t xml:space="preserve">Ceará </w:t>
      </w:r>
      <w:r w:rsidR="00D03BB0">
        <w:rPr>
          <w:rFonts w:asciiTheme="minorHAnsi" w:hAnsiTheme="minorHAnsi"/>
          <w:sz w:val="20"/>
          <w:szCs w:val="20"/>
        </w:rPr>
        <w:t>(-1,1%)</w:t>
      </w:r>
      <w:r w:rsidR="0064657A">
        <w:rPr>
          <w:rFonts w:asciiTheme="minorHAnsi" w:hAnsiTheme="minorHAnsi"/>
          <w:sz w:val="20"/>
          <w:szCs w:val="20"/>
        </w:rPr>
        <w:t xml:space="preserve"> e </w:t>
      </w:r>
      <w:r w:rsidR="0064657A" w:rsidRPr="0064657A">
        <w:rPr>
          <w:rFonts w:asciiTheme="minorHAnsi" w:hAnsiTheme="minorHAnsi"/>
          <w:b/>
          <w:bCs/>
          <w:sz w:val="20"/>
          <w:szCs w:val="20"/>
        </w:rPr>
        <w:t>Pernambuco</w:t>
      </w:r>
      <w:r w:rsidR="0064657A">
        <w:rPr>
          <w:rFonts w:asciiTheme="minorHAnsi" w:hAnsiTheme="minorHAnsi"/>
          <w:b/>
          <w:bCs/>
          <w:sz w:val="20"/>
          <w:szCs w:val="20"/>
        </w:rPr>
        <w:t xml:space="preserve"> </w:t>
      </w:r>
      <w:r w:rsidR="0064657A">
        <w:rPr>
          <w:rFonts w:asciiTheme="minorHAnsi" w:hAnsiTheme="minorHAnsi"/>
          <w:sz w:val="20"/>
          <w:szCs w:val="20"/>
        </w:rPr>
        <w:t xml:space="preserve">(-1,0%), </w:t>
      </w:r>
      <w:r w:rsidR="00D50624">
        <w:rPr>
          <w:rFonts w:asciiTheme="minorHAnsi" w:hAnsiTheme="minorHAnsi"/>
          <w:sz w:val="20"/>
          <w:szCs w:val="20"/>
        </w:rPr>
        <w:t>como demonstra o Gráfico</w:t>
      </w:r>
      <w:r w:rsidR="00681139">
        <w:rPr>
          <w:rFonts w:asciiTheme="minorHAnsi" w:hAnsiTheme="minorHAnsi"/>
          <w:sz w:val="20"/>
          <w:szCs w:val="20"/>
        </w:rPr>
        <w:t xml:space="preserve"> </w:t>
      </w:r>
      <w:r w:rsidR="00D50624">
        <w:rPr>
          <w:rFonts w:asciiTheme="minorHAnsi" w:hAnsiTheme="minorHAnsi"/>
          <w:sz w:val="20"/>
          <w:szCs w:val="20"/>
        </w:rPr>
        <w:t xml:space="preserve">1. </w:t>
      </w:r>
    </w:p>
    <w:p w14:paraId="5BD9493A" w14:textId="61B8BAB8" w:rsidR="00E836F4" w:rsidRPr="0064657A" w:rsidRDefault="38125562" w:rsidP="38125562">
      <w:pPr>
        <w:spacing w:before="120" w:after="120" w:line="264" w:lineRule="auto"/>
        <w:ind w:firstLine="0"/>
        <w:rPr>
          <w:rFonts w:asciiTheme="minorHAnsi" w:hAnsiTheme="minorHAnsi"/>
          <w:sz w:val="20"/>
          <w:szCs w:val="20"/>
        </w:rPr>
      </w:pPr>
      <w:r w:rsidRPr="38125562">
        <w:rPr>
          <w:rFonts w:asciiTheme="minorHAnsi" w:hAnsiTheme="minorHAnsi"/>
          <w:sz w:val="20"/>
          <w:szCs w:val="20"/>
        </w:rPr>
        <w:t xml:space="preserve">Em relação ao varejo ampliado, apenas o </w:t>
      </w:r>
      <w:r w:rsidRPr="38125562">
        <w:rPr>
          <w:rFonts w:asciiTheme="minorHAnsi" w:hAnsiTheme="minorHAnsi"/>
          <w:b/>
          <w:bCs/>
          <w:sz w:val="20"/>
          <w:szCs w:val="20"/>
        </w:rPr>
        <w:t>Espírito Santo</w:t>
      </w:r>
      <w:r w:rsidRPr="38125562">
        <w:rPr>
          <w:rFonts w:asciiTheme="minorHAnsi" w:hAnsiTheme="minorHAnsi"/>
          <w:sz w:val="20"/>
          <w:szCs w:val="20"/>
        </w:rPr>
        <w:t xml:space="preserve"> (+6,6%) apresentou valor acima da </w:t>
      </w:r>
      <w:r w:rsidRPr="38125562">
        <w:rPr>
          <w:rFonts w:asciiTheme="minorHAnsi" w:hAnsiTheme="minorHAnsi"/>
          <w:b/>
          <w:bCs/>
          <w:sz w:val="20"/>
          <w:szCs w:val="20"/>
        </w:rPr>
        <w:t>média nacional</w:t>
      </w:r>
      <w:r w:rsidRPr="38125562">
        <w:rPr>
          <w:rFonts w:asciiTheme="minorHAnsi" w:hAnsiTheme="minorHAnsi"/>
          <w:sz w:val="20"/>
          <w:szCs w:val="20"/>
        </w:rPr>
        <w:t xml:space="preserve"> (+3,2%), enquanto </w:t>
      </w:r>
      <w:r w:rsidRPr="38125562">
        <w:rPr>
          <w:rFonts w:asciiTheme="minorHAnsi" w:hAnsiTheme="minorHAnsi"/>
          <w:b/>
          <w:bCs/>
          <w:sz w:val="20"/>
          <w:szCs w:val="20"/>
        </w:rPr>
        <w:t>Ceará</w:t>
      </w:r>
      <w:r w:rsidRPr="38125562">
        <w:rPr>
          <w:rFonts w:asciiTheme="minorHAnsi" w:hAnsiTheme="minorHAnsi"/>
          <w:sz w:val="20"/>
          <w:szCs w:val="20"/>
        </w:rPr>
        <w:t xml:space="preserve"> (+2,9%), </w:t>
      </w:r>
      <w:r w:rsidRPr="38125562">
        <w:rPr>
          <w:rFonts w:asciiTheme="minorHAnsi" w:hAnsiTheme="minorHAnsi"/>
          <w:b/>
          <w:bCs/>
          <w:sz w:val="20"/>
          <w:szCs w:val="20"/>
        </w:rPr>
        <w:t>Pernambuco</w:t>
      </w:r>
      <w:r w:rsidRPr="38125562">
        <w:rPr>
          <w:rFonts w:asciiTheme="minorHAnsi" w:hAnsiTheme="minorHAnsi"/>
          <w:sz w:val="20"/>
          <w:szCs w:val="20"/>
        </w:rPr>
        <w:t xml:space="preserve"> (+0,8%) e </w:t>
      </w:r>
      <w:r w:rsidRPr="38125562">
        <w:rPr>
          <w:rFonts w:asciiTheme="minorHAnsi" w:hAnsiTheme="minorHAnsi"/>
          <w:b/>
          <w:bCs/>
          <w:sz w:val="20"/>
          <w:szCs w:val="20"/>
        </w:rPr>
        <w:t>Maranhão</w:t>
      </w:r>
      <w:r w:rsidRPr="38125562">
        <w:rPr>
          <w:rFonts w:asciiTheme="minorHAnsi" w:hAnsiTheme="minorHAnsi"/>
          <w:sz w:val="20"/>
          <w:szCs w:val="20"/>
        </w:rPr>
        <w:t xml:space="preserve"> (+0,4%) obtiveram valores acumulados positivos, no entanto menores que a média nacional, no primeiro semestre de 2019. Em contrapartida, </w:t>
      </w:r>
      <w:r w:rsidRPr="38125562">
        <w:rPr>
          <w:rFonts w:asciiTheme="minorHAnsi" w:hAnsiTheme="minorHAnsi"/>
          <w:b/>
          <w:bCs/>
          <w:sz w:val="20"/>
          <w:szCs w:val="20"/>
        </w:rPr>
        <w:t xml:space="preserve">Paraíba </w:t>
      </w:r>
      <w:r w:rsidRPr="38125562">
        <w:rPr>
          <w:rFonts w:asciiTheme="minorHAnsi" w:hAnsiTheme="minorHAnsi"/>
          <w:sz w:val="20"/>
          <w:szCs w:val="20"/>
        </w:rPr>
        <w:t xml:space="preserve">(-4,7%), </w:t>
      </w:r>
      <w:r w:rsidRPr="38125562">
        <w:rPr>
          <w:rFonts w:asciiTheme="minorHAnsi" w:hAnsiTheme="minorHAnsi"/>
          <w:b/>
          <w:bCs/>
          <w:sz w:val="20"/>
          <w:szCs w:val="20"/>
        </w:rPr>
        <w:t>Piauí</w:t>
      </w:r>
      <w:r w:rsidRPr="38125562">
        <w:rPr>
          <w:rFonts w:asciiTheme="minorHAnsi" w:hAnsiTheme="minorHAnsi"/>
          <w:sz w:val="20"/>
          <w:szCs w:val="20"/>
        </w:rPr>
        <w:t xml:space="preserve"> (-3,2%), </w:t>
      </w:r>
      <w:r w:rsidRPr="38125562">
        <w:rPr>
          <w:rFonts w:asciiTheme="minorHAnsi" w:hAnsiTheme="minorHAnsi"/>
          <w:b/>
          <w:bCs/>
          <w:sz w:val="20"/>
          <w:szCs w:val="20"/>
        </w:rPr>
        <w:t>Alagoas</w:t>
      </w:r>
      <w:r w:rsidRPr="38125562">
        <w:rPr>
          <w:rFonts w:asciiTheme="minorHAnsi" w:hAnsiTheme="minorHAnsi"/>
          <w:sz w:val="20"/>
          <w:szCs w:val="20"/>
        </w:rPr>
        <w:t xml:space="preserve"> (-1,1%), </w:t>
      </w:r>
      <w:r w:rsidRPr="38125562">
        <w:rPr>
          <w:rFonts w:asciiTheme="minorHAnsi" w:hAnsiTheme="minorHAnsi"/>
          <w:b/>
          <w:bCs/>
          <w:sz w:val="20"/>
          <w:szCs w:val="20"/>
        </w:rPr>
        <w:t>Bahia</w:t>
      </w:r>
      <w:r w:rsidRPr="38125562">
        <w:rPr>
          <w:rFonts w:asciiTheme="minorHAnsi" w:hAnsiTheme="minorHAnsi"/>
          <w:sz w:val="20"/>
          <w:szCs w:val="20"/>
        </w:rPr>
        <w:t xml:space="preserve"> (-1,1%), </w:t>
      </w:r>
      <w:r w:rsidRPr="38125562">
        <w:rPr>
          <w:rFonts w:asciiTheme="minorHAnsi" w:hAnsiTheme="minorHAnsi"/>
          <w:b/>
          <w:bCs/>
          <w:sz w:val="20"/>
          <w:szCs w:val="20"/>
        </w:rPr>
        <w:t>Sergipe</w:t>
      </w:r>
      <w:r w:rsidRPr="38125562">
        <w:rPr>
          <w:rFonts w:asciiTheme="minorHAnsi" w:hAnsiTheme="minorHAnsi"/>
          <w:sz w:val="20"/>
          <w:szCs w:val="20"/>
        </w:rPr>
        <w:t xml:space="preserve"> (-0,6%), </w:t>
      </w:r>
      <w:r w:rsidRPr="38125562">
        <w:rPr>
          <w:rFonts w:asciiTheme="minorHAnsi" w:hAnsiTheme="minorHAnsi"/>
          <w:b/>
          <w:bCs/>
          <w:sz w:val="20"/>
          <w:szCs w:val="20"/>
        </w:rPr>
        <w:t>Minas Gerais</w:t>
      </w:r>
      <w:r w:rsidRPr="38125562">
        <w:rPr>
          <w:rFonts w:asciiTheme="minorHAnsi" w:hAnsiTheme="minorHAnsi"/>
          <w:sz w:val="20"/>
          <w:szCs w:val="20"/>
        </w:rPr>
        <w:t xml:space="preserve"> (-0,3%) e </w:t>
      </w:r>
      <w:r w:rsidRPr="38125562">
        <w:rPr>
          <w:rFonts w:asciiTheme="minorHAnsi" w:hAnsiTheme="minorHAnsi"/>
          <w:b/>
          <w:bCs/>
          <w:sz w:val="20"/>
          <w:szCs w:val="20"/>
        </w:rPr>
        <w:t>Rio Grande do Norte</w:t>
      </w:r>
      <w:r w:rsidRPr="38125562">
        <w:rPr>
          <w:rFonts w:asciiTheme="minorHAnsi" w:hAnsiTheme="minorHAnsi"/>
          <w:sz w:val="20"/>
          <w:szCs w:val="20"/>
        </w:rPr>
        <w:t xml:space="preserve"> (-0,2%) registraram contração, como mostra o Gráfico 1.</w:t>
      </w:r>
    </w:p>
    <w:p w14:paraId="70A0C3C0" w14:textId="77777777" w:rsidR="0006794E" w:rsidRDefault="38125562" w:rsidP="00793FBE">
      <w:pPr>
        <w:spacing w:before="120" w:after="120" w:line="264" w:lineRule="auto"/>
        <w:ind w:firstLine="0"/>
        <w:rPr>
          <w:rFonts w:ascii="Calibri" w:eastAsia="Calibri" w:hAnsi="Calibri" w:cs="Calibri"/>
          <w:sz w:val="20"/>
          <w:szCs w:val="20"/>
        </w:rPr>
      </w:pPr>
      <w:r w:rsidRPr="38125562">
        <w:rPr>
          <w:rFonts w:asciiTheme="minorHAnsi" w:hAnsiTheme="minorHAnsi"/>
          <w:sz w:val="20"/>
          <w:szCs w:val="20"/>
        </w:rPr>
        <w:t xml:space="preserve">O IBGE detalha o setor comercial para os cinco estados da área de atuação do Banco do Nordeste. No Ceará, </w:t>
      </w:r>
      <w:r w:rsidRPr="38125562">
        <w:rPr>
          <w:rFonts w:asciiTheme="minorHAnsi" w:hAnsiTheme="minorHAnsi"/>
          <w:b/>
          <w:bCs/>
          <w:sz w:val="20"/>
          <w:szCs w:val="20"/>
        </w:rPr>
        <w:t>veículos, motocicletas, partes e peças</w:t>
      </w:r>
      <w:r w:rsidRPr="38125562">
        <w:rPr>
          <w:rFonts w:asciiTheme="minorHAnsi" w:hAnsiTheme="minorHAnsi"/>
          <w:sz w:val="20"/>
          <w:szCs w:val="20"/>
        </w:rPr>
        <w:t xml:space="preserve"> (+12,4%), </w:t>
      </w:r>
      <w:r w:rsidRPr="38125562">
        <w:rPr>
          <w:rFonts w:asciiTheme="minorHAnsi" w:hAnsiTheme="minorHAnsi"/>
          <w:b/>
          <w:bCs/>
          <w:sz w:val="20"/>
          <w:szCs w:val="20"/>
        </w:rPr>
        <w:t>material de construção</w:t>
      </w:r>
      <w:r w:rsidRPr="38125562">
        <w:rPr>
          <w:rFonts w:asciiTheme="minorHAnsi" w:hAnsiTheme="minorHAnsi"/>
          <w:sz w:val="20"/>
          <w:szCs w:val="20"/>
        </w:rPr>
        <w:t xml:space="preserve"> (+12,0%), </w:t>
      </w:r>
      <w:r w:rsidRPr="38125562">
        <w:rPr>
          <w:rFonts w:asciiTheme="minorHAnsi" w:hAnsiTheme="minorHAnsi"/>
          <w:b/>
          <w:bCs/>
          <w:sz w:val="20"/>
          <w:szCs w:val="20"/>
        </w:rPr>
        <w:t>móveis e eletrodomésticos</w:t>
      </w:r>
      <w:r w:rsidRPr="38125562">
        <w:rPr>
          <w:rFonts w:asciiTheme="minorHAnsi" w:hAnsiTheme="minorHAnsi"/>
          <w:sz w:val="20"/>
          <w:szCs w:val="20"/>
        </w:rPr>
        <w:t xml:space="preserve"> (+16,0%), </w:t>
      </w:r>
      <w:r w:rsidRPr="38125562">
        <w:rPr>
          <w:rFonts w:asciiTheme="minorHAnsi" w:hAnsiTheme="minorHAnsi"/>
          <w:b/>
          <w:bCs/>
          <w:sz w:val="20"/>
          <w:szCs w:val="20"/>
        </w:rPr>
        <w:t>tecidos, vestuários e calçados</w:t>
      </w:r>
      <w:r w:rsidRPr="38125562">
        <w:rPr>
          <w:rFonts w:asciiTheme="minorHAnsi" w:hAnsiTheme="minorHAnsi"/>
          <w:sz w:val="20"/>
          <w:szCs w:val="20"/>
        </w:rPr>
        <w:t xml:space="preserve"> (+3,5%) e</w:t>
      </w:r>
      <w:r w:rsidRPr="38125562">
        <w:rPr>
          <w:rFonts w:asciiTheme="minorHAnsi" w:hAnsiTheme="minorHAnsi"/>
          <w:b/>
          <w:bCs/>
          <w:sz w:val="20"/>
          <w:szCs w:val="20"/>
        </w:rPr>
        <w:t xml:space="preserve"> artigos farmacêuticos, médicos, ortopédicos, de perfumaria e cosméticos</w:t>
      </w:r>
      <w:r w:rsidRPr="38125562">
        <w:rPr>
          <w:rFonts w:asciiTheme="minorHAnsi" w:hAnsiTheme="minorHAnsi"/>
          <w:sz w:val="20"/>
          <w:szCs w:val="20"/>
        </w:rPr>
        <w:t xml:space="preserve"> (+3,0%), registraram destaque. Em Pernambuco, são destaques </w:t>
      </w:r>
      <w:r w:rsidRPr="38125562">
        <w:rPr>
          <w:rFonts w:asciiTheme="minorHAnsi" w:hAnsiTheme="minorHAnsi"/>
          <w:b/>
          <w:bCs/>
          <w:sz w:val="20"/>
          <w:szCs w:val="20"/>
        </w:rPr>
        <w:t>artigos farmacêuticos, médicos, ortopédicos, de perfumaria e cosméticos</w:t>
      </w:r>
      <w:r w:rsidRPr="38125562">
        <w:rPr>
          <w:rFonts w:asciiTheme="minorHAnsi" w:hAnsiTheme="minorHAnsi"/>
          <w:sz w:val="20"/>
          <w:szCs w:val="20"/>
        </w:rPr>
        <w:t xml:space="preserve"> (+12,2%), </w:t>
      </w:r>
      <w:r w:rsidRPr="38125562">
        <w:rPr>
          <w:rFonts w:asciiTheme="minorHAnsi" w:hAnsiTheme="minorHAnsi"/>
          <w:b/>
          <w:bCs/>
          <w:sz w:val="20"/>
          <w:szCs w:val="20"/>
        </w:rPr>
        <w:t>outros artigos de uso pessoal e doméstico</w:t>
      </w:r>
      <w:r w:rsidRPr="38125562">
        <w:rPr>
          <w:rFonts w:asciiTheme="minorHAnsi" w:hAnsiTheme="minorHAnsi"/>
          <w:sz w:val="20"/>
          <w:szCs w:val="20"/>
        </w:rPr>
        <w:t xml:space="preserve"> (+9,7), </w:t>
      </w:r>
      <w:r w:rsidRPr="38125562">
        <w:rPr>
          <w:rFonts w:asciiTheme="minorHAnsi" w:hAnsiTheme="minorHAnsi"/>
          <w:b/>
          <w:bCs/>
          <w:sz w:val="20"/>
          <w:szCs w:val="20"/>
        </w:rPr>
        <w:t>veículos, motocicletas, partes e peças</w:t>
      </w:r>
      <w:r w:rsidRPr="38125562">
        <w:rPr>
          <w:rFonts w:asciiTheme="minorHAnsi" w:hAnsiTheme="minorHAnsi"/>
          <w:sz w:val="20"/>
          <w:szCs w:val="20"/>
        </w:rPr>
        <w:t xml:space="preserve"> (+7,8%). Na Bahia, a maior alta foi para </w:t>
      </w:r>
      <w:r w:rsidRPr="38125562">
        <w:rPr>
          <w:rFonts w:asciiTheme="minorHAnsi" w:hAnsiTheme="minorHAnsi"/>
          <w:b/>
          <w:bCs/>
          <w:sz w:val="20"/>
          <w:szCs w:val="20"/>
        </w:rPr>
        <w:t>móveis</w:t>
      </w:r>
      <w:r w:rsidRPr="38125562">
        <w:rPr>
          <w:rFonts w:asciiTheme="minorHAnsi" w:hAnsiTheme="minorHAnsi"/>
          <w:sz w:val="20"/>
          <w:szCs w:val="20"/>
        </w:rPr>
        <w:t xml:space="preserve"> (+5,5%), seguido de </w:t>
      </w:r>
      <w:r w:rsidRPr="38125562">
        <w:rPr>
          <w:rFonts w:asciiTheme="minorHAnsi" w:hAnsiTheme="minorHAnsi"/>
          <w:b/>
          <w:bCs/>
          <w:sz w:val="20"/>
          <w:szCs w:val="20"/>
        </w:rPr>
        <w:t xml:space="preserve">artigos farmacêuticos, médicos, ortopédicos, de perfumaria e cosméticos </w:t>
      </w:r>
      <w:r w:rsidRPr="38125562">
        <w:rPr>
          <w:rFonts w:asciiTheme="minorHAnsi" w:hAnsiTheme="minorHAnsi"/>
          <w:sz w:val="20"/>
          <w:szCs w:val="20"/>
        </w:rPr>
        <w:t xml:space="preserve">(+5,3%) e </w:t>
      </w:r>
      <w:r w:rsidRPr="38125562">
        <w:rPr>
          <w:rFonts w:asciiTheme="minorHAnsi" w:hAnsiTheme="minorHAnsi"/>
          <w:b/>
          <w:bCs/>
          <w:sz w:val="20"/>
          <w:szCs w:val="20"/>
        </w:rPr>
        <w:t xml:space="preserve">tecidos, vestuários e calçados </w:t>
      </w:r>
      <w:r w:rsidRPr="38125562">
        <w:rPr>
          <w:rFonts w:asciiTheme="minorHAnsi" w:hAnsiTheme="minorHAnsi"/>
          <w:sz w:val="20"/>
          <w:szCs w:val="20"/>
        </w:rPr>
        <w:t xml:space="preserve">(+2,6%). Em Minas Gerais, a maior alta verificou-se em </w:t>
      </w:r>
      <w:r w:rsidRPr="38125562">
        <w:rPr>
          <w:rFonts w:asciiTheme="minorHAnsi" w:hAnsiTheme="minorHAnsi"/>
          <w:b/>
          <w:bCs/>
          <w:sz w:val="20"/>
          <w:szCs w:val="20"/>
        </w:rPr>
        <w:t xml:space="preserve">artigos farmacêuticos, médicos, ortopédicos, de perfumaria e cosméticos </w:t>
      </w:r>
      <w:r w:rsidRPr="38125562">
        <w:rPr>
          <w:rFonts w:asciiTheme="minorHAnsi" w:hAnsiTheme="minorHAnsi"/>
          <w:sz w:val="20"/>
          <w:szCs w:val="20"/>
        </w:rPr>
        <w:t xml:space="preserve">(+10,5%), seguindo-se </w:t>
      </w:r>
      <w:r w:rsidRPr="38125562">
        <w:rPr>
          <w:rFonts w:asciiTheme="minorHAnsi" w:hAnsiTheme="minorHAnsi"/>
          <w:b/>
          <w:bCs/>
          <w:sz w:val="20"/>
          <w:szCs w:val="20"/>
        </w:rPr>
        <w:t>veículos, motocicletas, partes e peças</w:t>
      </w:r>
      <w:r w:rsidRPr="38125562">
        <w:rPr>
          <w:rFonts w:asciiTheme="minorHAnsi" w:hAnsiTheme="minorHAnsi"/>
          <w:sz w:val="20"/>
          <w:szCs w:val="20"/>
        </w:rPr>
        <w:t xml:space="preserve"> (+7,8%) e </w:t>
      </w:r>
      <w:r w:rsidRPr="38125562">
        <w:rPr>
          <w:rFonts w:asciiTheme="minorHAnsi" w:hAnsiTheme="minorHAnsi"/>
          <w:b/>
          <w:bCs/>
          <w:sz w:val="20"/>
          <w:szCs w:val="20"/>
        </w:rPr>
        <w:t>hipermercados e supermercados</w:t>
      </w:r>
      <w:r w:rsidRPr="38125562">
        <w:rPr>
          <w:rFonts w:asciiTheme="minorHAnsi" w:hAnsiTheme="minorHAnsi"/>
          <w:sz w:val="20"/>
          <w:szCs w:val="20"/>
        </w:rPr>
        <w:t xml:space="preserve"> (+3,5%). Por fim, no Espírito Santo, </w:t>
      </w:r>
      <w:r w:rsidRPr="38125562">
        <w:rPr>
          <w:rFonts w:asciiTheme="minorHAnsi" w:hAnsiTheme="minorHAnsi"/>
          <w:b/>
          <w:bCs/>
          <w:sz w:val="20"/>
          <w:szCs w:val="20"/>
        </w:rPr>
        <w:t>equipamentos e materiais para escritório, informática e comunicação</w:t>
      </w:r>
      <w:r w:rsidRPr="38125562">
        <w:rPr>
          <w:rFonts w:asciiTheme="minorHAnsi" w:hAnsiTheme="minorHAnsi"/>
          <w:sz w:val="20"/>
          <w:szCs w:val="20"/>
        </w:rPr>
        <w:t xml:space="preserve"> (+71,6%) e combustíveis e lubrificantes (+8,7%) sobressaíram-se. </w:t>
      </w:r>
      <w:r w:rsidRPr="38125562">
        <w:rPr>
          <w:rFonts w:ascii="Calibri" w:eastAsia="Calibri" w:hAnsi="Calibri" w:cs="Calibri"/>
          <w:sz w:val="20"/>
          <w:szCs w:val="20"/>
        </w:rPr>
        <w:t>Os dados para os cinco estados mencionados estão especificados na Tabela 1.</w:t>
      </w:r>
    </w:p>
    <w:p w14:paraId="1A2A3471" w14:textId="31353321" w:rsidR="00E83B4C" w:rsidRDefault="00E83B4C" w:rsidP="00793FBE">
      <w:pPr>
        <w:spacing w:before="120" w:after="120" w:line="264" w:lineRule="auto"/>
        <w:ind w:firstLine="0"/>
        <w:rPr>
          <w:rFonts w:asciiTheme="minorHAnsi" w:hAnsiTheme="minorHAnsi"/>
          <w:sz w:val="20"/>
          <w:szCs w:val="20"/>
        </w:rPr>
      </w:pPr>
    </w:p>
    <w:p w14:paraId="36CC5E42" w14:textId="77777777" w:rsidR="004056D9" w:rsidRDefault="004056D9" w:rsidP="006C2B5C">
      <w:pPr>
        <w:spacing w:before="120" w:after="120" w:line="264" w:lineRule="auto"/>
        <w:ind w:firstLine="0"/>
      </w:pPr>
    </w:p>
    <w:p w14:paraId="6522F4AB" w14:textId="19889379" w:rsidR="004056D9" w:rsidRDefault="004056D9" w:rsidP="00C7738B">
      <w:pPr>
        <w:spacing w:before="120" w:after="120" w:line="276" w:lineRule="auto"/>
        <w:ind w:firstLine="0"/>
        <w:rPr>
          <w:rFonts w:asciiTheme="minorHAnsi" w:hAnsiTheme="minorHAnsi"/>
          <w:sz w:val="20"/>
          <w:szCs w:val="20"/>
        </w:rPr>
      </w:pPr>
      <w:r w:rsidRPr="00CC2608">
        <w:rPr>
          <w:rFonts w:asciiTheme="minorHAnsi" w:hAnsiTheme="minorHAnsi"/>
          <w:sz w:val="18"/>
          <w:szCs w:val="18"/>
        </w:rPr>
        <w:lastRenderedPageBreak/>
        <w:t>Gráfico 1 - Variação (%) do volume de vendas do comércio – Brasil e Estados selecionados – Acumulado em 2019</w:t>
      </w:r>
      <w:r w:rsidR="00AF4148" w:rsidRPr="00CC2608">
        <w:rPr>
          <w:rFonts w:asciiTheme="minorHAnsi" w:hAnsiTheme="minorHAnsi"/>
          <w:sz w:val="18"/>
          <w:szCs w:val="18"/>
          <w:vertAlign w:val="superscript"/>
        </w:rPr>
        <w:t>(1)</w:t>
      </w:r>
      <w:r w:rsidR="004F0D6B" w:rsidRPr="004F0D6B">
        <w:rPr>
          <w:noProof/>
        </w:rPr>
        <w:t xml:space="preserve"> </w:t>
      </w:r>
      <w:r w:rsidR="004F0D6B">
        <w:rPr>
          <w:noProof/>
        </w:rPr>
        <w:drawing>
          <wp:inline distT="0" distB="0" distL="0" distR="0" wp14:anchorId="2BB5BAE5" wp14:editId="14C9BE31">
            <wp:extent cx="5400040" cy="2910840"/>
            <wp:effectExtent l="0" t="0" r="10160" b="381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F8CBB99-EF14-4A4A-9CF5-FA9184925C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CC2608">
        <w:rPr>
          <w:rFonts w:asciiTheme="minorHAnsi" w:hAnsiTheme="minorHAnsi"/>
          <w:sz w:val="16"/>
          <w:szCs w:val="16"/>
        </w:rPr>
        <w:t xml:space="preserve">Fonte: Elaboração BNB/ETENE, com dados do IBGE. Nota: (1) Variação acumulada de </w:t>
      </w:r>
      <w:r w:rsidR="00F763DF">
        <w:rPr>
          <w:rFonts w:asciiTheme="minorHAnsi" w:hAnsiTheme="minorHAnsi"/>
          <w:sz w:val="16"/>
          <w:szCs w:val="16"/>
        </w:rPr>
        <w:t>J</w:t>
      </w:r>
      <w:r w:rsidRPr="00CC2608">
        <w:rPr>
          <w:rFonts w:asciiTheme="minorHAnsi" w:hAnsiTheme="minorHAnsi"/>
          <w:sz w:val="16"/>
          <w:szCs w:val="16"/>
        </w:rPr>
        <w:t>an-</w:t>
      </w:r>
      <w:r w:rsidR="00F763DF">
        <w:rPr>
          <w:rFonts w:asciiTheme="minorHAnsi" w:hAnsiTheme="minorHAnsi"/>
          <w:sz w:val="16"/>
          <w:szCs w:val="16"/>
        </w:rPr>
        <w:t>J</w:t>
      </w:r>
      <w:r w:rsidR="009D00DF">
        <w:rPr>
          <w:rFonts w:asciiTheme="minorHAnsi" w:hAnsiTheme="minorHAnsi"/>
          <w:sz w:val="16"/>
          <w:szCs w:val="16"/>
        </w:rPr>
        <w:t>un</w:t>
      </w:r>
      <w:r w:rsidRPr="00CC2608">
        <w:rPr>
          <w:rFonts w:asciiTheme="minorHAnsi" w:hAnsiTheme="minorHAnsi"/>
          <w:sz w:val="16"/>
          <w:szCs w:val="16"/>
        </w:rPr>
        <w:t>/2019.</w:t>
      </w:r>
    </w:p>
    <w:p w14:paraId="37DEB572" w14:textId="7A909162" w:rsidR="007D02C3" w:rsidRPr="00016762" w:rsidRDefault="007D02C3" w:rsidP="00EC2002">
      <w:pPr>
        <w:pStyle w:val="Legenda"/>
        <w:keepNext/>
        <w:spacing w:after="0"/>
        <w:ind w:firstLine="0"/>
        <w:rPr>
          <w:rFonts w:asciiTheme="minorHAnsi" w:hAnsiTheme="minorHAnsi"/>
          <w:i w:val="0"/>
          <w:color w:val="000000" w:themeColor="text1"/>
          <w:sz w:val="20"/>
          <w:szCs w:val="20"/>
          <w:vertAlign w:val="superscript"/>
        </w:rPr>
      </w:pPr>
      <w:r w:rsidRPr="00EC2002">
        <w:rPr>
          <w:rFonts w:asciiTheme="minorHAnsi" w:hAnsiTheme="minorHAnsi"/>
          <w:i w:val="0"/>
          <w:color w:val="000000" w:themeColor="text1"/>
          <w:sz w:val="20"/>
          <w:szCs w:val="20"/>
        </w:rPr>
        <w:t xml:space="preserve">Tabela </w:t>
      </w:r>
      <w:r w:rsidR="002F5ABF" w:rsidRPr="00EC2002">
        <w:rPr>
          <w:rFonts w:asciiTheme="minorHAnsi" w:hAnsiTheme="minorHAnsi"/>
          <w:i w:val="0"/>
          <w:color w:val="000000" w:themeColor="text1"/>
          <w:sz w:val="20"/>
          <w:szCs w:val="20"/>
        </w:rPr>
        <w:t>1 - Variação (%) do</w:t>
      </w:r>
      <w:r w:rsidRPr="00EC2002">
        <w:rPr>
          <w:rFonts w:asciiTheme="minorHAnsi" w:hAnsiTheme="minorHAnsi"/>
          <w:i w:val="0"/>
          <w:color w:val="000000" w:themeColor="text1"/>
          <w:sz w:val="20"/>
          <w:szCs w:val="20"/>
        </w:rPr>
        <w:t xml:space="preserve"> volume de vendas do comércio</w:t>
      </w:r>
      <w:r w:rsidR="002F5ABF" w:rsidRPr="00EC2002">
        <w:rPr>
          <w:rFonts w:asciiTheme="minorHAnsi" w:hAnsiTheme="minorHAnsi"/>
          <w:i w:val="0"/>
          <w:color w:val="000000" w:themeColor="text1"/>
          <w:sz w:val="20"/>
          <w:szCs w:val="20"/>
        </w:rPr>
        <w:t xml:space="preserve"> e atividades</w:t>
      </w:r>
      <w:r w:rsidRPr="00EC2002">
        <w:rPr>
          <w:rFonts w:asciiTheme="minorHAnsi" w:hAnsiTheme="minorHAnsi"/>
          <w:i w:val="0"/>
          <w:color w:val="000000" w:themeColor="text1"/>
          <w:sz w:val="20"/>
          <w:szCs w:val="20"/>
        </w:rPr>
        <w:t xml:space="preserve"> – </w:t>
      </w:r>
      <w:r w:rsidR="002F5ABF" w:rsidRPr="00EC2002">
        <w:rPr>
          <w:rFonts w:asciiTheme="minorHAnsi" w:hAnsiTheme="minorHAnsi"/>
          <w:i w:val="0"/>
          <w:color w:val="000000" w:themeColor="text1"/>
          <w:sz w:val="20"/>
          <w:szCs w:val="20"/>
        </w:rPr>
        <w:t xml:space="preserve">Brasil e </w:t>
      </w:r>
      <w:r w:rsidR="00E05DE2">
        <w:rPr>
          <w:rFonts w:asciiTheme="minorHAnsi" w:hAnsiTheme="minorHAnsi"/>
          <w:i w:val="0"/>
          <w:color w:val="000000" w:themeColor="text1"/>
          <w:sz w:val="20"/>
          <w:szCs w:val="20"/>
        </w:rPr>
        <w:t>E</w:t>
      </w:r>
      <w:bookmarkStart w:id="0" w:name="_GoBack"/>
      <w:bookmarkEnd w:id="0"/>
      <w:r w:rsidR="002F5ABF" w:rsidRPr="00EC2002">
        <w:rPr>
          <w:rFonts w:asciiTheme="minorHAnsi" w:hAnsiTheme="minorHAnsi"/>
          <w:i w:val="0"/>
          <w:color w:val="000000" w:themeColor="text1"/>
          <w:sz w:val="20"/>
          <w:szCs w:val="20"/>
        </w:rPr>
        <w:t>stados selecionados Acumulado em</w:t>
      </w:r>
      <w:r w:rsidRPr="00EC2002">
        <w:rPr>
          <w:rFonts w:asciiTheme="minorHAnsi" w:hAnsiTheme="minorHAnsi"/>
          <w:i w:val="0"/>
          <w:color w:val="000000" w:themeColor="text1"/>
          <w:sz w:val="20"/>
          <w:szCs w:val="20"/>
        </w:rPr>
        <w:t xml:space="preserve"> 2019</w:t>
      </w:r>
      <w:r w:rsidR="00016762">
        <w:rPr>
          <w:rFonts w:asciiTheme="minorHAnsi" w:hAnsiTheme="minorHAnsi"/>
          <w:i w:val="0"/>
          <w:color w:val="000000" w:themeColor="text1"/>
          <w:sz w:val="20"/>
          <w:szCs w:val="20"/>
          <w:vertAlign w:val="superscript"/>
        </w:rPr>
        <w:t>(1)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96"/>
        <w:gridCol w:w="508"/>
        <w:gridCol w:w="521"/>
        <w:gridCol w:w="983"/>
        <w:gridCol w:w="527"/>
        <w:gridCol w:w="1006"/>
        <w:gridCol w:w="1063"/>
      </w:tblGrid>
      <w:tr w:rsidR="00D927E9" w:rsidRPr="00F35733" w14:paraId="2BDC43FA" w14:textId="77777777" w:rsidTr="00D927E9">
        <w:trPr>
          <w:trHeight w:val="573"/>
        </w:trPr>
        <w:tc>
          <w:tcPr>
            <w:tcW w:w="2334" w:type="pct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noWrap/>
            <w:vAlign w:val="center"/>
            <w:hideMark/>
          </w:tcPr>
          <w:p w14:paraId="5B08BA10" w14:textId="77777777" w:rsidR="004B5C52" w:rsidRPr="00F35733" w:rsidRDefault="004B5C52" w:rsidP="004B5C52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</w:pPr>
            <w:bookmarkStart w:id="1" w:name="OLE_LINK1"/>
            <w:r w:rsidRPr="00F35733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  <w:t>Comércio e atividades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noWrap/>
            <w:vAlign w:val="center"/>
            <w:hideMark/>
          </w:tcPr>
          <w:p w14:paraId="78D6CF2D" w14:textId="77777777" w:rsidR="004B5C52" w:rsidRPr="00F35733" w:rsidRDefault="004B5C52" w:rsidP="004B5C52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  <w:t>Brasil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noWrap/>
            <w:vAlign w:val="center"/>
            <w:hideMark/>
          </w:tcPr>
          <w:p w14:paraId="63D6E99B" w14:textId="77777777" w:rsidR="004B5C52" w:rsidRPr="00F35733" w:rsidRDefault="004B5C52" w:rsidP="004B5C52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  <w:t>Ceará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noWrap/>
            <w:vAlign w:val="center"/>
            <w:hideMark/>
          </w:tcPr>
          <w:p w14:paraId="46CCCDAE" w14:textId="77777777" w:rsidR="004B5C52" w:rsidRPr="00F35733" w:rsidRDefault="004B5C52" w:rsidP="004B5C52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  <w:t>Pernambuco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noWrap/>
            <w:vAlign w:val="center"/>
            <w:hideMark/>
          </w:tcPr>
          <w:p w14:paraId="39FB550B" w14:textId="77777777" w:rsidR="004B5C52" w:rsidRPr="00F35733" w:rsidRDefault="004B5C52" w:rsidP="004B5C52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  <w:t>Bahia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noWrap/>
            <w:vAlign w:val="center"/>
            <w:hideMark/>
          </w:tcPr>
          <w:p w14:paraId="79FA4FC0" w14:textId="77777777" w:rsidR="004B5C52" w:rsidRPr="00F35733" w:rsidRDefault="004B5C52" w:rsidP="004B5C52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  <w:t>Minas Gerais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noWrap/>
            <w:vAlign w:val="center"/>
            <w:hideMark/>
          </w:tcPr>
          <w:p w14:paraId="12D260E7" w14:textId="77777777" w:rsidR="004B5C52" w:rsidRPr="00F35733" w:rsidRDefault="004B5C52" w:rsidP="004B5C52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  <w:t>Espírito Santo</w:t>
            </w:r>
          </w:p>
        </w:tc>
      </w:tr>
      <w:tr w:rsidR="00D927E9" w:rsidRPr="00F35733" w14:paraId="4E4EAACE" w14:textId="77777777" w:rsidTr="00D927E9">
        <w:trPr>
          <w:trHeight w:val="330"/>
        </w:trPr>
        <w:tc>
          <w:tcPr>
            <w:tcW w:w="23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28A14A" w14:textId="77777777" w:rsidR="004B5C52" w:rsidRPr="00F35733" w:rsidRDefault="004B5C52" w:rsidP="006D7503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  <w:t>Comércio varejista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C07B0E" w14:textId="77777777" w:rsidR="004B5C52" w:rsidRPr="00F35733" w:rsidRDefault="004B5C52" w:rsidP="004B5C52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  <w:t>0,6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3DCCDC" w14:textId="77777777" w:rsidR="004B5C52" w:rsidRPr="00F35733" w:rsidRDefault="004B5C52" w:rsidP="004B5C52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  <w:t>-1,1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E8E8AA" w14:textId="77777777" w:rsidR="004B5C52" w:rsidRPr="00F35733" w:rsidRDefault="004B5C52" w:rsidP="004B5C52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  <w:t>-1,0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32AC4F" w14:textId="77777777" w:rsidR="004B5C52" w:rsidRPr="00F35733" w:rsidRDefault="004B5C52" w:rsidP="004B5C52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  <w:t>0,8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116A" w14:textId="77777777" w:rsidR="004B5C52" w:rsidRPr="00F35733" w:rsidRDefault="004B5C52" w:rsidP="004B5C52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  <w:t>-2,0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EDEA9E" w14:textId="77777777" w:rsidR="004B5C52" w:rsidRPr="00F35733" w:rsidRDefault="004B5C52" w:rsidP="004B5C52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  <w:t>6,7</w:t>
            </w:r>
          </w:p>
        </w:tc>
      </w:tr>
      <w:tr w:rsidR="00D927E9" w:rsidRPr="00F35733" w14:paraId="78115E23" w14:textId="77777777" w:rsidTr="00D927E9">
        <w:trPr>
          <w:trHeight w:val="329"/>
        </w:trPr>
        <w:tc>
          <w:tcPr>
            <w:tcW w:w="2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FB80F8" w14:textId="77777777" w:rsidR="004B5C52" w:rsidRPr="00400108" w:rsidRDefault="004B5C52" w:rsidP="006D7503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00108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Combustíveis e lubrificantes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F85A8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-0,1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75685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-5,1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F1A03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0,7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5BBEF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0,7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7874F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-8,0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EA01D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8,7</w:t>
            </w:r>
          </w:p>
        </w:tc>
      </w:tr>
      <w:tr w:rsidR="00D927E9" w:rsidRPr="00F35733" w14:paraId="3DDE4137" w14:textId="77777777" w:rsidTr="00D927E9">
        <w:trPr>
          <w:trHeight w:val="329"/>
        </w:trPr>
        <w:tc>
          <w:tcPr>
            <w:tcW w:w="2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54A3E" w14:textId="77777777" w:rsidR="004B5C52" w:rsidRPr="00400108" w:rsidRDefault="004B5C52" w:rsidP="006D7503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00108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Hipermercados, supermercados, produtos alimentícios, bebidas e fumo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E0B28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-0,3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EE72F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-5,0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7ADE6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-6,6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71066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2,2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CC33D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3,1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ADF1D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5,9</w:t>
            </w:r>
          </w:p>
        </w:tc>
      </w:tr>
      <w:tr w:rsidR="00D927E9" w:rsidRPr="00F35733" w14:paraId="585212F7" w14:textId="77777777" w:rsidTr="00D927E9">
        <w:trPr>
          <w:trHeight w:val="329"/>
        </w:trPr>
        <w:tc>
          <w:tcPr>
            <w:tcW w:w="2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78A131" w14:textId="1B692EFF" w:rsidR="004B5C52" w:rsidRPr="00F35733" w:rsidRDefault="008A7269" w:rsidP="006D7503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 xml:space="preserve">  </w:t>
            </w:r>
            <w:r w:rsidR="00C42179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 xml:space="preserve"> </w:t>
            </w:r>
            <w:r w:rsidR="004B5C52"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Hipermercados e supermercados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C8FD8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0,2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73068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-6,8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8BE95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-5,7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40178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0,8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919EF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3,5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B3C9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5,9</w:t>
            </w:r>
          </w:p>
        </w:tc>
      </w:tr>
      <w:tr w:rsidR="00D927E9" w:rsidRPr="00F35733" w14:paraId="0583343C" w14:textId="77777777" w:rsidTr="00D927E9">
        <w:trPr>
          <w:trHeight w:val="329"/>
        </w:trPr>
        <w:tc>
          <w:tcPr>
            <w:tcW w:w="2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E6B9D" w14:textId="77777777" w:rsidR="004B5C52" w:rsidRPr="00400108" w:rsidRDefault="004B5C52" w:rsidP="006D7503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00108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Tecidos, vestuário e calçados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356BA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-0,4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2FE9B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3,5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E3C66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-4,9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008D2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2,6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F2C1E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-8,6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C4DD8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8,1</w:t>
            </w:r>
          </w:p>
        </w:tc>
      </w:tr>
      <w:tr w:rsidR="00D927E9" w:rsidRPr="00F35733" w14:paraId="02C5713A" w14:textId="77777777" w:rsidTr="00D927E9">
        <w:trPr>
          <w:trHeight w:val="329"/>
        </w:trPr>
        <w:tc>
          <w:tcPr>
            <w:tcW w:w="2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779055" w14:textId="77777777" w:rsidR="004B5C52" w:rsidRPr="00F35733" w:rsidRDefault="004B5C52" w:rsidP="006D7503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Móveis e eletrodomésticos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8B8A4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-1,1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0220D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16,0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72896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-0,1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CD07E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1,4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74EFD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-13,7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DF1E4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5,3</w:t>
            </w:r>
          </w:p>
        </w:tc>
      </w:tr>
      <w:tr w:rsidR="00D927E9" w:rsidRPr="00F35733" w14:paraId="1E8E79B2" w14:textId="77777777" w:rsidTr="00D927E9">
        <w:trPr>
          <w:trHeight w:val="329"/>
        </w:trPr>
        <w:tc>
          <w:tcPr>
            <w:tcW w:w="2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576CA" w14:textId="77004438" w:rsidR="004B5C52" w:rsidRPr="00F35733" w:rsidRDefault="00C42179" w:rsidP="006D7503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="004B5C52"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Móveis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B107B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3,3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41B38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-2,8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519B2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-12,0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7A026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5,5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7AD85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-7,2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88761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4,3</w:t>
            </w:r>
          </w:p>
        </w:tc>
      </w:tr>
      <w:tr w:rsidR="00D927E9" w:rsidRPr="00F35733" w14:paraId="43B201AA" w14:textId="77777777" w:rsidTr="00D927E9">
        <w:trPr>
          <w:trHeight w:val="329"/>
        </w:trPr>
        <w:tc>
          <w:tcPr>
            <w:tcW w:w="2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DF52E4" w14:textId="765559B5" w:rsidR="004B5C52" w:rsidRPr="00F35733" w:rsidRDefault="00C42179" w:rsidP="006D7503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="004B5C52"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Eletrodomésticos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BDBA1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-2,7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5916B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33,3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89F39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5,3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11004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-0,5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06025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-14,9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51422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4,7</w:t>
            </w:r>
          </w:p>
        </w:tc>
      </w:tr>
      <w:tr w:rsidR="00D927E9" w:rsidRPr="00F35733" w14:paraId="75E16471" w14:textId="77777777" w:rsidTr="00D927E9">
        <w:trPr>
          <w:trHeight w:val="329"/>
        </w:trPr>
        <w:tc>
          <w:tcPr>
            <w:tcW w:w="2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F6C222" w14:textId="77777777" w:rsidR="004B5C52" w:rsidRPr="00F35733" w:rsidRDefault="004B5C52" w:rsidP="006D7503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Artigos farmacêuticos, médicos, ortopédicos, de perfumaria e cosméticos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25EA0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6,2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51CE1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3,0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CE36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12,2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0CBBA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5,3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47DCD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10,5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B1C81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8,5</w:t>
            </w:r>
          </w:p>
        </w:tc>
      </w:tr>
      <w:tr w:rsidR="00D927E9" w:rsidRPr="00F35733" w14:paraId="52DBE3DD" w14:textId="77777777" w:rsidTr="00D927E9">
        <w:trPr>
          <w:trHeight w:val="329"/>
        </w:trPr>
        <w:tc>
          <w:tcPr>
            <w:tcW w:w="2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D72C40" w14:textId="77777777" w:rsidR="004B5C52" w:rsidRPr="00F35733" w:rsidRDefault="004B5C52" w:rsidP="006D7503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Livros, jornais, revistas e papelaria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96DFC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-27,0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D5B7B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-15,0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B25C4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-30,9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4D73A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-52,5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18BD6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-14,8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E5A52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-41,4</w:t>
            </w:r>
          </w:p>
        </w:tc>
      </w:tr>
      <w:tr w:rsidR="00D927E9" w:rsidRPr="00F35733" w14:paraId="5F778444" w14:textId="77777777" w:rsidTr="00D927E9">
        <w:trPr>
          <w:trHeight w:val="329"/>
        </w:trPr>
        <w:tc>
          <w:tcPr>
            <w:tcW w:w="2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17A96" w14:textId="77777777" w:rsidR="004B5C52" w:rsidRPr="00F35733" w:rsidRDefault="004B5C52" w:rsidP="006D7503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Equipamentos e materiais para escritório, informática e comunicação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8BC83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-0,1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4B645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-12,7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15640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-19,1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69F47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-27,3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95252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2,9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7BA01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71,6</w:t>
            </w:r>
          </w:p>
        </w:tc>
      </w:tr>
      <w:tr w:rsidR="00D927E9" w:rsidRPr="00F35733" w14:paraId="4C00BFF1" w14:textId="77777777" w:rsidTr="00D927E9">
        <w:trPr>
          <w:trHeight w:val="329"/>
        </w:trPr>
        <w:tc>
          <w:tcPr>
            <w:tcW w:w="2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1A15A0" w14:textId="77777777" w:rsidR="004B5C52" w:rsidRPr="00F35733" w:rsidRDefault="004B5C52" w:rsidP="006D7503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Outros artigos de uso pessoal e doméstico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C4457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4,4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66D55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-2,8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D4AC5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9,7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A28D3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2,2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D2EDF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-15,6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C038C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3,9</w:t>
            </w:r>
          </w:p>
        </w:tc>
      </w:tr>
      <w:tr w:rsidR="00D927E9" w:rsidRPr="00F35733" w14:paraId="0BCCCE12" w14:textId="77777777" w:rsidTr="00D927E9">
        <w:trPr>
          <w:trHeight w:val="251"/>
        </w:trPr>
        <w:tc>
          <w:tcPr>
            <w:tcW w:w="23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D04F39" w14:textId="77777777" w:rsidR="004B5C52" w:rsidRPr="00F35733" w:rsidRDefault="004B5C52" w:rsidP="006D7503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  <w:t>Comércio varejista ampliado</w:t>
            </w: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7C3344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  <w:t>3,2</w:t>
            </w: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C7B7AF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  <w:t>2,9</w:t>
            </w:r>
          </w:p>
        </w:tc>
        <w:tc>
          <w:tcPr>
            <w:tcW w:w="5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DE7158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  <w:t>0,8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AEFC5B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  <w:t>-1,1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142286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  <w:t>-0,3</w:t>
            </w: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7D4500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  <w:t>6,6</w:t>
            </w:r>
          </w:p>
        </w:tc>
      </w:tr>
      <w:tr w:rsidR="00D927E9" w:rsidRPr="00F35733" w14:paraId="62762B45" w14:textId="77777777" w:rsidTr="00D927E9">
        <w:trPr>
          <w:trHeight w:val="329"/>
        </w:trPr>
        <w:tc>
          <w:tcPr>
            <w:tcW w:w="2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0A3D70" w14:textId="77777777" w:rsidR="004B5C52" w:rsidRPr="00F35733" w:rsidRDefault="004B5C52" w:rsidP="006D7503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Veículos, motocicletas, partes e peças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3D4AA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11,0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7BF0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12,4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97B88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7,8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4E5F9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-4,7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76BEF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7,8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46792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7,4</w:t>
            </w:r>
          </w:p>
        </w:tc>
      </w:tr>
      <w:tr w:rsidR="00D927E9" w:rsidRPr="00F35733" w14:paraId="4EA8105F" w14:textId="77777777" w:rsidTr="00D927E9">
        <w:trPr>
          <w:trHeight w:val="329"/>
        </w:trPr>
        <w:tc>
          <w:tcPr>
            <w:tcW w:w="2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A66F119" w14:textId="77777777" w:rsidR="004B5C52" w:rsidRPr="00F35733" w:rsidRDefault="004B5C52" w:rsidP="006D7503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Material de construção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3C2FAA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3,8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FD4F98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12,0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E354F5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-4,3</w:t>
            </w:r>
          </w:p>
        </w:tc>
        <w:tc>
          <w:tcPr>
            <w:tcW w:w="4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3F1393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-4,1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DE9656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-0,5</w:t>
            </w:r>
          </w:p>
        </w:tc>
        <w:tc>
          <w:tcPr>
            <w:tcW w:w="5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3A5A53" w14:textId="77777777" w:rsidR="004B5C52" w:rsidRPr="00F35733" w:rsidRDefault="004B5C52" w:rsidP="006D750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0,9</w:t>
            </w:r>
          </w:p>
        </w:tc>
      </w:tr>
    </w:tbl>
    <w:p w14:paraId="067BF41F" w14:textId="70DB71AB" w:rsidR="002F5ABF" w:rsidRDefault="002F5ABF" w:rsidP="008F26A1">
      <w:pPr>
        <w:spacing w:after="0" w:line="276" w:lineRule="auto"/>
        <w:ind w:firstLine="0"/>
        <w:jc w:val="left"/>
        <w:rPr>
          <w:rFonts w:asciiTheme="minorHAnsi" w:hAnsiTheme="minorHAnsi"/>
          <w:sz w:val="16"/>
          <w:szCs w:val="16"/>
        </w:rPr>
      </w:pPr>
      <w:r w:rsidRPr="00C7738B">
        <w:rPr>
          <w:rFonts w:asciiTheme="minorHAnsi" w:hAnsiTheme="minorHAnsi"/>
          <w:sz w:val="16"/>
          <w:szCs w:val="16"/>
        </w:rPr>
        <w:t xml:space="preserve">Fonte: Elaboração BNB/ETENE, com dados do IBGE. Nota: (1) Variação acumulada de </w:t>
      </w:r>
      <w:r w:rsidR="002F4F1A">
        <w:rPr>
          <w:rFonts w:asciiTheme="minorHAnsi" w:hAnsiTheme="minorHAnsi"/>
          <w:sz w:val="16"/>
          <w:szCs w:val="16"/>
        </w:rPr>
        <w:t>J</w:t>
      </w:r>
      <w:r w:rsidRPr="00C7738B">
        <w:rPr>
          <w:rFonts w:asciiTheme="minorHAnsi" w:hAnsiTheme="minorHAnsi"/>
          <w:sz w:val="16"/>
          <w:szCs w:val="16"/>
        </w:rPr>
        <w:t>an-</w:t>
      </w:r>
      <w:r w:rsidR="002F4F1A">
        <w:rPr>
          <w:rFonts w:asciiTheme="minorHAnsi" w:hAnsiTheme="minorHAnsi"/>
          <w:sz w:val="16"/>
          <w:szCs w:val="16"/>
        </w:rPr>
        <w:t>J</w:t>
      </w:r>
      <w:r w:rsidR="009D00DF">
        <w:rPr>
          <w:rFonts w:asciiTheme="minorHAnsi" w:hAnsiTheme="minorHAnsi"/>
          <w:sz w:val="16"/>
          <w:szCs w:val="16"/>
        </w:rPr>
        <w:t>un</w:t>
      </w:r>
      <w:r w:rsidRPr="00C7738B">
        <w:rPr>
          <w:rFonts w:asciiTheme="minorHAnsi" w:hAnsiTheme="minorHAnsi"/>
          <w:sz w:val="16"/>
          <w:szCs w:val="16"/>
        </w:rPr>
        <w:t>/2019.</w:t>
      </w:r>
      <w:bookmarkEnd w:id="1"/>
    </w:p>
    <w:p w14:paraId="2DA4A588" w14:textId="206F285A" w:rsidR="0006794E" w:rsidRDefault="0006794E" w:rsidP="008F26A1">
      <w:pPr>
        <w:spacing w:after="0" w:line="276" w:lineRule="auto"/>
        <w:ind w:firstLine="0"/>
        <w:jc w:val="left"/>
        <w:rPr>
          <w:rFonts w:asciiTheme="minorHAnsi" w:hAnsiTheme="minorHAnsi"/>
          <w:sz w:val="16"/>
          <w:szCs w:val="16"/>
        </w:rPr>
      </w:pPr>
    </w:p>
    <w:p w14:paraId="636BC548" w14:textId="1C90DD5D" w:rsidR="0006794E" w:rsidRPr="0006794E" w:rsidRDefault="0006794E" w:rsidP="0006794E">
      <w:pPr>
        <w:spacing w:before="120" w:after="120" w:line="264" w:lineRule="auto"/>
        <w:ind w:firstLine="0"/>
        <w:rPr>
          <w:rFonts w:ascii="Calibri" w:eastAsia="Calibri" w:hAnsi="Calibri" w:cs="Calibri"/>
          <w:sz w:val="20"/>
          <w:szCs w:val="20"/>
        </w:rPr>
      </w:pPr>
      <w:r w:rsidRPr="0006794E">
        <w:rPr>
          <w:rFonts w:asciiTheme="minorHAnsi" w:hAnsiTheme="minorHAnsi"/>
          <w:b/>
          <w:bCs/>
          <w:sz w:val="20"/>
          <w:szCs w:val="20"/>
        </w:rPr>
        <w:t>Autores:</w:t>
      </w:r>
      <w:r w:rsidRPr="00CD71F4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Nicolino Trompieri N</w:t>
      </w:r>
      <w:r w:rsidRPr="00423ED6">
        <w:rPr>
          <w:rFonts w:asciiTheme="minorHAnsi" w:hAnsiTheme="minorHAnsi"/>
          <w:sz w:val="20"/>
          <w:szCs w:val="20"/>
        </w:rPr>
        <w:t>eto</w:t>
      </w:r>
      <w:r w:rsidR="00D95F5C">
        <w:rPr>
          <w:rFonts w:asciiTheme="minorHAnsi" w:hAnsiTheme="minorHAnsi"/>
          <w:sz w:val="20"/>
          <w:szCs w:val="20"/>
        </w:rPr>
        <w:t xml:space="preserve">, </w:t>
      </w:r>
      <w:r w:rsidRPr="00423ED6">
        <w:rPr>
          <w:rFonts w:asciiTheme="minorHAnsi" w:hAnsiTheme="minorHAnsi"/>
          <w:sz w:val="20"/>
          <w:szCs w:val="20"/>
        </w:rPr>
        <w:t xml:space="preserve">Professor da Universidade de Fortaleza </w:t>
      </w:r>
      <w:r>
        <w:rPr>
          <w:rFonts w:asciiTheme="minorHAnsi" w:hAnsiTheme="minorHAnsi"/>
          <w:sz w:val="20"/>
          <w:szCs w:val="20"/>
        </w:rPr>
        <w:t xml:space="preserve">– Unifor. </w:t>
      </w:r>
      <w:r w:rsidRPr="0043451F">
        <w:rPr>
          <w:rFonts w:asciiTheme="minorHAnsi" w:hAnsiTheme="minorHAnsi"/>
          <w:sz w:val="20"/>
          <w:szCs w:val="20"/>
        </w:rPr>
        <w:t>Alysson In</w:t>
      </w:r>
      <w:r>
        <w:rPr>
          <w:rFonts w:asciiTheme="minorHAnsi" w:hAnsiTheme="minorHAnsi"/>
          <w:sz w:val="20"/>
          <w:szCs w:val="20"/>
        </w:rPr>
        <w:t>á</w:t>
      </w:r>
      <w:r w:rsidRPr="0043451F">
        <w:rPr>
          <w:rFonts w:asciiTheme="minorHAnsi" w:hAnsiTheme="minorHAnsi"/>
          <w:sz w:val="20"/>
          <w:szCs w:val="20"/>
        </w:rPr>
        <w:t>cio de Oliveira</w:t>
      </w:r>
      <w:r>
        <w:rPr>
          <w:rFonts w:asciiTheme="minorHAnsi" w:hAnsiTheme="minorHAnsi"/>
          <w:sz w:val="20"/>
          <w:szCs w:val="20"/>
        </w:rPr>
        <w:t xml:space="preserve"> </w:t>
      </w:r>
      <w:r w:rsidRPr="00B54D23">
        <w:rPr>
          <w:rFonts w:asciiTheme="minorHAnsi" w:hAnsiTheme="minorHAnsi"/>
          <w:sz w:val="20"/>
          <w:szCs w:val="20"/>
        </w:rPr>
        <w:t>e Renan Antoniacomi Magalh</w:t>
      </w:r>
      <w:r w:rsidR="00D816BC">
        <w:rPr>
          <w:rFonts w:asciiTheme="minorHAnsi" w:hAnsiTheme="minorHAnsi"/>
          <w:sz w:val="20"/>
          <w:szCs w:val="20"/>
        </w:rPr>
        <w:t>ã</w:t>
      </w:r>
      <w:r w:rsidRPr="00B54D23">
        <w:rPr>
          <w:rFonts w:asciiTheme="minorHAnsi" w:hAnsiTheme="minorHAnsi"/>
          <w:sz w:val="20"/>
          <w:szCs w:val="20"/>
        </w:rPr>
        <w:t>es, graduandos em Economia, Universidade de Fortaleza -</w:t>
      </w:r>
      <w:r>
        <w:rPr>
          <w:rFonts w:asciiTheme="minorHAnsi" w:hAnsiTheme="minorHAnsi"/>
          <w:sz w:val="20"/>
          <w:szCs w:val="20"/>
        </w:rPr>
        <w:t xml:space="preserve"> </w:t>
      </w:r>
      <w:r w:rsidRPr="00B54D23">
        <w:rPr>
          <w:rFonts w:asciiTheme="minorHAnsi" w:hAnsiTheme="minorHAnsi"/>
          <w:sz w:val="20"/>
          <w:szCs w:val="20"/>
        </w:rPr>
        <w:t>UNIFOR e estagiários do Núcleo de Pesquisas Econômicas - NUPE</w:t>
      </w:r>
    </w:p>
    <w:sectPr w:rsidR="0006794E" w:rsidRPr="0006794E" w:rsidSect="00CC53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7" w:right="1701" w:bottom="1417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65CA0" w14:textId="77777777" w:rsidR="00D84FDB" w:rsidRDefault="00D84FDB" w:rsidP="002F5ABF">
      <w:pPr>
        <w:spacing w:after="0" w:line="240" w:lineRule="auto"/>
      </w:pPr>
      <w:r>
        <w:separator/>
      </w:r>
    </w:p>
  </w:endnote>
  <w:endnote w:type="continuationSeparator" w:id="0">
    <w:p w14:paraId="23214D8F" w14:textId="77777777" w:rsidR="00D84FDB" w:rsidRDefault="00D84FDB" w:rsidP="002F5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28048" w14:textId="77777777" w:rsidR="00DD16DE" w:rsidRDefault="00DD16D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EA986" w14:textId="77777777" w:rsidR="00DD16DE" w:rsidRDefault="00DD16D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2C657" w14:textId="77777777" w:rsidR="00DD16DE" w:rsidRDefault="00DD16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13086" w14:textId="77777777" w:rsidR="00D84FDB" w:rsidRDefault="00D84FDB" w:rsidP="002F5ABF">
      <w:pPr>
        <w:spacing w:after="0" w:line="240" w:lineRule="auto"/>
      </w:pPr>
      <w:r>
        <w:separator/>
      </w:r>
    </w:p>
  </w:footnote>
  <w:footnote w:type="continuationSeparator" w:id="0">
    <w:p w14:paraId="3DF2BB83" w14:textId="77777777" w:rsidR="00D84FDB" w:rsidRDefault="00D84FDB" w:rsidP="002F5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9EB43" w14:textId="77777777" w:rsidR="00DD16DE" w:rsidRDefault="00DD16D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00F04" w14:textId="36CB7EBB" w:rsidR="00CC2608" w:rsidRDefault="00CC2608" w:rsidP="00CC2608">
    <w:pPr>
      <w:pStyle w:val="Cabealho"/>
      <w:ind w:firstLine="0"/>
    </w:pPr>
    <w:r w:rsidRPr="00CC2608">
      <w:rPr>
        <w:rFonts w:asciiTheme="minorHAnsi" w:hAnsiTheme="minorHAnsi"/>
        <w:noProof/>
        <w:sz w:val="22"/>
        <w:lang w:eastAsia="pt-BR"/>
      </w:rPr>
      <w:drawing>
        <wp:inline distT="0" distB="0" distL="0" distR="0" wp14:anchorId="2C9F403C" wp14:editId="05F74CC6">
          <wp:extent cx="5398770" cy="643890"/>
          <wp:effectExtent l="0" t="0" r="0" b="3810"/>
          <wp:docPr id="4" name="Imagem 4" descr="Diario topo - 2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iario topo - 20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8770" cy="643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FD08C3" w14:textId="77777777" w:rsidR="00CC2608" w:rsidRPr="00CC2608" w:rsidRDefault="00CC2608" w:rsidP="00CC2608">
    <w:pPr>
      <w:pStyle w:val="Cabealho"/>
      <w:jc w:val="right"/>
      <w:rPr>
        <w:rFonts w:asciiTheme="minorHAnsi" w:hAnsiTheme="minorHAnsi"/>
        <w:b/>
        <w:color w:val="404040"/>
        <w:sz w:val="20"/>
      </w:rPr>
    </w:pPr>
    <w:r w:rsidRPr="00CC2608">
      <w:rPr>
        <w:rFonts w:asciiTheme="minorHAnsi" w:hAnsiTheme="minorHAnsi"/>
        <w:b/>
        <w:color w:val="404040"/>
        <w:sz w:val="20"/>
      </w:rPr>
      <w:t>Ano I - Nº XX - XX.05.2019</w:t>
    </w:r>
  </w:p>
  <w:p w14:paraId="4B45E181" w14:textId="77777777" w:rsidR="00CC2608" w:rsidRPr="00CC2608" w:rsidRDefault="00CC2608" w:rsidP="00CC2608">
    <w:pPr>
      <w:pStyle w:val="Cabealho"/>
      <w:jc w:val="right"/>
      <w:rPr>
        <w:rFonts w:asciiTheme="minorHAnsi" w:hAnsiTheme="minorHAnsi"/>
        <w:b/>
        <w:color w:val="404040"/>
        <w:sz w:val="20"/>
      </w:rPr>
    </w:pPr>
    <w:r w:rsidRPr="00CC2608">
      <w:rPr>
        <w:rFonts w:asciiTheme="minorHAnsi" w:hAnsiTheme="minorHAnsi"/>
        <w:b/>
        <w:color w:val="404040"/>
        <w:sz w:val="20"/>
      </w:rPr>
      <w:t xml:space="preserve">ISSN </w:t>
    </w:r>
    <w:r w:rsidRPr="00CC2608">
      <w:rPr>
        <w:rFonts w:asciiTheme="minorHAnsi" w:hAnsiTheme="minorHAnsi"/>
        <w:b/>
        <w:bCs/>
        <w:color w:val="404040"/>
        <w:sz w:val="20"/>
      </w:rPr>
      <w:t>2594-7338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D678F" w14:textId="77777777" w:rsidR="00DD16DE" w:rsidRDefault="00DD16D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C3"/>
    <w:rsid w:val="00007BDD"/>
    <w:rsid w:val="00016762"/>
    <w:rsid w:val="000262A2"/>
    <w:rsid w:val="00035AB1"/>
    <w:rsid w:val="00041A7C"/>
    <w:rsid w:val="00057BA2"/>
    <w:rsid w:val="0006320A"/>
    <w:rsid w:val="00066D5C"/>
    <w:rsid w:val="0006794E"/>
    <w:rsid w:val="00080BF1"/>
    <w:rsid w:val="00082910"/>
    <w:rsid w:val="000832E7"/>
    <w:rsid w:val="00090BDF"/>
    <w:rsid w:val="00092E03"/>
    <w:rsid w:val="000B71BD"/>
    <w:rsid w:val="000C2EB6"/>
    <w:rsid w:val="000C3E8E"/>
    <w:rsid w:val="0010373F"/>
    <w:rsid w:val="00107252"/>
    <w:rsid w:val="00135AA7"/>
    <w:rsid w:val="001442D5"/>
    <w:rsid w:val="00147977"/>
    <w:rsid w:val="001718BD"/>
    <w:rsid w:val="00174CC3"/>
    <w:rsid w:val="001809F4"/>
    <w:rsid w:val="00181E58"/>
    <w:rsid w:val="00183700"/>
    <w:rsid w:val="001A0D71"/>
    <w:rsid w:val="001C6009"/>
    <w:rsid w:val="002002A2"/>
    <w:rsid w:val="00207260"/>
    <w:rsid w:val="00213F4F"/>
    <w:rsid w:val="00235A3D"/>
    <w:rsid w:val="0025294C"/>
    <w:rsid w:val="00260540"/>
    <w:rsid w:val="00261705"/>
    <w:rsid w:val="00262BD0"/>
    <w:rsid w:val="00264B21"/>
    <w:rsid w:val="00272125"/>
    <w:rsid w:val="00283348"/>
    <w:rsid w:val="002A20A8"/>
    <w:rsid w:val="002B4E94"/>
    <w:rsid w:val="002C0A1F"/>
    <w:rsid w:val="002C3A50"/>
    <w:rsid w:val="002D00C5"/>
    <w:rsid w:val="002D141B"/>
    <w:rsid w:val="002D229B"/>
    <w:rsid w:val="002D414A"/>
    <w:rsid w:val="002E036C"/>
    <w:rsid w:val="002E26C4"/>
    <w:rsid w:val="002E5BC2"/>
    <w:rsid w:val="002F08B6"/>
    <w:rsid w:val="002F4F1A"/>
    <w:rsid w:val="002F5ABF"/>
    <w:rsid w:val="003040C2"/>
    <w:rsid w:val="00373EA8"/>
    <w:rsid w:val="003756B9"/>
    <w:rsid w:val="00380858"/>
    <w:rsid w:val="003825CF"/>
    <w:rsid w:val="003918FD"/>
    <w:rsid w:val="00395B9E"/>
    <w:rsid w:val="003A35E2"/>
    <w:rsid w:val="003A6786"/>
    <w:rsid w:val="003C47AD"/>
    <w:rsid w:val="003D1E16"/>
    <w:rsid w:val="003D3522"/>
    <w:rsid w:val="003F4A07"/>
    <w:rsid w:val="003F5072"/>
    <w:rsid w:val="00400108"/>
    <w:rsid w:val="00401CB0"/>
    <w:rsid w:val="004056D9"/>
    <w:rsid w:val="0041349A"/>
    <w:rsid w:val="004178C6"/>
    <w:rsid w:val="00422019"/>
    <w:rsid w:val="0043646B"/>
    <w:rsid w:val="0046765C"/>
    <w:rsid w:val="00476135"/>
    <w:rsid w:val="00482F6E"/>
    <w:rsid w:val="00483CD8"/>
    <w:rsid w:val="00497B18"/>
    <w:rsid w:val="004B4771"/>
    <w:rsid w:val="004B5C52"/>
    <w:rsid w:val="004C2AA7"/>
    <w:rsid w:val="004D517F"/>
    <w:rsid w:val="004F0D6B"/>
    <w:rsid w:val="00507B79"/>
    <w:rsid w:val="00512757"/>
    <w:rsid w:val="00522D7F"/>
    <w:rsid w:val="00526F74"/>
    <w:rsid w:val="0053218C"/>
    <w:rsid w:val="005410EE"/>
    <w:rsid w:val="00572647"/>
    <w:rsid w:val="00577596"/>
    <w:rsid w:val="005978E1"/>
    <w:rsid w:val="005A1C96"/>
    <w:rsid w:val="005B3E0B"/>
    <w:rsid w:val="005B6F50"/>
    <w:rsid w:val="005E5E00"/>
    <w:rsid w:val="005F0C99"/>
    <w:rsid w:val="0063741F"/>
    <w:rsid w:val="00640B4A"/>
    <w:rsid w:val="006461AF"/>
    <w:rsid w:val="0064657A"/>
    <w:rsid w:val="00667F7B"/>
    <w:rsid w:val="00676042"/>
    <w:rsid w:val="00676A46"/>
    <w:rsid w:val="00681139"/>
    <w:rsid w:val="0068769C"/>
    <w:rsid w:val="00692162"/>
    <w:rsid w:val="006A3559"/>
    <w:rsid w:val="006C2B5C"/>
    <w:rsid w:val="006D7503"/>
    <w:rsid w:val="006E3426"/>
    <w:rsid w:val="006E54D7"/>
    <w:rsid w:val="006F2D22"/>
    <w:rsid w:val="006F481E"/>
    <w:rsid w:val="007102C9"/>
    <w:rsid w:val="00716192"/>
    <w:rsid w:val="007669E9"/>
    <w:rsid w:val="00785565"/>
    <w:rsid w:val="00793FBE"/>
    <w:rsid w:val="007A21D4"/>
    <w:rsid w:val="007B0FC9"/>
    <w:rsid w:val="007C2424"/>
    <w:rsid w:val="007C70D7"/>
    <w:rsid w:val="007D02C3"/>
    <w:rsid w:val="007D6EB9"/>
    <w:rsid w:val="007F2DCE"/>
    <w:rsid w:val="00803C36"/>
    <w:rsid w:val="008524E5"/>
    <w:rsid w:val="00884E50"/>
    <w:rsid w:val="00894862"/>
    <w:rsid w:val="008A295C"/>
    <w:rsid w:val="008A7269"/>
    <w:rsid w:val="008B02C5"/>
    <w:rsid w:val="008C054E"/>
    <w:rsid w:val="008D28DA"/>
    <w:rsid w:val="008D3911"/>
    <w:rsid w:val="008F26A1"/>
    <w:rsid w:val="008F7625"/>
    <w:rsid w:val="009043C2"/>
    <w:rsid w:val="00915006"/>
    <w:rsid w:val="00916894"/>
    <w:rsid w:val="0092556A"/>
    <w:rsid w:val="00927F4E"/>
    <w:rsid w:val="00932BA2"/>
    <w:rsid w:val="009502DC"/>
    <w:rsid w:val="009710FC"/>
    <w:rsid w:val="00974175"/>
    <w:rsid w:val="009951DC"/>
    <w:rsid w:val="009975F5"/>
    <w:rsid w:val="009B5831"/>
    <w:rsid w:val="009C5E25"/>
    <w:rsid w:val="009D00DF"/>
    <w:rsid w:val="009D1CE9"/>
    <w:rsid w:val="009F665B"/>
    <w:rsid w:val="00A105FE"/>
    <w:rsid w:val="00A31D36"/>
    <w:rsid w:val="00A5077D"/>
    <w:rsid w:val="00A61923"/>
    <w:rsid w:val="00A7421A"/>
    <w:rsid w:val="00A86247"/>
    <w:rsid w:val="00A87C18"/>
    <w:rsid w:val="00AA0D8A"/>
    <w:rsid w:val="00AA7553"/>
    <w:rsid w:val="00AB1BF4"/>
    <w:rsid w:val="00AB3C8C"/>
    <w:rsid w:val="00AB574B"/>
    <w:rsid w:val="00AD5069"/>
    <w:rsid w:val="00AE0018"/>
    <w:rsid w:val="00AE09F0"/>
    <w:rsid w:val="00AF22A9"/>
    <w:rsid w:val="00AF4148"/>
    <w:rsid w:val="00B240CE"/>
    <w:rsid w:val="00B33A4E"/>
    <w:rsid w:val="00B370E3"/>
    <w:rsid w:val="00B54735"/>
    <w:rsid w:val="00B54B69"/>
    <w:rsid w:val="00B6249B"/>
    <w:rsid w:val="00B62718"/>
    <w:rsid w:val="00B6554C"/>
    <w:rsid w:val="00B7514D"/>
    <w:rsid w:val="00B96F85"/>
    <w:rsid w:val="00BC3742"/>
    <w:rsid w:val="00BC65F1"/>
    <w:rsid w:val="00BC7462"/>
    <w:rsid w:val="00BD49B4"/>
    <w:rsid w:val="00BD6BC4"/>
    <w:rsid w:val="00BE2D8E"/>
    <w:rsid w:val="00BF04E9"/>
    <w:rsid w:val="00BF4936"/>
    <w:rsid w:val="00C11937"/>
    <w:rsid w:val="00C16BF7"/>
    <w:rsid w:val="00C22978"/>
    <w:rsid w:val="00C26432"/>
    <w:rsid w:val="00C3442A"/>
    <w:rsid w:val="00C42179"/>
    <w:rsid w:val="00C4667F"/>
    <w:rsid w:val="00C4694C"/>
    <w:rsid w:val="00C46E2A"/>
    <w:rsid w:val="00C52494"/>
    <w:rsid w:val="00C642FE"/>
    <w:rsid w:val="00C64306"/>
    <w:rsid w:val="00C75424"/>
    <w:rsid w:val="00C7738B"/>
    <w:rsid w:val="00C915DC"/>
    <w:rsid w:val="00C91D8A"/>
    <w:rsid w:val="00C93213"/>
    <w:rsid w:val="00C95B66"/>
    <w:rsid w:val="00CA7288"/>
    <w:rsid w:val="00CB1E10"/>
    <w:rsid w:val="00CC2608"/>
    <w:rsid w:val="00CC5395"/>
    <w:rsid w:val="00CD057C"/>
    <w:rsid w:val="00CD0B55"/>
    <w:rsid w:val="00CD71F4"/>
    <w:rsid w:val="00CE0575"/>
    <w:rsid w:val="00CE10CB"/>
    <w:rsid w:val="00CF1B43"/>
    <w:rsid w:val="00CF64EF"/>
    <w:rsid w:val="00D03BB0"/>
    <w:rsid w:val="00D07F34"/>
    <w:rsid w:val="00D10B04"/>
    <w:rsid w:val="00D138A1"/>
    <w:rsid w:val="00D21DB4"/>
    <w:rsid w:val="00D24B88"/>
    <w:rsid w:val="00D45460"/>
    <w:rsid w:val="00D50624"/>
    <w:rsid w:val="00D52D9B"/>
    <w:rsid w:val="00D577D6"/>
    <w:rsid w:val="00D717D2"/>
    <w:rsid w:val="00D76C02"/>
    <w:rsid w:val="00D816BC"/>
    <w:rsid w:val="00D84FDB"/>
    <w:rsid w:val="00D927E9"/>
    <w:rsid w:val="00D95F5C"/>
    <w:rsid w:val="00D96FB8"/>
    <w:rsid w:val="00DD16DE"/>
    <w:rsid w:val="00DD1A78"/>
    <w:rsid w:val="00DE224D"/>
    <w:rsid w:val="00DE332B"/>
    <w:rsid w:val="00DF4E4E"/>
    <w:rsid w:val="00E05DE2"/>
    <w:rsid w:val="00E25150"/>
    <w:rsid w:val="00E26496"/>
    <w:rsid w:val="00E36224"/>
    <w:rsid w:val="00E4507A"/>
    <w:rsid w:val="00E50AF9"/>
    <w:rsid w:val="00E56AC4"/>
    <w:rsid w:val="00E717FA"/>
    <w:rsid w:val="00E73218"/>
    <w:rsid w:val="00E836F4"/>
    <w:rsid w:val="00E83B4C"/>
    <w:rsid w:val="00E86063"/>
    <w:rsid w:val="00E9739A"/>
    <w:rsid w:val="00EA0024"/>
    <w:rsid w:val="00EA66DF"/>
    <w:rsid w:val="00EB387A"/>
    <w:rsid w:val="00EC2002"/>
    <w:rsid w:val="00F06464"/>
    <w:rsid w:val="00F264B0"/>
    <w:rsid w:val="00F35733"/>
    <w:rsid w:val="00F438B6"/>
    <w:rsid w:val="00F43F76"/>
    <w:rsid w:val="00F46C57"/>
    <w:rsid w:val="00F5053A"/>
    <w:rsid w:val="00F5161F"/>
    <w:rsid w:val="00F51A52"/>
    <w:rsid w:val="00F63F68"/>
    <w:rsid w:val="00F727B2"/>
    <w:rsid w:val="00F763DF"/>
    <w:rsid w:val="00F80AF2"/>
    <w:rsid w:val="00FB4D22"/>
    <w:rsid w:val="00FB621B"/>
    <w:rsid w:val="00FB7B31"/>
    <w:rsid w:val="00FB7F34"/>
    <w:rsid w:val="00FC24AB"/>
    <w:rsid w:val="00FE789E"/>
    <w:rsid w:val="3812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1EAEED6"/>
  <w15:docId w15:val="{6469E145-B38E-472A-9491-038018A1E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left="709" w:hanging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2C3"/>
    <w:pPr>
      <w:spacing w:after="160"/>
      <w:ind w:left="0" w:firstLine="709"/>
    </w:pPr>
  </w:style>
  <w:style w:type="paragraph" w:styleId="Ttulo1">
    <w:name w:val="heading 1"/>
    <w:basedOn w:val="Normal"/>
    <w:next w:val="Normal"/>
    <w:link w:val="Ttulo1Char"/>
    <w:uiPriority w:val="9"/>
    <w:qFormat/>
    <w:rsid w:val="0053218C"/>
    <w:pPr>
      <w:keepNext/>
      <w:keepLines/>
      <w:tabs>
        <w:tab w:val="left" w:pos="709"/>
      </w:tabs>
      <w:spacing w:line="240" w:lineRule="auto"/>
      <w:ind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295C"/>
    <w:pPr>
      <w:keepNext/>
      <w:keepLines/>
      <w:spacing w:before="40" w:line="240" w:lineRule="auto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218C"/>
    <w:rPr>
      <w:rFonts w:eastAsiaTheme="majorEastAsia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295C"/>
    <w:rPr>
      <w:rFonts w:eastAsiaTheme="majorEastAsia" w:cstheme="majorBidi"/>
      <w:b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7BDD"/>
    <w:pPr>
      <w:numPr>
        <w:ilvl w:val="1"/>
      </w:numPr>
      <w:ind w:left="709" w:hanging="709"/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07BDD"/>
    <w:rPr>
      <w:rFonts w:eastAsiaTheme="minorEastAsia"/>
      <w:b/>
      <w:spacing w:val="15"/>
    </w:rPr>
  </w:style>
  <w:style w:type="paragraph" w:styleId="Citao">
    <w:name w:val="Quote"/>
    <w:basedOn w:val="Normal"/>
    <w:next w:val="Normal"/>
    <w:link w:val="CitaoChar"/>
    <w:uiPriority w:val="29"/>
    <w:qFormat/>
    <w:rsid w:val="00C95B66"/>
    <w:pPr>
      <w:spacing w:after="120" w:line="240" w:lineRule="auto"/>
      <w:ind w:left="2268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C95B66"/>
    <w:rPr>
      <w:iCs/>
      <w:sz w:val="20"/>
    </w:rPr>
  </w:style>
  <w:style w:type="paragraph" w:styleId="Legenda">
    <w:name w:val="caption"/>
    <w:basedOn w:val="Normal"/>
    <w:next w:val="Normal"/>
    <w:uiPriority w:val="35"/>
    <w:unhideWhenUsed/>
    <w:qFormat/>
    <w:rsid w:val="007D02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0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054E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F5AB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F5AB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F5ABF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CC26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2608"/>
  </w:style>
  <w:style w:type="paragraph" w:styleId="Rodap">
    <w:name w:val="footer"/>
    <w:basedOn w:val="Normal"/>
    <w:link w:val="RodapChar"/>
    <w:uiPriority w:val="99"/>
    <w:unhideWhenUsed/>
    <w:rsid w:val="00CC26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2608"/>
  </w:style>
  <w:style w:type="table" w:styleId="Tabelacomgrade">
    <w:name w:val="Table Grid"/>
    <w:basedOn w:val="Tabelanormal"/>
    <w:uiPriority w:val="39"/>
    <w:rsid w:val="00CE10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a548da2118d25344/Alysson/Unifor/Monitoria/TPE/Elabora&#231;&#227;o%20dos%20Boletins/PMC/Gr&#225;ficos%20e%20Tabela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Tabela_Gráfico!$I$4</c:f>
              <c:strCache>
                <c:ptCount val="1"/>
                <c:pt idx="0">
                  <c:v>Varejo Restrito </c:v>
                </c:pt>
              </c:strCache>
            </c:strRef>
          </c:tx>
          <c:spPr>
            <a:solidFill>
              <a:srgbClr val="A6193C"/>
            </a:solidFill>
            <a:ln>
              <a:noFill/>
            </a:ln>
            <a:effectLst/>
          </c:spPr>
          <c:invertIfNegative val="0"/>
          <c:dLbls>
            <c:numFmt formatCode="#,##0.0_ ;[Red]\-#,##0.0\ " sourceLinked="0"/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Tabela_Gráfico!$H$5:$H$16</c:f>
              <c:strCache>
                <c:ptCount val="12"/>
                <c:pt idx="0">
                  <c:v>Alagoas</c:v>
                </c:pt>
                <c:pt idx="1">
                  <c:v>Bahia</c:v>
                </c:pt>
                <c:pt idx="2">
                  <c:v>Brasil</c:v>
                </c:pt>
                <c:pt idx="3">
                  <c:v>Ceará</c:v>
                </c:pt>
                <c:pt idx="4">
                  <c:v>Espírito Santo</c:v>
                </c:pt>
                <c:pt idx="5">
                  <c:v>Maranhão</c:v>
                </c:pt>
                <c:pt idx="6">
                  <c:v>Minas Gerais</c:v>
                </c:pt>
                <c:pt idx="7">
                  <c:v>Paraíba</c:v>
                </c:pt>
                <c:pt idx="8">
                  <c:v>Pernambuco</c:v>
                </c:pt>
                <c:pt idx="9">
                  <c:v>Piauí</c:v>
                </c:pt>
                <c:pt idx="10">
                  <c:v>Rio Grande do Norte</c:v>
                </c:pt>
                <c:pt idx="11">
                  <c:v>Sergipe</c:v>
                </c:pt>
              </c:strCache>
            </c:strRef>
          </c:cat>
          <c:val>
            <c:numRef>
              <c:f>Tabela_Gráfico!$I$5:$I$16</c:f>
              <c:numCache>
                <c:formatCode>0.0</c:formatCode>
                <c:ptCount val="12"/>
                <c:pt idx="0">
                  <c:v>-3.5</c:v>
                </c:pt>
                <c:pt idx="1">
                  <c:v>0.8</c:v>
                </c:pt>
                <c:pt idx="2">
                  <c:v>0.6</c:v>
                </c:pt>
                <c:pt idx="3">
                  <c:v>-1.1000000000000001</c:v>
                </c:pt>
                <c:pt idx="4">
                  <c:v>6.7</c:v>
                </c:pt>
                <c:pt idx="5">
                  <c:v>0.4</c:v>
                </c:pt>
                <c:pt idx="6">
                  <c:v>-2</c:v>
                </c:pt>
                <c:pt idx="7">
                  <c:v>-6.5</c:v>
                </c:pt>
                <c:pt idx="8">
                  <c:v>-1</c:v>
                </c:pt>
                <c:pt idx="9">
                  <c:v>-8.6999999999999993</c:v>
                </c:pt>
                <c:pt idx="10">
                  <c:v>-1.3</c:v>
                </c:pt>
                <c:pt idx="11">
                  <c:v>-1.8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7E-4DC3-B152-C6F07BE054FA}"/>
            </c:ext>
          </c:extLst>
        </c:ser>
        <c:ser>
          <c:idx val="1"/>
          <c:order val="1"/>
          <c:tx>
            <c:strRef>
              <c:f>Tabela_Gráfico!$J$4</c:f>
              <c:strCache>
                <c:ptCount val="1"/>
                <c:pt idx="0">
                  <c:v>Varejo Ampliado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numFmt formatCode="#,##0.0_ ;[Red]\-#,##0.0\ " sourceLinked="0"/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Tabela_Gráfico!$H$5:$H$16</c:f>
              <c:strCache>
                <c:ptCount val="12"/>
                <c:pt idx="0">
                  <c:v>Alagoas</c:v>
                </c:pt>
                <c:pt idx="1">
                  <c:v>Bahia</c:v>
                </c:pt>
                <c:pt idx="2">
                  <c:v>Brasil</c:v>
                </c:pt>
                <c:pt idx="3">
                  <c:v>Ceará</c:v>
                </c:pt>
                <c:pt idx="4">
                  <c:v>Espírito Santo</c:v>
                </c:pt>
                <c:pt idx="5">
                  <c:v>Maranhão</c:v>
                </c:pt>
                <c:pt idx="6">
                  <c:v>Minas Gerais</c:v>
                </c:pt>
                <c:pt idx="7">
                  <c:v>Paraíba</c:v>
                </c:pt>
                <c:pt idx="8">
                  <c:v>Pernambuco</c:v>
                </c:pt>
                <c:pt idx="9">
                  <c:v>Piauí</c:v>
                </c:pt>
                <c:pt idx="10">
                  <c:v>Rio Grande do Norte</c:v>
                </c:pt>
                <c:pt idx="11">
                  <c:v>Sergipe</c:v>
                </c:pt>
              </c:strCache>
            </c:strRef>
          </c:cat>
          <c:val>
            <c:numRef>
              <c:f>Tabela_Gráfico!$J$5:$J$16</c:f>
              <c:numCache>
                <c:formatCode>0.0</c:formatCode>
                <c:ptCount val="12"/>
                <c:pt idx="0">
                  <c:v>-1.1000000000000001</c:v>
                </c:pt>
                <c:pt idx="1">
                  <c:v>-1.1000000000000001</c:v>
                </c:pt>
                <c:pt idx="2">
                  <c:v>3.2</c:v>
                </c:pt>
                <c:pt idx="3">
                  <c:v>2.9</c:v>
                </c:pt>
                <c:pt idx="4">
                  <c:v>6.6</c:v>
                </c:pt>
                <c:pt idx="5">
                  <c:v>0.4</c:v>
                </c:pt>
                <c:pt idx="6">
                  <c:v>-0.3</c:v>
                </c:pt>
                <c:pt idx="7">
                  <c:v>-4.7</c:v>
                </c:pt>
                <c:pt idx="8">
                  <c:v>0.8</c:v>
                </c:pt>
                <c:pt idx="9">
                  <c:v>-3.2</c:v>
                </c:pt>
                <c:pt idx="10">
                  <c:v>-0.2</c:v>
                </c:pt>
                <c:pt idx="11">
                  <c:v>-0.6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77E-4DC3-B152-C6F07BE054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4"/>
        <c:overlap val="-11"/>
        <c:axId val="806284367"/>
        <c:axId val="1035815423"/>
      </c:barChart>
      <c:catAx>
        <c:axId val="806284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pt-BR"/>
          </a:p>
        </c:txPr>
        <c:crossAx val="1035815423"/>
        <c:crosses val="autoZero"/>
        <c:auto val="1"/>
        <c:lblAlgn val="ctr"/>
        <c:lblOffset val="100"/>
        <c:noMultiLvlLbl val="0"/>
      </c:catAx>
      <c:valAx>
        <c:axId val="1035815423"/>
        <c:scaling>
          <c:orientation val="minMax"/>
        </c:scaling>
        <c:delete val="1"/>
        <c:axPos val="l"/>
        <c:numFmt formatCode="0.0" sourceLinked="1"/>
        <c:majorTickMark val="none"/>
        <c:minorTickMark val="none"/>
        <c:tickLblPos val="nextTo"/>
        <c:crossAx val="8062843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600" b="1">
          <a:latin typeface="+mn-lt"/>
        </a:defRPr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FB93F-30B2-4D6A-A199-437871312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869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Alysson Oliveira</dc:creator>
  <cp:lastModifiedBy>Alysson Oliveira</cp:lastModifiedBy>
  <cp:revision>185</cp:revision>
  <cp:lastPrinted>2019-08-13T01:05:00Z</cp:lastPrinted>
  <dcterms:created xsi:type="dcterms:W3CDTF">2019-08-08T23:28:00Z</dcterms:created>
  <dcterms:modified xsi:type="dcterms:W3CDTF">2019-08-13T01:22:00Z</dcterms:modified>
</cp:coreProperties>
</file>